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05-07/223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A720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отделения переливания крови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или СТ-1)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2470"/>
        <w:gridCol w:w="4661"/>
        <w:gridCol w:w="1179"/>
        <w:gridCol w:w="1198"/>
        <w:gridCol w:w="1496"/>
        <w:gridCol w:w="1198"/>
        <w:gridCol w:w="749"/>
        <w:gridCol w:w="1198"/>
        <w:gridCol w:w="1152"/>
      </w:tblGrid>
      <w:tr w:rsidR="00095AD2" w:rsidRPr="001A04A3" w:rsidTr="00747DF5">
        <w:trPr>
          <w:trHeight w:val="20"/>
          <w:jc w:val="center"/>
        </w:trPr>
        <w:tc>
          <w:tcPr>
            <w:tcW w:w="629" w:type="dxa"/>
            <w:hideMark/>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 п/п</w:t>
            </w:r>
          </w:p>
        </w:tc>
        <w:tc>
          <w:tcPr>
            <w:tcW w:w="2470" w:type="dxa"/>
            <w:hideMark/>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 xml:space="preserve">Наименование товара </w:t>
            </w:r>
          </w:p>
        </w:tc>
        <w:tc>
          <w:tcPr>
            <w:tcW w:w="4661" w:type="dxa"/>
            <w:hideMark/>
          </w:tcPr>
          <w:p w:rsidR="00095AD2" w:rsidRPr="001A04A3" w:rsidRDefault="00095AD2" w:rsidP="00747DF5">
            <w:pPr>
              <w:spacing w:after="0" w:line="240" w:lineRule="auto"/>
              <w:jc w:val="both"/>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1179" w:type="dxa"/>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Кол-во</w:t>
            </w:r>
          </w:p>
        </w:tc>
        <w:tc>
          <w:tcPr>
            <w:tcW w:w="1198" w:type="dxa"/>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Ед. изм.</w:t>
            </w:r>
          </w:p>
        </w:tc>
        <w:tc>
          <w:tcPr>
            <w:tcW w:w="1496" w:type="dxa"/>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ОКПД2/ КТРУ</w:t>
            </w: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Страна происхождения</w:t>
            </w:r>
          </w:p>
        </w:tc>
        <w:tc>
          <w:tcPr>
            <w:tcW w:w="749"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НДС %</w:t>
            </w: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Цена за ед. без НДС (руб.)</w:t>
            </w:r>
          </w:p>
        </w:tc>
        <w:tc>
          <w:tcPr>
            <w:tcW w:w="1152"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b/>
                <w:lang w:eastAsia="ru-RU"/>
              </w:rPr>
            </w:pPr>
            <w:r w:rsidRPr="001A04A3">
              <w:rPr>
                <w:rFonts w:ascii="Times New Roman" w:eastAsia="Times New Roman" w:hAnsi="Times New Roman" w:cs="Times New Roman"/>
                <w:b/>
                <w:lang w:eastAsia="ru-RU"/>
              </w:rPr>
              <w:t>Сумма без НДС (руб.)</w:t>
            </w:r>
          </w:p>
        </w:tc>
      </w:tr>
      <w:tr w:rsidR="00095AD2" w:rsidRPr="001A04A3" w:rsidTr="00747DF5">
        <w:trPr>
          <w:trHeight w:val="20"/>
          <w:jc w:val="center"/>
        </w:trPr>
        <w:tc>
          <w:tcPr>
            <w:tcW w:w="629" w:type="dxa"/>
          </w:tcPr>
          <w:p w:rsidR="00095AD2" w:rsidRPr="001A04A3"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Анти-Rh(D) групповое типирование эритроцитов ИВД, антитела</w:t>
            </w:r>
          </w:p>
        </w:tc>
        <w:tc>
          <w:tcPr>
            <w:tcW w:w="4661" w:type="dxa"/>
          </w:tcPr>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Объем реагента ≥ 10 Кубический сантиметр;^миллилитр.</w:t>
            </w:r>
          </w:p>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Дополнительные характеристики:*</w:t>
            </w:r>
          </w:p>
          <w:p w:rsidR="00095AD2"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 xml:space="preserve">Реагент анти-D IgM предназначен для выявления антигена D системы резус эритроцитов человека. Реагент анти-D IgM не должен агглютинировать D-отрицательные эритроциты. </w:t>
            </w:r>
          </w:p>
          <w:p w:rsidR="00095AD2"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w:t>
            </w:r>
            <w:r w:rsidRPr="001A04A3">
              <w:rPr>
                <w:rFonts w:ascii="Times New Roman" w:eastAsia="Times New Roman" w:hAnsi="Times New Roman" w:cs="Times New Roman"/>
                <w:sz w:val="20"/>
                <w:szCs w:val="20"/>
                <w:lang w:eastAsia="ru-RU"/>
              </w:rPr>
              <w:t>Данный параметр является необходимым для определения антигена D на эритроцитах пациента с помощью реакции антиген-антитело).</w:t>
            </w:r>
            <w:r w:rsidRPr="001A04A3">
              <w:rPr>
                <w:rFonts w:ascii="Times New Roman" w:eastAsia="Times New Roman" w:hAnsi="Times New Roman" w:cs="Times New Roman"/>
              </w:rPr>
              <w:t xml:space="preserve"> </w:t>
            </w:r>
          </w:p>
          <w:p w:rsidR="00095AD2"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 xml:space="preserve">Форма выпуска – Реагент анти-D IgM должен быть в жидкой форме во флаконах объёмом 10 мл (1 мл содержит 10 доз). </w:t>
            </w:r>
          </w:p>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w:t>
            </w:r>
            <w:r w:rsidRPr="001A04A3">
              <w:rPr>
                <w:rFonts w:ascii="Times New Roman" w:eastAsia="Times New Roman" w:hAnsi="Times New Roman" w:cs="Times New Roman"/>
                <w:sz w:val="20"/>
                <w:szCs w:val="20"/>
                <w:lang w:eastAsia="ru-RU"/>
              </w:rPr>
              <w:t>Данный параметр является необходимым для обеспечения производительности лаборатории)</w:t>
            </w:r>
          </w:p>
        </w:tc>
        <w:tc>
          <w:tcPr>
            <w:tcW w:w="1179" w:type="dxa"/>
          </w:tcPr>
          <w:p w:rsidR="00095AD2" w:rsidRDefault="00095AD2" w:rsidP="00747DF5">
            <w:pPr>
              <w:jc w:val="right"/>
              <w:rPr>
                <w:rFonts w:ascii="Times New Roman" w:eastAsia="Times New Roman" w:hAnsi="Times New Roman" w:cs="Times New Roman"/>
              </w:rPr>
            </w:pPr>
            <w:r>
              <w:rPr>
                <w:rFonts w:ascii="Times New Roman" w:eastAsia="Times New Roman" w:hAnsi="Times New Roman" w:cs="Times New Roman"/>
              </w:rPr>
              <w:t>60</w:t>
            </w:r>
          </w:p>
          <w:p w:rsidR="00095AD2" w:rsidRPr="001A04A3" w:rsidRDefault="00095AD2" w:rsidP="00747DF5">
            <w:pPr>
              <w:jc w:val="right"/>
              <w:rPr>
                <w:rFonts w:ascii="Times New Roman" w:eastAsia="Times New Roman" w:hAnsi="Times New Roman" w:cs="Times New Roman"/>
              </w:rPr>
            </w:pPr>
          </w:p>
        </w:tc>
        <w:tc>
          <w:tcPr>
            <w:tcW w:w="1198" w:type="dxa"/>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упак</w:t>
            </w:r>
          </w:p>
        </w:tc>
        <w:tc>
          <w:tcPr>
            <w:tcW w:w="1496" w:type="dxa"/>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21.20.23.110-00008834</w:t>
            </w:r>
            <w:r w:rsidR="00DB6770">
              <w:rPr>
                <w:rFonts w:ascii="Times New Roman" w:eastAsia="Times New Roman" w:hAnsi="Times New Roman" w:cs="Times New Roman"/>
              </w:rPr>
              <w:t>*</w:t>
            </w:r>
          </w:p>
        </w:tc>
        <w:tc>
          <w:tcPr>
            <w:tcW w:w="1198" w:type="dxa"/>
          </w:tcPr>
          <w:p w:rsidR="00095AD2" w:rsidRPr="001A04A3" w:rsidRDefault="00095AD2" w:rsidP="00747DF5">
            <w:pPr>
              <w:rPr>
                <w:rFonts w:ascii="Times New Roman" w:eastAsia="Times New Roman" w:hAnsi="Times New Roman" w:cs="Times New Roman"/>
              </w:rPr>
            </w:pPr>
          </w:p>
        </w:tc>
        <w:tc>
          <w:tcPr>
            <w:tcW w:w="749"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r>
      <w:tr w:rsidR="00095AD2" w:rsidRPr="001A04A3" w:rsidTr="00747DF5">
        <w:trPr>
          <w:trHeight w:val="20"/>
          <w:jc w:val="center"/>
        </w:trPr>
        <w:tc>
          <w:tcPr>
            <w:tcW w:w="629" w:type="dxa"/>
          </w:tcPr>
          <w:p w:rsidR="00095AD2" w:rsidRPr="001A04A3"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 xml:space="preserve">Реагенты диагностические для иммуногематологических исследований in vitro. </w:t>
            </w:r>
          </w:p>
        </w:tc>
        <w:tc>
          <w:tcPr>
            <w:tcW w:w="4661"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Предназначены для определения RH2 (C), RH3 (E), RH4 (c), RH5 (e) и KEL1 (К) антигенов эритроцитов на основе комбинации методов агглютинации и гель фильтрации. Карта имеет 6 микропробирок, которые содержат моноклональные антитела анти-С (клеточная линия MS-24), анти-с (клеточная линия MS-33), анти-E (клеточная линия MS-260), анти-е (клеточная линия MS-16, МС-21, МС-63) и анти-К (клеточная линия MS-56) в гелевом матриксе. Микропробирока (Ctl) cсодержит нейтральный гель, является отрицательным контролем.  Регистрация изделия медицинского назначения в соответствии с требованиями в РФ. Инструкции по применению реагентов на русском языке. Не менее 48 карт в упаковке.</w:t>
            </w:r>
          </w:p>
        </w:tc>
        <w:tc>
          <w:tcPr>
            <w:tcW w:w="1179" w:type="dxa"/>
            <w:tcBorders>
              <w:top w:val="nil"/>
            </w:tcBorders>
          </w:tcPr>
          <w:p w:rsidR="00095AD2" w:rsidRPr="001A04A3" w:rsidRDefault="00095AD2" w:rsidP="00747DF5">
            <w:pPr>
              <w:jc w:val="right"/>
              <w:rPr>
                <w:rFonts w:ascii="Times New Roman" w:eastAsia="Times New Roman" w:hAnsi="Times New Roman" w:cs="Times New Roman"/>
              </w:rPr>
            </w:pPr>
            <w:r>
              <w:rPr>
                <w:rFonts w:ascii="Times New Roman" w:eastAsia="Times New Roman" w:hAnsi="Times New Roman" w:cs="Times New Roman"/>
              </w:rPr>
              <w:t>15</w:t>
            </w:r>
          </w:p>
        </w:tc>
        <w:tc>
          <w:tcPr>
            <w:tcW w:w="1198"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упак</w:t>
            </w:r>
          </w:p>
        </w:tc>
        <w:tc>
          <w:tcPr>
            <w:tcW w:w="1496"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21.20.23.110</w:t>
            </w:r>
          </w:p>
        </w:tc>
        <w:tc>
          <w:tcPr>
            <w:tcW w:w="1198" w:type="dxa"/>
            <w:tcBorders>
              <w:top w:val="nil"/>
            </w:tcBorders>
          </w:tcPr>
          <w:p w:rsidR="00095AD2" w:rsidRPr="001A04A3" w:rsidRDefault="00095AD2" w:rsidP="00747DF5">
            <w:pPr>
              <w:rPr>
                <w:rFonts w:ascii="Times New Roman" w:eastAsia="Times New Roman" w:hAnsi="Times New Roman" w:cs="Times New Roman"/>
              </w:rPr>
            </w:pPr>
          </w:p>
        </w:tc>
        <w:tc>
          <w:tcPr>
            <w:tcW w:w="749"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r>
      <w:tr w:rsidR="00095AD2" w:rsidRPr="001A04A3" w:rsidTr="00747DF5">
        <w:trPr>
          <w:trHeight w:val="20"/>
          <w:jc w:val="center"/>
        </w:trPr>
        <w:tc>
          <w:tcPr>
            <w:tcW w:w="629" w:type="dxa"/>
          </w:tcPr>
          <w:p w:rsidR="00095AD2" w:rsidRPr="001A04A3"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Анти-В групповое типирование эритроцитов ИВД, антитела</w:t>
            </w:r>
          </w:p>
        </w:tc>
        <w:tc>
          <w:tcPr>
            <w:tcW w:w="4661" w:type="dxa"/>
          </w:tcPr>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Объем реагента ≥ 10 Кубический сантиметр;^миллилитр.</w:t>
            </w:r>
          </w:p>
          <w:p w:rsidR="00095AD2" w:rsidRPr="001A04A3" w:rsidRDefault="00095AD2" w:rsidP="00747DF5">
            <w:pPr>
              <w:spacing w:after="0"/>
              <w:rPr>
                <w:rFonts w:ascii="Times New Roman" w:eastAsia="Times New Roman" w:hAnsi="Times New Roman" w:cs="Times New Roman"/>
              </w:rPr>
            </w:pPr>
          </w:p>
        </w:tc>
        <w:tc>
          <w:tcPr>
            <w:tcW w:w="1179" w:type="dxa"/>
            <w:tcBorders>
              <w:top w:val="nil"/>
            </w:tcBorders>
          </w:tcPr>
          <w:p w:rsidR="00095AD2" w:rsidRPr="001A04A3" w:rsidRDefault="00095AD2" w:rsidP="00747DF5">
            <w:pPr>
              <w:jc w:val="right"/>
              <w:rPr>
                <w:rFonts w:ascii="Times New Roman" w:eastAsia="Times New Roman" w:hAnsi="Times New Roman" w:cs="Times New Roman"/>
              </w:rPr>
            </w:pPr>
            <w:r>
              <w:rPr>
                <w:rFonts w:ascii="Times New Roman" w:eastAsia="Times New Roman" w:hAnsi="Times New Roman" w:cs="Times New Roman"/>
              </w:rPr>
              <w:t>60</w:t>
            </w:r>
          </w:p>
        </w:tc>
        <w:tc>
          <w:tcPr>
            <w:tcW w:w="1198"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флакон</w:t>
            </w:r>
          </w:p>
        </w:tc>
        <w:tc>
          <w:tcPr>
            <w:tcW w:w="1496" w:type="dxa"/>
            <w:tcBorders>
              <w:top w:val="nil"/>
            </w:tcBorders>
          </w:tcPr>
          <w:p w:rsidR="00095AD2" w:rsidRPr="001A04A3" w:rsidRDefault="00DB6770" w:rsidP="00747DF5">
            <w:pPr>
              <w:rPr>
                <w:rFonts w:ascii="Times New Roman" w:eastAsia="Times New Roman" w:hAnsi="Times New Roman" w:cs="Times New Roman"/>
              </w:rPr>
            </w:pPr>
            <w:r>
              <w:rPr>
                <w:rFonts w:ascii="Times New Roman" w:eastAsia="Times New Roman" w:hAnsi="Times New Roman" w:cs="Times New Roman"/>
              </w:rPr>
              <w:t>21.20.23.110-00006255</w:t>
            </w:r>
            <w:r w:rsidR="00095AD2" w:rsidRPr="001A04A3">
              <w:rPr>
                <w:rFonts w:ascii="Times New Roman" w:eastAsia="Times New Roman" w:hAnsi="Times New Roman" w:cs="Times New Roman"/>
              </w:rPr>
              <w:t xml:space="preserve"> </w:t>
            </w:r>
          </w:p>
        </w:tc>
        <w:tc>
          <w:tcPr>
            <w:tcW w:w="1198" w:type="dxa"/>
            <w:tcBorders>
              <w:top w:val="nil"/>
            </w:tcBorders>
          </w:tcPr>
          <w:p w:rsidR="00095AD2" w:rsidRPr="001A04A3" w:rsidRDefault="00095AD2" w:rsidP="00747DF5">
            <w:pPr>
              <w:rPr>
                <w:rFonts w:ascii="Times New Roman" w:eastAsia="Times New Roman" w:hAnsi="Times New Roman" w:cs="Times New Roman"/>
              </w:rPr>
            </w:pPr>
          </w:p>
        </w:tc>
        <w:tc>
          <w:tcPr>
            <w:tcW w:w="749"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r>
      <w:tr w:rsidR="00095AD2" w:rsidRPr="001A04A3" w:rsidTr="00747DF5">
        <w:trPr>
          <w:trHeight w:val="20"/>
          <w:jc w:val="center"/>
        </w:trPr>
        <w:tc>
          <w:tcPr>
            <w:tcW w:w="629" w:type="dxa"/>
          </w:tcPr>
          <w:p w:rsidR="00095AD2" w:rsidRPr="001A04A3"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Анти-А групповое типирование эритроцитов ИВД, антитела</w:t>
            </w:r>
          </w:p>
        </w:tc>
        <w:tc>
          <w:tcPr>
            <w:tcW w:w="4661" w:type="dxa"/>
            <w:tcBorders>
              <w:top w:val="nil"/>
            </w:tcBorders>
          </w:tcPr>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Объем реагента ≥ 10 Кубический сантиметр;^миллилитр.</w:t>
            </w:r>
          </w:p>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 xml:space="preserve"> </w:t>
            </w:r>
          </w:p>
        </w:tc>
        <w:tc>
          <w:tcPr>
            <w:tcW w:w="1179" w:type="dxa"/>
            <w:tcBorders>
              <w:top w:val="nil"/>
            </w:tcBorders>
          </w:tcPr>
          <w:p w:rsidR="00095AD2" w:rsidRPr="001A04A3" w:rsidRDefault="00095AD2" w:rsidP="00747DF5">
            <w:pPr>
              <w:jc w:val="right"/>
              <w:rPr>
                <w:rFonts w:ascii="Times New Roman" w:eastAsia="Times New Roman" w:hAnsi="Times New Roman" w:cs="Times New Roman"/>
              </w:rPr>
            </w:pPr>
            <w:r>
              <w:rPr>
                <w:rFonts w:ascii="Times New Roman" w:eastAsia="Times New Roman" w:hAnsi="Times New Roman" w:cs="Times New Roman"/>
              </w:rPr>
              <w:t>60</w:t>
            </w:r>
          </w:p>
        </w:tc>
        <w:tc>
          <w:tcPr>
            <w:tcW w:w="1198"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флакон</w:t>
            </w:r>
          </w:p>
        </w:tc>
        <w:tc>
          <w:tcPr>
            <w:tcW w:w="1496" w:type="dxa"/>
            <w:tcBorders>
              <w:top w:val="nil"/>
            </w:tcBorders>
          </w:tcPr>
          <w:p w:rsidR="00095AD2" w:rsidRPr="001A04A3" w:rsidRDefault="00DB6770" w:rsidP="00747DF5">
            <w:pPr>
              <w:rPr>
                <w:rFonts w:ascii="Times New Roman" w:eastAsia="Times New Roman" w:hAnsi="Times New Roman" w:cs="Times New Roman"/>
              </w:rPr>
            </w:pPr>
            <w:r>
              <w:rPr>
                <w:rFonts w:ascii="Times New Roman" w:eastAsia="Times New Roman" w:hAnsi="Times New Roman" w:cs="Times New Roman"/>
              </w:rPr>
              <w:t>21.20.23.110-00005668</w:t>
            </w:r>
          </w:p>
        </w:tc>
        <w:tc>
          <w:tcPr>
            <w:tcW w:w="1198" w:type="dxa"/>
            <w:tcBorders>
              <w:top w:val="nil"/>
            </w:tcBorders>
          </w:tcPr>
          <w:p w:rsidR="00095AD2" w:rsidRPr="001A04A3" w:rsidRDefault="00095AD2" w:rsidP="00747DF5">
            <w:pPr>
              <w:rPr>
                <w:rFonts w:ascii="Times New Roman" w:eastAsia="Times New Roman" w:hAnsi="Times New Roman" w:cs="Times New Roman"/>
              </w:rPr>
            </w:pPr>
          </w:p>
        </w:tc>
        <w:tc>
          <w:tcPr>
            <w:tcW w:w="749"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r>
      <w:tr w:rsidR="00095AD2" w:rsidRPr="001A04A3" w:rsidTr="00747DF5">
        <w:trPr>
          <w:trHeight w:val="20"/>
          <w:jc w:val="center"/>
        </w:trPr>
        <w:tc>
          <w:tcPr>
            <w:tcW w:w="629" w:type="dxa"/>
          </w:tcPr>
          <w:p w:rsidR="00095AD2" w:rsidRPr="001A04A3"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Анти-АВ групповое типирование эритроцитов ИВД, антитела</w:t>
            </w:r>
          </w:p>
        </w:tc>
        <w:tc>
          <w:tcPr>
            <w:tcW w:w="4661" w:type="dxa"/>
            <w:tcBorders>
              <w:top w:val="nil"/>
            </w:tcBorders>
          </w:tcPr>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Объем реагента ≥ 10 Кубический сантиметр;^миллилитр.</w:t>
            </w:r>
          </w:p>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 xml:space="preserve"> </w:t>
            </w:r>
          </w:p>
        </w:tc>
        <w:tc>
          <w:tcPr>
            <w:tcW w:w="1179" w:type="dxa"/>
            <w:tcBorders>
              <w:top w:val="nil"/>
            </w:tcBorders>
          </w:tcPr>
          <w:p w:rsidR="00095AD2" w:rsidRPr="001A04A3" w:rsidRDefault="00095AD2" w:rsidP="00747DF5">
            <w:pPr>
              <w:jc w:val="right"/>
              <w:rPr>
                <w:rFonts w:ascii="Times New Roman" w:eastAsia="Times New Roman" w:hAnsi="Times New Roman" w:cs="Times New Roman"/>
              </w:rPr>
            </w:pPr>
            <w:r>
              <w:rPr>
                <w:rFonts w:ascii="Times New Roman" w:eastAsia="Times New Roman" w:hAnsi="Times New Roman" w:cs="Times New Roman"/>
              </w:rPr>
              <w:t>60</w:t>
            </w:r>
          </w:p>
        </w:tc>
        <w:tc>
          <w:tcPr>
            <w:tcW w:w="1198"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флакон</w:t>
            </w:r>
          </w:p>
        </w:tc>
        <w:tc>
          <w:tcPr>
            <w:tcW w:w="1496" w:type="dxa"/>
            <w:tcBorders>
              <w:top w:val="nil"/>
            </w:tcBorders>
          </w:tcPr>
          <w:p w:rsidR="00095AD2" w:rsidRPr="001A04A3" w:rsidRDefault="00DB6770" w:rsidP="00747DF5">
            <w:pPr>
              <w:rPr>
                <w:rFonts w:ascii="Times New Roman" w:eastAsia="Times New Roman" w:hAnsi="Times New Roman" w:cs="Times New Roman"/>
              </w:rPr>
            </w:pPr>
            <w:r>
              <w:rPr>
                <w:rFonts w:ascii="Times New Roman" w:eastAsia="Times New Roman" w:hAnsi="Times New Roman" w:cs="Times New Roman"/>
              </w:rPr>
              <w:t>21.20.23.110-00005711</w:t>
            </w:r>
            <w:r w:rsidR="00095AD2" w:rsidRPr="001A04A3">
              <w:rPr>
                <w:rFonts w:ascii="Times New Roman" w:eastAsia="Times New Roman" w:hAnsi="Times New Roman" w:cs="Times New Roman"/>
              </w:rPr>
              <w:t xml:space="preserve"> </w:t>
            </w:r>
          </w:p>
        </w:tc>
        <w:tc>
          <w:tcPr>
            <w:tcW w:w="1198" w:type="dxa"/>
            <w:tcBorders>
              <w:top w:val="nil"/>
            </w:tcBorders>
          </w:tcPr>
          <w:p w:rsidR="00095AD2" w:rsidRPr="001A04A3" w:rsidRDefault="00095AD2" w:rsidP="00747DF5">
            <w:pPr>
              <w:rPr>
                <w:rFonts w:ascii="Times New Roman" w:eastAsia="Times New Roman" w:hAnsi="Times New Roman" w:cs="Times New Roman"/>
              </w:rPr>
            </w:pPr>
          </w:p>
        </w:tc>
        <w:tc>
          <w:tcPr>
            <w:tcW w:w="749"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r>
      <w:tr w:rsidR="00095AD2" w:rsidRPr="001A04A3" w:rsidTr="00747DF5">
        <w:trPr>
          <w:trHeight w:val="20"/>
          <w:jc w:val="center"/>
        </w:trPr>
        <w:tc>
          <w:tcPr>
            <w:tcW w:w="629" w:type="dxa"/>
          </w:tcPr>
          <w:p w:rsidR="00095AD2" w:rsidRPr="001A04A3"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 xml:space="preserve">Гемоглобиновые микрокюветы </w:t>
            </w:r>
          </w:p>
        </w:tc>
        <w:tc>
          <w:tcPr>
            <w:tcW w:w="4661" w:type="dxa"/>
            <w:tcBorders>
              <w:top w:val="nil"/>
            </w:tcBorders>
          </w:tcPr>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Самозаполняющаяся микрокювета в индивидуальной одноразовой  упаковке, содержит  реагенты  на  внутренней поверхности  стенок,</w:t>
            </w:r>
          </w:p>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 микрокювета  изготовлена  из  полистирола, имеет  емкость  объемом 8 мкл  с расстоянием  между  стенками  0,13 мм (оптическое окно)</w:t>
            </w:r>
          </w:p>
          <w:p w:rsidR="00095AD2" w:rsidRPr="001A04A3" w:rsidRDefault="00095AD2" w:rsidP="00747DF5">
            <w:pPr>
              <w:spacing w:after="0"/>
              <w:rPr>
                <w:rFonts w:ascii="Times New Roman" w:eastAsia="Times New Roman" w:hAnsi="Times New Roman" w:cs="Times New Roman"/>
              </w:rPr>
            </w:pPr>
            <w:r w:rsidRPr="001A04A3">
              <w:rPr>
                <w:rFonts w:ascii="Times New Roman" w:eastAsia="Times New Roman" w:hAnsi="Times New Roman" w:cs="Times New Roman"/>
              </w:rPr>
              <w:t xml:space="preserve">  Предназначены для анализатора «HemoСontrol», EKF Diagnostics, Германия.  В упаковке не менее 50 шт. </w:t>
            </w:r>
          </w:p>
        </w:tc>
        <w:tc>
          <w:tcPr>
            <w:tcW w:w="1179" w:type="dxa"/>
            <w:tcBorders>
              <w:top w:val="nil"/>
            </w:tcBorders>
          </w:tcPr>
          <w:p w:rsidR="00095AD2" w:rsidRPr="001A04A3" w:rsidRDefault="00095AD2" w:rsidP="00747DF5">
            <w:pPr>
              <w:jc w:val="right"/>
              <w:rPr>
                <w:rFonts w:ascii="Times New Roman" w:eastAsia="Times New Roman" w:hAnsi="Times New Roman" w:cs="Times New Roman"/>
              </w:rPr>
            </w:pPr>
            <w:r>
              <w:rPr>
                <w:rFonts w:ascii="Times New Roman" w:eastAsia="Times New Roman" w:hAnsi="Times New Roman" w:cs="Times New Roman"/>
              </w:rPr>
              <w:t>10</w:t>
            </w:r>
          </w:p>
        </w:tc>
        <w:tc>
          <w:tcPr>
            <w:tcW w:w="1198"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упак</w:t>
            </w:r>
          </w:p>
        </w:tc>
        <w:tc>
          <w:tcPr>
            <w:tcW w:w="1496"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21.20.23.110</w:t>
            </w:r>
          </w:p>
        </w:tc>
        <w:tc>
          <w:tcPr>
            <w:tcW w:w="1198" w:type="dxa"/>
            <w:tcBorders>
              <w:top w:val="nil"/>
            </w:tcBorders>
          </w:tcPr>
          <w:p w:rsidR="00095AD2" w:rsidRPr="001A04A3" w:rsidRDefault="00095AD2" w:rsidP="00747DF5">
            <w:pPr>
              <w:rPr>
                <w:rFonts w:ascii="Times New Roman" w:eastAsia="Times New Roman" w:hAnsi="Times New Roman" w:cs="Times New Roman"/>
              </w:rPr>
            </w:pPr>
          </w:p>
        </w:tc>
        <w:tc>
          <w:tcPr>
            <w:tcW w:w="749"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r>
      <w:tr w:rsidR="00095AD2" w:rsidRPr="0032163B" w:rsidTr="00747DF5">
        <w:trPr>
          <w:trHeight w:val="20"/>
          <w:jc w:val="center"/>
        </w:trPr>
        <w:tc>
          <w:tcPr>
            <w:tcW w:w="629" w:type="dxa"/>
            <w:tcBorders>
              <w:top w:val="single" w:sz="4" w:space="0" w:color="auto"/>
              <w:left w:val="single" w:sz="4" w:space="0" w:color="auto"/>
              <w:bottom w:val="single" w:sz="4" w:space="0" w:color="auto"/>
              <w:right w:val="single" w:sz="4" w:space="0" w:color="auto"/>
            </w:tcBorders>
          </w:tcPr>
          <w:p w:rsidR="00095AD2" w:rsidRPr="0032163B"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 xml:space="preserve">Реагенты диагностические для иммуногематологических исследований in vitro. </w:t>
            </w:r>
          </w:p>
        </w:tc>
        <w:tc>
          <w:tcPr>
            <w:tcW w:w="4661" w:type="dxa"/>
            <w:tcBorders>
              <w:top w:val="nil"/>
              <w:left w:val="single" w:sz="4" w:space="0" w:color="auto"/>
              <w:bottom w:val="single" w:sz="4" w:space="0" w:color="auto"/>
              <w:right w:val="single" w:sz="4" w:space="0" w:color="auto"/>
            </w:tcBorders>
          </w:tcPr>
          <w:p w:rsidR="00095AD2" w:rsidRPr="0032163B" w:rsidRDefault="00095AD2" w:rsidP="00747DF5">
            <w:pPr>
              <w:spacing w:after="0"/>
              <w:rPr>
                <w:rFonts w:ascii="Times New Roman" w:eastAsia="Times New Roman" w:hAnsi="Times New Roman" w:cs="Times New Roman"/>
              </w:rPr>
            </w:pPr>
            <w:r w:rsidRPr="0032163B">
              <w:rPr>
                <w:rFonts w:ascii="Times New Roman" w:eastAsia="Times New Roman" w:hAnsi="Times New Roman" w:cs="Times New Roman"/>
              </w:rPr>
              <w:t>Предназначены для определения групп крови по системе АВО и резус антигена D эритроцитов методом гель-фильтрации.  Диагностические карты с  6 микропробирками размером 70х52 мм.  Карта состоит из двух аналогичных частей по 3 микропробирки каждая. Каждые три микропробирки содержат моноклональные антитела: анти-А (клеточная линия LM297/628 [LA-2]), анти-B (клеточная линия LM306/686 [LB-2]) и анти-D (клеточная линия. ESD-1М, 175-2) в гелевом матриксе. Инструкции по применению реагентов на русском языке. Не менее 48 карт в упаковке</w:t>
            </w:r>
          </w:p>
        </w:tc>
        <w:tc>
          <w:tcPr>
            <w:tcW w:w="1179" w:type="dxa"/>
            <w:tcBorders>
              <w:top w:val="nil"/>
              <w:left w:val="single" w:sz="4" w:space="0" w:color="auto"/>
              <w:bottom w:val="single" w:sz="4" w:space="0" w:color="auto"/>
              <w:right w:val="single" w:sz="4" w:space="0" w:color="auto"/>
            </w:tcBorders>
          </w:tcPr>
          <w:p w:rsidR="00095AD2" w:rsidRPr="0032163B" w:rsidRDefault="00095AD2" w:rsidP="00747DF5">
            <w:pPr>
              <w:jc w:val="right"/>
              <w:rPr>
                <w:rFonts w:ascii="Times New Roman" w:eastAsia="Times New Roman" w:hAnsi="Times New Roman" w:cs="Times New Roman"/>
              </w:rPr>
            </w:pPr>
            <w:r>
              <w:rPr>
                <w:rFonts w:ascii="Times New Roman" w:eastAsia="Times New Roman" w:hAnsi="Times New Roman" w:cs="Times New Roman"/>
              </w:rPr>
              <w:t>8</w:t>
            </w:r>
          </w:p>
        </w:tc>
        <w:tc>
          <w:tcPr>
            <w:tcW w:w="1198"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упак</w:t>
            </w:r>
          </w:p>
        </w:tc>
        <w:tc>
          <w:tcPr>
            <w:tcW w:w="1496"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21.20.23.110</w:t>
            </w:r>
          </w:p>
        </w:tc>
        <w:tc>
          <w:tcPr>
            <w:tcW w:w="1198"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r>
      <w:tr w:rsidR="00095AD2" w:rsidRPr="0032163B" w:rsidTr="00747DF5">
        <w:trPr>
          <w:trHeight w:val="20"/>
          <w:jc w:val="center"/>
        </w:trPr>
        <w:tc>
          <w:tcPr>
            <w:tcW w:w="629" w:type="dxa"/>
            <w:tcBorders>
              <w:top w:val="single" w:sz="4" w:space="0" w:color="auto"/>
              <w:left w:val="single" w:sz="4" w:space="0" w:color="auto"/>
              <w:bottom w:val="single" w:sz="4" w:space="0" w:color="auto"/>
              <w:right w:val="single" w:sz="4" w:space="0" w:color="auto"/>
            </w:tcBorders>
          </w:tcPr>
          <w:p w:rsidR="00095AD2" w:rsidRPr="0032163B"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 xml:space="preserve">Реагенты диагностические для иммуногематологических исследований in vitro. </w:t>
            </w:r>
          </w:p>
        </w:tc>
        <w:tc>
          <w:tcPr>
            <w:tcW w:w="4661" w:type="dxa"/>
            <w:tcBorders>
              <w:top w:val="nil"/>
              <w:left w:val="single" w:sz="4" w:space="0" w:color="auto"/>
              <w:bottom w:val="single" w:sz="4" w:space="0" w:color="auto"/>
              <w:right w:val="single" w:sz="4" w:space="0" w:color="auto"/>
            </w:tcBorders>
          </w:tcPr>
          <w:p w:rsidR="00095AD2" w:rsidRPr="0032163B" w:rsidRDefault="00095AD2" w:rsidP="00747DF5">
            <w:pPr>
              <w:spacing w:after="0"/>
              <w:rPr>
                <w:rFonts w:ascii="Times New Roman" w:eastAsia="Times New Roman" w:hAnsi="Times New Roman" w:cs="Times New Roman"/>
              </w:rPr>
            </w:pPr>
            <w:r w:rsidRPr="0032163B">
              <w:rPr>
                <w:rFonts w:ascii="Times New Roman" w:eastAsia="Times New Roman" w:hAnsi="Times New Roman" w:cs="Times New Roman"/>
              </w:rPr>
              <w:t>Предназначены для определения групп крови по системе АВО и резус антигена D эритроцитов методом гель-фильтрации.  Диагностические карты с  6 микропробирками размером 70х52 мм.  Карта состоит из двух аналогичных частей по 3 микропробирки каждая. Каждые три микропробирки содержат гель с моноклинальными анти-A [клеточная линия A5], анти-B [клеточная линия G½] и анти-D [клеточные линии LHM 59 / 20 (LDM3)+ 175-2] в гелевом матриксе. Инструкции по применению реагентов на русском языке.  Не менее 48 карт в упаковке</w:t>
            </w:r>
          </w:p>
        </w:tc>
        <w:tc>
          <w:tcPr>
            <w:tcW w:w="1179" w:type="dxa"/>
            <w:tcBorders>
              <w:top w:val="nil"/>
              <w:left w:val="single" w:sz="4" w:space="0" w:color="auto"/>
              <w:bottom w:val="single" w:sz="4" w:space="0" w:color="auto"/>
              <w:right w:val="single" w:sz="4" w:space="0" w:color="auto"/>
            </w:tcBorders>
          </w:tcPr>
          <w:p w:rsidR="00095AD2" w:rsidRPr="0032163B" w:rsidRDefault="00095AD2" w:rsidP="00747DF5">
            <w:pPr>
              <w:jc w:val="right"/>
              <w:rPr>
                <w:rFonts w:ascii="Times New Roman" w:eastAsia="Times New Roman" w:hAnsi="Times New Roman" w:cs="Times New Roman"/>
              </w:rPr>
            </w:pPr>
            <w:r>
              <w:rPr>
                <w:rFonts w:ascii="Times New Roman" w:eastAsia="Times New Roman" w:hAnsi="Times New Roman" w:cs="Times New Roman"/>
              </w:rPr>
              <w:t>8</w:t>
            </w:r>
          </w:p>
        </w:tc>
        <w:tc>
          <w:tcPr>
            <w:tcW w:w="1198"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упак</w:t>
            </w:r>
          </w:p>
        </w:tc>
        <w:tc>
          <w:tcPr>
            <w:tcW w:w="1496"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21.20.23.110</w:t>
            </w:r>
          </w:p>
        </w:tc>
        <w:tc>
          <w:tcPr>
            <w:tcW w:w="1198"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r>
      <w:tr w:rsidR="00095AD2" w:rsidRPr="0032163B" w:rsidTr="00747DF5">
        <w:trPr>
          <w:trHeight w:val="20"/>
          <w:jc w:val="center"/>
        </w:trPr>
        <w:tc>
          <w:tcPr>
            <w:tcW w:w="629" w:type="dxa"/>
            <w:tcBorders>
              <w:top w:val="single" w:sz="4" w:space="0" w:color="auto"/>
              <w:left w:val="single" w:sz="4" w:space="0" w:color="auto"/>
              <w:bottom w:val="single" w:sz="4" w:space="0" w:color="auto"/>
              <w:right w:val="single" w:sz="4" w:space="0" w:color="auto"/>
            </w:tcBorders>
          </w:tcPr>
          <w:p w:rsidR="00095AD2" w:rsidRPr="0032163B"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 xml:space="preserve">Реагенты диагностические для иммуногематологических исследований in vitro. </w:t>
            </w:r>
          </w:p>
        </w:tc>
        <w:tc>
          <w:tcPr>
            <w:tcW w:w="4661" w:type="dxa"/>
            <w:tcBorders>
              <w:top w:val="nil"/>
              <w:left w:val="single" w:sz="4" w:space="0" w:color="auto"/>
              <w:bottom w:val="single" w:sz="4" w:space="0" w:color="auto"/>
              <w:right w:val="single" w:sz="4" w:space="0" w:color="auto"/>
            </w:tcBorders>
          </w:tcPr>
          <w:p w:rsidR="00095AD2" w:rsidRPr="0032163B" w:rsidRDefault="00095AD2" w:rsidP="00747DF5">
            <w:pPr>
              <w:spacing w:after="0"/>
              <w:rPr>
                <w:rFonts w:ascii="Times New Roman" w:eastAsia="Times New Roman" w:hAnsi="Times New Roman" w:cs="Times New Roman"/>
              </w:rPr>
            </w:pPr>
            <w:r w:rsidRPr="0032163B">
              <w:rPr>
                <w:rFonts w:ascii="Times New Roman" w:eastAsia="Times New Roman" w:hAnsi="Times New Roman" w:cs="Times New Roman"/>
              </w:rPr>
              <w:t xml:space="preserve">Предназначены для определения KEL1 (К) антигенов эритроцитов на основе комбинации методов агглютинации и гель фильтрации. </w:t>
            </w:r>
            <w:r w:rsidRPr="0032163B">
              <w:rPr>
                <w:rFonts w:ascii="Times New Roman" w:eastAsia="Times New Roman" w:hAnsi="Times New Roman" w:cs="Times New Roman"/>
              </w:rPr>
              <w:br/>
              <w:t>Карта имеет 6 микропробирок, которые содержат моноклональные антитела  анти-К (клеточная линия MS-56) в гелевом матриксе.  Инструкции по примен</w:t>
            </w:r>
            <w:r>
              <w:rPr>
                <w:rFonts w:ascii="Times New Roman" w:eastAsia="Times New Roman" w:hAnsi="Times New Roman" w:cs="Times New Roman"/>
              </w:rPr>
              <w:t>ению реагентов на русском языке,</w:t>
            </w:r>
            <w:r w:rsidRPr="0032163B">
              <w:rPr>
                <w:rFonts w:ascii="Times New Roman" w:eastAsia="Times New Roman" w:hAnsi="Times New Roman" w:cs="Times New Roman"/>
              </w:rPr>
              <w:t xml:space="preserve"> не менее 12 карт в упаковке.</w:t>
            </w:r>
          </w:p>
        </w:tc>
        <w:tc>
          <w:tcPr>
            <w:tcW w:w="1179" w:type="dxa"/>
            <w:tcBorders>
              <w:top w:val="nil"/>
              <w:left w:val="single" w:sz="4" w:space="0" w:color="auto"/>
              <w:bottom w:val="single" w:sz="4" w:space="0" w:color="auto"/>
              <w:right w:val="single" w:sz="4" w:space="0" w:color="auto"/>
            </w:tcBorders>
          </w:tcPr>
          <w:p w:rsidR="00095AD2" w:rsidRPr="0032163B" w:rsidRDefault="00095AD2" w:rsidP="00747DF5">
            <w:pPr>
              <w:jc w:val="right"/>
              <w:rPr>
                <w:rFonts w:ascii="Times New Roman" w:eastAsia="Times New Roman" w:hAnsi="Times New Roman" w:cs="Times New Roman"/>
              </w:rPr>
            </w:pPr>
            <w:r>
              <w:rPr>
                <w:rFonts w:ascii="Times New Roman" w:eastAsia="Times New Roman" w:hAnsi="Times New Roman" w:cs="Times New Roman"/>
              </w:rPr>
              <w:t>5</w:t>
            </w:r>
          </w:p>
        </w:tc>
        <w:tc>
          <w:tcPr>
            <w:tcW w:w="1198"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упак</w:t>
            </w:r>
          </w:p>
        </w:tc>
        <w:tc>
          <w:tcPr>
            <w:tcW w:w="1496"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r w:rsidRPr="0032163B">
              <w:rPr>
                <w:rFonts w:ascii="Times New Roman" w:eastAsia="Times New Roman" w:hAnsi="Times New Roman" w:cs="Times New Roman"/>
              </w:rPr>
              <w:t>21.20.23.110</w:t>
            </w:r>
          </w:p>
        </w:tc>
        <w:tc>
          <w:tcPr>
            <w:tcW w:w="1198" w:type="dxa"/>
            <w:tcBorders>
              <w:top w:val="nil"/>
              <w:left w:val="single" w:sz="4" w:space="0" w:color="auto"/>
              <w:bottom w:val="single" w:sz="4" w:space="0" w:color="auto"/>
              <w:right w:val="single" w:sz="4" w:space="0" w:color="auto"/>
            </w:tcBorders>
          </w:tcPr>
          <w:p w:rsidR="00095AD2" w:rsidRPr="0032163B" w:rsidRDefault="00095AD2" w:rsidP="00747DF5">
            <w:pPr>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c>
          <w:tcPr>
            <w:tcW w:w="1198"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FFFFCC"/>
          </w:tcPr>
          <w:p w:rsidR="00095AD2" w:rsidRPr="0032163B" w:rsidRDefault="00095AD2" w:rsidP="00747DF5">
            <w:pPr>
              <w:spacing w:after="0" w:line="240" w:lineRule="auto"/>
              <w:jc w:val="center"/>
              <w:rPr>
                <w:rFonts w:ascii="Times New Roman" w:eastAsia="Times New Roman" w:hAnsi="Times New Roman" w:cs="Times New Roman"/>
                <w:lang w:eastAsia="ru-RU"/>
              </w:rPr>
            </w:pPr>
          </w:p>
        </w:tc>
      </w:tr>
      <w:tr w:rsidR="00095AD2" w:rsidRPr="001A04A3" w:rsidTr="00747DF5">
        <w:trPr>
          <w:trHeight w:val="20"/>
          <w:jc w:val="center"/>
        </w:trPr>
        <w:tc>
          <w:tcPr>
            <w:tcW w:w="629" w:type="dxa"/>
          </w:tcPr>
          <w:p w:rsidR="00095AD2" w:rsidRPr="001A04A3"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Анти-К групповое типирование эритроцитов ИВД, антитела</w:t>
            </w:r>
          </w:p>
        </w:tc>
        <w:tc>
          <w:tcPr>
            <w:tcW w:w="4661"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Объем реагента ≥ 10 Кубический сантиметр;^миллилитр.</w:t>
            </w:r>
          </w:p>
        </w:tc>
        <w:tc>
          <w:tcPr>
            <w:tcW w:w="1179" w:type="dxa"/>
            <w:tcBorders>
              <w:top w:val="nil"/>
            </w:tcBorders>
          </w:tcPr>
          <w:p w:rsidR="00095AD2" w:rsidRDefault="00095AD2" w:rsidP="00747DF5">
            <w:pPr>
              <w:jc w:val="right"/>
              <w:rPr>
                <w:rFonts w:ascii="Times New Roman" w:eastAsia="Times New Roman" w:hAnsi="Times New Roman" w:cs="Times New Roman"/>
              </w:rPr>
            </w:pPr>
            <w:r>
              <w:rPr>
                <w:rFonts w:ascii="Times New Roman" w:eastAsia="Times New Roman" w:hAnsi="Times New Roman" w:cs="Times New Roman"/>
              </w:rPr>
              <w:t>35</w:t>
            </w:r>
          </w:p>
          <w:p w:rsidR="00095AD2" w:rsidRPr="001A04A3" w:rsidRDefault="00095AD2" w:rsidP="00747DF5">
            <w:pPr>
              <w:jc w:val="right"/>
              <w:rPr>
                <w:rFonts w:ascii="Times New Roman" w:eastAsia="Times New Roman" w:hAnsi="Times New Roman" w:cs="Times New Roman"/>
              </w:rPr>
            </w:pPr>
          </w:p>
        </w:tc>
        <w:tc>
          <w:tcPr>
            <w:tcW w:w="1198"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флак</w:t>
            </w:r>
          </w:p>
        </w:tc>
        <w:tc>
          <w:tcPr>
            <w:tcW w:w="1496" w:type="dxa"/>
            <w:tcBorders>
              <w:top w:val="nil"/>
            </w:tcBorders>
          </w:tcPr>
          <w:p w:rsidR="00095AD2" w:rsidRPr="001A04A3" w:rsidRDefault="00095AD2" w:rsidP="00747DF5">
            <w:pPr>
              <w:rPr>
                <w:rFonts w:ascii="Times New Roman" w:eastAsia="Times New Roman" w:hAnsi="Times New Roman" w:cs="Times New Roman"/>
              </w:rPr>
            </w:pPr>
            <w:r w:rsidRPr="001A04A3">
              <w:rPr>
                <w:rFonts w:ascii="Times New Roman" w:eastAsia="Times New Roman" w:hAnsi="Times New Roman" w:cs="Times New Roman"/>
              </w:rPr>
              <w:t>21.20.23.110-00009156</w:t>
            </w:r>
          </w:p>
        </w:tc>
        <w:tc>
          <w:tcPr>
            <w:tcW w:w="1198" w:type="dxa"/>
            <w:tcBorders>
              <w:top w:val="nil"/>
            </w:tcBorders>
          </w:tcPr>
          <w:p w:rsidR="00095AD2" w:rsidRPr="001A04A3" w:rsidRDefault="00095AD2" w:rsidP="00747DF5">
            <w:pPr>
              <w:rPr>
                <w:rFonts w:ascii="Times New Roman" w:eastAsia="Times New Roman" w:hAnsi="Times New Roman" w:cs="Times New Roman"/>
              </w:rPr>
            </w:pPr>
          </w:p>
        </w:tc>
        <w:tc>
          <w:tcPr>
            <w:tcW w:w="749"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095AD2" w:rsidRPr="001A04A3" w:rsidRDefault="00095AD2" w:rsidP="00747DF5">
            <w:pPr>
              <w:spacing w:after="0" w:line="240" w:lineRule="auto"/>
              <w:jc w:val="center"/>
              <w:rPr>
                <w:rFonts w:ascii="Times New Roman" w:eastAsia="Times New Roman" w:hAnsi="Times New Roman" w:cs="Times New Roman"/>
                <w:lang w:eastAsia="ru-RU"/>
              </w:rPr>
            </w:pPr>
          </w:p>
        </w:tc>
      </w:tr>
      <w:tr w:rsidR="00095AD2" w:rsidRPr="00277F1A" w:rsidTr="00747DF5">
        <w:trPr>
          <w:trHeight w:val="20"/>
          <w:jc w:val="center"/>
        </w:trPr>
        <w:tc>
          <w:tcPr>
            <w:tcW w:w="629" w:type="dxa"/>
          </w:tcPr>
          <w:p w:rsidR="00095AD2" w:rsidRPr="00277F1A" w:rsidRDefault="00095AD2"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470" w:type="dxa"/>
            <w:tcBorders>
              <w:top w:val="nil"/>
            </w:tcBorders>
          </w:tcPr>
          <w:p w:rsidR="00095AD2" w:rsidRPr="00277F1A" w:rsidRDefault="00095AD2" w:rsidP="00747DF5">
            <w:pPr>
              <w:rPr>
                <w:rFonts w:ascii="Times New Roman" w:eastAsia="Times New Roman" w:hAnsi="Times New Roman" w:cs="Times New Roman"/>
              </w:rPr>
            </w:pPr>
            <w:r w:rsidRPr="00277F1A">
              <w:rPr>
                <w:rFonts w:ascii="Times New Roman" w:eastAsia="Times New Roman" w:hAnsi="Times New Roman" w:cs="Times New Roman"/>
              </w:rPr>
              <w:t xml:space="preserve">Штатив с реагентом ID-Дилюент 2 (ID-Diluent 2) для анализатора IH-1000, </w:t>
            </w:r>
          </w:p>
        </w:tc>
        <w:tc>
          <w:tcPr>
            <w:tcW w:w="4661" w:type="dxa"/>
            <w:tcBorders>
              <w:top w:val="nil"/>
            </w:tcBorders>
          </w:tcPr>
          <w:p w:rsidR="00095AD2" w:rsidRPr="00277F1A" w:rsidRDefault="00095AD2" w:rsidP="00747DF5">
            <w:pPr>
              <w:rPr>
                <w:rFonts w:ascii="Times New Roman" w:eastAsia="Times New Roman" w:hAnsi="Times New Roman" w:cs="Times New Roman"/>
              </w:rPr>
            </w:pPr>
            <w:r w:rsidRPr="00277F1A">
              <w:rPr>
                <w:rFonts w:ascii="Times New Roman" w:eastAsia="Times New Roman" w:hAnsi="Times New Roman" w:cs="Times New Roman"/>
              </w:rPr>
              <w:t>Штатив с реагентом ID-Дилюент 2 (ID-Diluent 2) для анализатора IH-1000, 10х60х700 мкл  ДиаМед ГмбХ, Швейцария Товарный знак DiaMed. Предназначен для приготовления суспензии эритроцитов для определения групп крови АВО/RH, RH/Келл фенотипирования, для определения и идентификации антиэритроцитарных антител, постановки реакции на совместимость по антигенам эритроцитов. Буфер Дилюент 2  Модифицированный раствор низкой ионной силы. Реагент поставляется в жидкой форме, готовый к использованию, стерильный.  Инструкции по применению реагентов на русском языке. Планшет 10х60 лунок по 700 мкл. Совместимость с иммуногематологическим анализатором IH-1000, имеющимся у заказчика.</w:t>
            </w:r>
          </w:p>
        </w:tc>
        <w:tc>
          <w:tcPr>
            <w:tcW w:w="1179" w:type="dxa"/>
            <w:tcBorders>
              <w:top w:val="nil"/>
            </w:tcBorders>
          </w:tcPr>
          <w:p w:rsidR="00095AD2" w:rsidRPr="00277F1A" w:rsidRDefault="00095AD2" w:rsidP="00747DF5">
            <w:pPr>
              <w:jc w:val="right"/>
              <w:rPr>
                <w:rFonts w:ascii="Times New Roman" w:eastAsia="Times New Roman" w:hAnsi="Times New Roman" w:cs="Times New Roman"/>
              </w:rPr>
            </w:pPr>
            <w:r>
              <w:rPr>
                <w:rFonts w:ascii="Times New Roman" w:eastAsia="Times New Roman" w:hAnsi="Times New Roman" w:cs="Times New Roman"/>
              </w:rPr>
              <w:t>9</w:t>
            </w:r>
          </w:p>
        </w:tc>
        <w:tc>
          <w:tcPr>
            <w:tcW w:w="1198" w:type="dxa"/>
            <w:tcBorders>
              <w:top w:val="nil"/>
            </w:tcBorders>
          </w:tcPr>
          <w:p w:rsidR="00095AD2" w:rsidRPr="00277F1A" w:rsidRDefault="00095AD2" w:rsidP="00747DF5">
            <w:pPr>
              <w:rPr>
                <w:rFonts w:ascii="Times New Roman" w:eastAsia="Times New Roman" w:hAnsi="Times New Roman" w:cs="Times New Roman"/>
              </w:rPr>
            </w:pPr>
            <w:r w:rsidRPr="00277F1A">
              <w:rPr>
                <w:rFonts w:ascii="Times New Roman" w:eastAsia="Times New Roman" w:hAnsi="Times New Roman" w:cs="Times New Roman"/>
              </w:rPr>
              <w:t>упак</w:t>
            </w:r>
          </w:p>
        </w:tc>
        <w:tc>
          <w:tcPr>
            <w:tcW w:w="1496" w:type="dxa"/>
            <w:tcBorders>
              <w:top w:val="nil"/>
            </w:tcBorders>
          </w:tcPr>
          <w:p w:rsidR="00095AD2" w:rsidRPr="00277F1A" w:rsidRDefault="00095AD2" w:rsidP="00747DF5">
            <w:pPr>
              <w:rPr>
                <w:rFonts w:ascii="Times New Roman" w:eastAsia="Times New Roman" w:hAnsi="Times New Roman" w:cs="Times New Roman"/>
              </w:rPr>
            </w:pPr>
            <w:r w:rsidRPr="00277F1A">
              <w:rPr>
                <w:rFonts w:ascii="Times New Roman" w:eastAsia="Times New Roman" w:hAnsi="Times New Roman" w:cs="Times New Roman"/>
              </w:rPr>
              <w:t>21.20.23.110</w:t>
            </w:r>
          </w:p>
        </w:tc>
        <w:tc>
          <w:tcPr>
            <w:tcW w:w="1198" w:type="dxa"/>
            <w:tcBorders>
              <w:top w:val="nil"/>
            </w:tcBorders>
          </w:tcPr>
          <w:p w:rsidR="00095AD2" w:rsidRPr="00277F1A" w:rsidRDefault="00095AD2" w:rsidP="00747DF5">
            <w:pPr>
              <w:rPr>
                <w:rFonts w:ascii="Times New Roman" w:eastAsia="Times New Roman" w:hAnsi="Times New Roman" w:cs="Times New Roman"/>
              </w:rPr>
            </w:pPr>
          </w:p>
        </w:tc>
        <w:tc>
          <w:tcPr>
            <w:tcW w:w="749" w:type="dxa"/>
            <w:shd w:val="clear" w:color="auto" w:fill="FFFFCC"/>
          </w:tcPr>
          <w:p w:rsidR="00095AD2" w:rsidRPr="00277F1A" w:rsidRDefault="00095AD2" w:rsidP="00747DF5">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095AD2" w:rsidRPr="00277F1A" w:rsidRDefault="00095AD2" w:rsidP="00747DF5">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095AD2" w:rsidRPr="00277F1A" w:rsidRDefault="00095AD2" w:rsidP="00747DF5">
            <w:pPr>
              <w:spacing w:after="0" w:line="240" w:lineRule="auto"/>
              <w:jc w:val="center"/>
              <w:rPr>
                <w:rFonts w:ascii="Times New Roman" w:eastAsia="Times New Roman" w:hAnsi="Times New Roman" w:cs="Times New Roman"/>
                <w:lang w:eastAsia="ru-RU"/>
              </w:rPr>
            </w:pPr>
          </w:p>
        </w:tc>
      </w:tr>
    </w:tbl>
    <w:p w:rsidR="00095AD2" w:rsidRDefault="00095AD2" w:rsidP="00095AD2">
      <w:pPr>
        <w:autoSpaceDE w:val="0"/>
        <w:autoSpaceDN w:val="0"/>
        <w:adjustRightInd w:val="0"/>
        <w:rPr>
          <w:rFonts w:ascii="Times New Roman CYR" w:hAnsi="Times New Roman CYR" w:cs="Times New Roman CYR"/>
          <w:b/>
          <w:bCs/>
          <w:sz w:val="18"/>
          <w:szCs w:val="18"/>
        </w:rPr>
      </w:pPr>
    </w:p>
    <w:p w:rsidR="00095AD2" w:rsidRDefault="00095AD2" w:rsidP="00095AD2">
      <w:pPr>
        <w:autoSpaceDE w:val="0"/>
        <w:autoSpaceDN w:val="0"/>
        <w:adjustRightInd w:val="0"/>
        <w:ind w:firstLine="709"/>
        <w:rPr>
          <w:rFonts w:ascii="Times New Roman CYR" w:hAnsi="Times New Roman CYR" w:cs="Times New Roman CYR"/>
          <w:b/>
          <w:bCs/>
          <w:sz w:val="18"/>
          <w:szCs w:val="18"/>
        </w:rPr>
      </w:pPr>
      <w:r>
        <w:rPr>
          <w:rFonts w:ascii="Times New Roman CYR" w:hAnsi="Times New Roman CYR" w:cs="Times New Roman CYR"/>
          <w:b/>
          <w:bCs/>
          <w:sz w:val="18"/>
          <w:szCs w:val="18"/>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 безопасности пациентов при выполнении медицинских вмешательств, предотвращения аллергических реакций и контаминации патогенами, выполнения требований санэпидрежима.</w:t>
      </w:r>
    </w:p>
    <w:p w:rsidR="00095AD2" w:rsidRDefault="00095AD2" w:rsidP="00095AD2">
      <w:pPr>
        <w:autoSpaceDE w:val="0"/>
        <w:autoSpaceDN w:val="0"/>
        <w:adjustRightInd w:val="0"/>
        <w:ind w:firstLine="709"/>
        <w:jc w:val="both"/>
        <w:rPr>
          <w:rFonts w:ascii="Times New Roman CYR" w:hAnsi="Times New Roman CYR" w:cs="Times New Roman CYR"/>
          <w:b/>
          <w:bCs/>
          <w:sz w:val="18"/>
          <w:szCs w:val="18"/>
        </w:rPr>
      </w:pPr>
    </w:p>
    <w:p w:rsidR="00095AD2" w:rsidRDefault="00095AD2" w:rsidP="00095AD2">
      <w:pPr>
        <w:rPr>
          <w:rFonts w:ascii="Times New Roman" w:hAnsi="Times New Roman" w:cs="Times New Roman"/>
          <w:b/>
          <w:sz w:val="28"/>
          <w:szCs w:val="28"/>
        </w:rPr>
      </w:pPr>
    </w:p>
    <w:p w:rsidR="00095AD2" w:rsidRDefault="00095AD2" w:rsidP="00095AD2">
      <w:pPr>
        <w:rPr>
          <w:rFonts w:ascii="Times New Roman" w:hAnsi="Times New Roman" w:cs="Times New Roman"/>
          <w:b/>
          <w:sz w:val="28"/>
          <w:szCs w:val="28"/>
        </w:rPr>
      </w:pPr>
    </w:p>
    <w:p w:rsidR="00095AD2" w:rsidRDefault="00095AD2" w:rsidP="00095AD2">
      <w:pPr>
        <w:rPr>
          <w:rFonts w:ascii="Times New Roman" w:hAnsi="Times New Roman" w:cs="Times New Roman"/>
          <w:b/>
          <w:sz w:val="28"/>
          <w:szCs w:val="28"/>
        </w:rPr>
      </w:pPr>
    </w:p>
    <w:p w:rsidR="00095AD2" w:rsidRDefault="00095AD2" w:rsidP="00095AD2">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095AD2">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663" w:rsidRDefault="00724663">
      <w:pPr>
        <w:spacing w:after="0" w:line="240" w:lineRule="auto"/>
      </w:pPr>
      <w:r>
        <w:separator/>
      </w:r>
    </w:p>
  </w:endnote>
  <w:endnote w:type="continuationSeparator" w:id="0">
    <w:p w:rsidR="00724663" w:rsidRDefault="0072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720B" w:rsidRDefault="00AA720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A720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A720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A720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A720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B6770">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A720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B677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663" w:rsidRDefault="00724663">
      <w:pPr>
        <w:spacing w:after="0" w:line="240" w:lineRule="auto"/>
      </w:pPr>
      <w:r>
        <w:separator/>
      </w:r>
    </w:p>
  </w:footnote>
  <w:footnote w:type="continuationSeparator" w:id="0">
    <w:p w:rsidR="00724663" w:rsidRDefault="0072466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720B" w:rsidRDefault="00AA720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720B" w:rsidRDefault="00AA720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720B" w:rsidRDefault="00AA720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5AD2"/>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4616"/>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24663"/>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A720B"/>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770"/>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2092-EF89-4900-B80D-8D72ADD5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2025-02-17T12:53:00Z</dcterms:created>
  <dcterms:modified xsi:type="dcterms:W3CDTF">2025-02-17T12:53:00Z</dcterms:modified>
</cp:coreProperties>
</file>