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17.12.2024 № 05-07/2194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60BD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21.06.2025. Максимальное количество партий – 20 (двадцать).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ook w:val="04A0" w:firstRow="1" w:lastRow="0" w:firstColumn="1" w:lastColumn="0" w:noHBand="0" w:noVBand="1"/>
      </w:tblPr>
      <w:tblGrid>
        <w:gridCol w:w="1851"/>
        <w:gridCol w:w="1200"/>
        <w:gridCol w:w="1851"/>
        <w:gridCol w:w="1577"/>
        <w:gridCol w:w="1577"/>
        <w:gridCol w:w="1477"/>
        <w:gridCol w:w="1215"/>
        <w:gridCol w:w="1116"/>
        <w:gridCol w:w="1515"/>
        <w:gridCol w:w="829"/>
        <w:gridCol w:w="931"/>
        <w:gridCol w:w="810"/>
      </w:tblGrid>
      <w:tr w:rsidR="005A2308" w:rsidRPr="005A2308" w:rsidTr="005A2308">
        <w:trPr>
          <w:trHeight w:val="402"/>
        </w:trPr>
        <w:tc>
          <w:tcPr>
            <w:tcW w:w="58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Наименование товара, работы, услуги</w:t>
            </w:r>
          </w:p>
        </w:tc>
        <w:tc>
          <w:tcPr>
            <w:tcW w:w="37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Код позиции</w:t>
            </w:r>
          </w:p>
        </w:tc>
        <w:tc>
          <w:tcPr>
            <w:tcW w:w="2031" w:type="pct"/>
            <w:gridSpan w:val="4"/>
            <w:tcBorders>
              <w:top w:val="single" w:sz="8" w:space="0" w:color="000000"/>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Характеристики товара, работы, услуги</w:t>
            </w:r>
          </w:p>
        </w:tc>
        <w:tc>
          <w:tcPr>
            <w:tcW w:w="38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Количество (объем работы, услуги)</w:t>
            </w:r>
          </w:p>
        </w:tc>
        <w:tc>
          <w:tcPr>
            <w:tcW w:w="35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Единица измерения</w:t>
            </w:r>
          </w:p>
        </w:tc>
        <w:tc>
          <w:tcPr>
            <w:tcW w:w="47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Страна происхождения товара</w:t>
            </w:r>
          </w:p>
        </w:tc>
        <w:tc>
          <w:tcPr>
            <w:tcW w:w="26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Ставк а НДС%</w:t>
            </w:r>
          </w:p>
        </w:tc>
        <w:tc>
          <w:tcPr>
            <w:tcW w:w="29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Цена за единицу без НДС</w:t>
            </w:r>
          </w:p>
        </w:tc>
        <w:tc>
          <w:tcPr>
            <w:tcW w:w="25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Сумма без НДС</w:t>
            </w:r>
          </w:p>
        </w:tc>
      </w:tr>
      <w:tr w:rsidR="005A2308" w:rsidRPr="005A2308" w:rsidTr="005A2308">
        <w:trPr>
          <w:trHeight w:val="402"/>
        </w:trPr>
        <w:tc>
          <w:tcPr>
            <w:tcW w:w="580" w:type="pct"/>
            <w:vMerge/>
            <w:tcBorders>
              <w:top w:val="single" w:sz="8" w:space="0" w:color="000000"/>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b/>
                <w:bCs/>
                <w:color w:val="000000"/>
                <w:sz w:val="15"/>
                <w:szCs w:val="15"/>
                <w:lang w:eastAsia="ru-RU"/>
              </w:rPr>
            </w:pPr>
          </w:p>
        </w:tc>
        <w:tc>
          <w:tcPr>
            <w:tcW w:w="376" w:type="pct"/>
            <w:vMerge/>
            <w:tcBorders>
              <w:top w:val="single" w:sz="8" w:space="0" w:color="000000"/>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b/>
                <w:bCs/>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Наименование характеристики</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Значение характеристики</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Единица измерения характеристики</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b/>
                <w:bCs/>
                <w:color w:val="000000"/>
                <w:sz w:val="15"/>
                <w:szCs w:val="15"/>
                <w:lang w:eastAsia="ru-RU"/>
              </w:rPr>
            </w:pPr>
            <w:r w:rsidRPr="005A2308">
              <w:rPr>
                <w:rFonts w:ascii="Times New Roman" w:eastAsia="Times New Roman" w:hAnsi="Times New Roman" w:cs="Times New Roman"/>
                <w:b/>
                <w:bCs/>
                <w:color w:val="000000"/>
                <w:sz w:val="15"/>
                <w:szCs w:val="15"/>
                <w:lang w:eastAsia="ru-RU"/>
              </w:rPr>
              <w:t>Инструкция по заполнению характеристик в заявке</w:t>
            </w:r>
          </w:p>
        </w:tc>
        <w:tc>
          <w:tcPr>
            <w:tcW w:w="381" w:type="pct"/>
            <w:vMerge/>
            <w:tcBorders>
              <w:top w:val="single" w:sz="8" w:space="0" w:color="000000"/>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b/>
                <w:bCs/>
                <w:color w:val="000000"/>
                <w:sz w:val="15"/>
                <w:szCs w:val="15"/>
                <w:lang w:eastAsia="ru-RU"/>
              </w:rPr>
            </w:pPr>
          </w:p>
        </w:tc>
        <w:tc>
          <w:tcPr>
            <w:tcW w:w="350" w:type="pct"/>
            <w:vMerge/>
            <w:tcBorders>
              <w:top w:val="single" w:sz="8" w:space="0" w:color="000000"/>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b/>
                <w:bCs/>
                <w:color w:val="000000"/>
                <w:sz w:val="15"/>
                <w:szCs w:val="15"/>
                <w:lang w:eastAsia="ru-RU"/>
              </w:rPr>
            </w:pPr>
          </w:p>
        </w:tc>
        <w:tc>
          <w:tcPr>
            <w:tcW w:w="475" w:type="pct"/>
            <w:vMerge/>
            <w:tcBorders>
              <w:top w:val="single" w:sz="8" w:space="0" w:color="000000"/>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b/>
                <w:bCs/>
                <w:color w:val="000000"/>
                <w:sz w:val="15"/>
                <w:szCs w:val="15"/>
                <w:lang w:eastAsia="ru-RU"/>
              </w:rPr>
            </w:pPr>
          </w:p>
        </w:tc>
        <w:tc>
          <w:tcPr>
            <w:tcW w:w="260" w:type="pct"/>
            <w:vMerge/>
            <w:tcBorders>
              <w:top w:val="single" w:sz="8" w:space="0" w:color="000000"/>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b/>
                <w:bCs/>
                <w:color w:val="000000"/>
                <w:sz w:val="15"/>
                <w:szCs w:val="15"/>
                <w:lang w:eastAsia="ru-RU"/>
              </w:rPr>
            </w:pPr>
          </w:p>
        </w:tc>
        <w:tc>
          <w:tcPr>
            <w:tcW w:w="292" w:type="pct"/>
            <w:vMerge/>
            <w:tcBorders>
              <w:top w:val="single" w:sz="8" w:space="0" w:color="000000"/>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b/>
                <w:bCs/>
                <w:color w:val="000000"/>
                <w:sz w:val="15"/>
                <w:szCs w:val="15"/>
                <w:lang w:eastAsia="ru-RU"/>
              </w:rPr>
            </w:pPr>
          </w:p>
        </w:tc>
        <w:tc>
          <w:tcPr>
            <w:tcW w:w="254" w:type="pct"/>
            <w:vMerge/>
            <w:tcBorders>
              <w:top w:val="single" w:sz="8" w:space="0" w:color="000000"/>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b/>
                <w:bCs/>
                <w:color w:val="000000"/>
                <w:sz w:val="15"/>
                <w:szCs w:val="15"/>
                <w:lang w:eastAsia="ru-RU"/>
              </w:rPr>
            </w:pPr>
          </w:p>
        </w:tc>
      </w:tr>
      <w:tr w:rsidR="005A2308" w:rsidRPr="005A2308" w:rsidTr="005A2308">
        <w:trPr>
          <w:trHeight w:val="402"/>
        </w:trPr>
        <w:tc>
          <w:tcPr>
            <w:tcW w:w="5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Депарафинирующий раствор</w:t>
            </w:r>
          </w:p>
        </w:tc>
        <w:tc>
          <w:tcPr>
            <w:tcW w:w="37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21.20.23.110</w:t>
            </w:r>
          </w:p>
        </w:tc>
        <w:tc>
          <w:tcPr>
            <w:tcW w:w="580"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94"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94"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3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106</w:t>
            </w:r>
          </w:p>
        </w:tc>
        <w:tc>
          <w:tcPr>
            <w:tcW w:w="3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Упаковка</w:t>
            </w:r>
          </w:p>
        </w:tc>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c>
          <w:tcPr>
            <w:tcW w:w="26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c>
          <w:tcPr>
            <w:tcW w:w="29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Депарафинирующий раствор - прозрачная бесцветная однородная маслянистая жидкость со слабым специфическим запахом, предназначен для удаления парафина из парафиновых срезов перед окраской для любых гистологических методов окраски.</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соответствие</w:t>
            </w:r>
          </w:p>
        </w:tc>
        <w:tc>
          <w:tcPr>
            <w:tcW w:w="494" w:type="pct"/>
            <w:tcBorders>
              <w:top w:val="nil"/>
              <w:left w:val="nil"/>
              <w:bottom w:val="single" w:sz="8" w:space="0" w:color="000000"/>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Значение характеристики не может изменяться участником закупки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Возможно использование этого раствора для удаления парафина с рабочих поверхностей и инструментов.</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соответствие</w:t>
            </w:r>
          </w:p>
        </w:tc>
        <w:tc>
          <w:tcPr>
            <w:tcW w:w="494" w:type="pct"/>
            <w:tcBorders>
              <w:top w:val="nil"/>
              <w:left w:val="nil"/>
              <w:bottom w:val="single" w:sz="8" w:space="0" w:color="000000"/>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Значение характеристики не может изменяться участником закупки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Не смешивается с этанолом</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соответствие</w:t>
            </w:r>
          </w:p>
        </w:tc>
        <w:tc>
          <w:tcPr>
            <w:tcW w:w="494" w:type="pct"/>
            <w:tcBorders>
              <w:top w:val="nil"/>
              <w:left w:val="nil"/>
              <w:bottom w:val="single" w:sz="8" w:space="0" w:color="000000"/>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Значение характеристики не может изменяться участником закупки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Объем:</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1</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Литр; кубический дециметр</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Участник закупки указывает в заявке конкретное значение характеристики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Промежуточная смесь №1</w:t>
            </w:r>
          </w:p>
        </w:tc>
        <w:tc>
          <w:tcPr>
            <w:tcW w:w="37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21.20.23.110</w:t>
            </w:r>
          </w:p>
        </w:tc>
        <w:tc>
          <w:tcPr>
            <w:tcW w:w="580"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94"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94"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3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280</w:t>
            </w:r>
          </w:p>
        </w:tc>
        <w:tc>
          <w:tcPr>
            <w:tcW w:w="3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Упаковка</w:t>
            </w:r>
          </w:p>
        </w:tc>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c>
          <w:tcPr>
            <w:tcW w:w="26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c>
          <w:tcPr>
            <w:tcW w:w="29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Промежуточная смесь №1 - однородная, не расслаивающаяся при комнатной температуре, прозрачная маслянистая жидкость, предназначена для продолжения обезвоживания и обезжиривания, а также начала пропитывания тканей в процедуре проводки гистологических образцов.</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соответствие</w:t>
            </w:r>
          </w:p>
        </w:tc>
        <w:tc>
          <w:tcPr>
            <w:tcW w:w="494" w:type="pct"/>
            <w:tcBorders>
              <w:top w:val="nil"/>
              <w:left w:val="nil"/>
              <w:bottom w:val="single" w:sz="8" w:space="0" w:color="000000"/>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Значение характеристики не может изменяться участником закупки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Применяется после дегидратанта и перед промежуточной смесью №2.</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соответствие</w:t>
            </w:r>
          </w:p>
        </w:tc>
        <w:tc>
          <w:tcPr>
            <w:tcW w:w="494" w:type="pct"/>
            <w:tcBorders>
              <w:top w:val="nil"/>
              <w:left w:val="nil"/>
              <w:bottom w:val="single" w:sz="8" w:space="0" w:color="000000"/>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Значение характеристики не может изменяться участником закупки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Промежуточная смесь № 1 продолжает удалять избыток несвязанной воды и жиров из образцов ткани в процессе проводки.</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соответствие</w:t>
            </w:r>
          </w:p>
        </w:tc>
        <w:tc>
          <w:tcPr>
            <w:tcW w:w="494" w:type="pct"/>
            <w:tcBorders>
              <w:top w:val="nil"/>
              <w:left w:val="nil"/>
              <w:bottom w:val="single" w:sz="8" w:space="0" w:color="000000"/>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Значение характеристики не может изменяться участником закупки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Одновременно начинается пропитывание минеральным маслом – просветляющим агентом</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соответствие</w:t>
            </w:r>
          </w:p>
        </w:tc>
        <w:tc>
          <w:tcPr>
            <w:tcW w:w="494" w:type="pct"/>
            <w:tcBorders>
              <w:top w:val="nil"/>
              <w:left w:val="nil"/>
              <w:bottom w:val="single" w:sz="8" w:space="0" w:color="000000"/>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Значение характеристики не может изменяться участником закупки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Объем:</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1</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Литр; кубический дециметр</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Участник закупки указывает в заявке конкретное значение характеристики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Промежуточная смесь №2</w:t>
            </w:r>
          </w:p>
        </w:tc>
        <w:tc>
          <w:tcPr>
            <w:tcW w:w="37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21.20.23.110</w:t>
            </w:r>
          </w:p>
        </w:tc>
        <w:tc>
          <w:tcPr>
            <w:tcW w:w="580"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94"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94"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nil"/>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3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50</w:t>
            </w:r>
          </w:p>
        </w:tc>
        <w:tc>
          <w:tcPr>
            <w:tcW w:w="35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Упаковка</w:t>
            </w:r>
          </w:p>
        </w:tc>
        <w:tc>
          <w:tcPr>
            <w:tcW w:w="47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c>
          <w:tcPr>
            <w:tcW w:w="26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c>
          <w:tcPr>
            <w:tcW w:w="29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w:t>
            </w: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Промежуточная смесь №2 - однородная, не расслаивающаяся при комнатной температуре, прозрачная маслянистая жидкость, предназначена для продолжения обезвоживания, обезжиривания и пропитывания тканей в процедуре проводки гистологических образцов.</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соответствие</w:t>
            </w:r>
          </w:p>
        </w:tc>
        <w:tc>
          <w:tcPr>
            <w:tcW w:w="494" w:type="pct"/>
            <w:tcBorders>
              <w:top w:val="nil"/>
              <w:left w:val="nil"/>
              <w:bottom w:val="single" w:sz="8" w:space="0" w:color="000000"/>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Значение характеристики не может изменяться участником закупки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Промежуточная смесь №2 применяется после промежуточной смеси №1 и перед минеральным маслом</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соответствие</w:t>
            </w:r>
          </w:p>
        </w:tc>
        <w:tc>
          <w:tcPr>
            <w:tcW w:w="494" w:type="pct"/>
            <w:tcBorders>
              <w:top w:val="nil"/>
              <w:left w:val="nil"/>
              <w:bottom w:val="single" w:sz="8" w:space="0" w:color="000000"/>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Значение характеристики не может изменяться участником закупки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Промежуточная смесь № 2 окончательно удаляет избыток несвязанной воды и жиров из образцов ткани в процессе проводки.</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соответствие</w:t>
            </w:r>
          </w:p>
        </w:tc>
        <w:tc>
          <w:tcPr>
            <w:tcW w:w="494" w:type="pct"/>
            <w:tcBorders>
              <w:top w:val="nil"/>
              <w:left w:val="nil"/>
              <w:bottom w:val="single" w:sz="8" w:space="0" w:color="000000"/>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Значение характеристики не может изменяться участником закупки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Одновременно продолжается пропитывание минеральным маслом – просветляющим агентом</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соответствие</w:t>
            </w:r>
          </w:p>
        </w:tc>
        <w:tc>
          <w:tcPr>
            <w:tcW w:w="494" w:type="pct"/>
            <w:tcBorders>
              <w:top w:val="nil"/>
              <w:left w:val="nil"/>
              <w:bottom w:val="single" w:sz="8" w:space="0" w:color="000000"/>
              <w:right w:val="single" w:sz="8" w:space="0" w:color="000000"/>
            </w:tcBorders>
            <w:shd w:val="clear" w:color="auto" w:fill="auto"/>
            <w:hideMark/>
          </w:tcPr>
          <w:p w:rsidR="005A2308" w:rsidRPr="005A2308" w:rsidRDefault="005A2308" w:rsidP="005A2308">
            <w:pPr>
              <w:spacing w:after="0" w:line="240" w:lineRule="auto"/>
              <w:rPr>
                <w:rFonts w:ascii="Calibri" w:eastAsia="Times New Roman" w:hAnsi="Calibri" w:cs="Times New Roman"/>
                <w:color w:val="000000"/>
                <w:lang w:eastAsia="ru-RU"/>
              </w:rPr>
            </w:pPr>
            <w:r w:rsidRPr="005A2308">
              <w:rPr>
                <w:rFonts w:ascii="Calibri" w:eastAsia="Times New Roman" w:hAnsi="Calibri" w:cs="Times New Roman"/>
                <w:color w:val="000000"/>
                <w:lang w:eastAsia="ru-RU"/>
              </w:rPr>
              <w:t> </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Значение характеристики не может изменяться участником закупки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r w:rsidR="005A2308" w:rsidRPr="005A2308" w:rsidTr="005A2308">
        <w:trPr>
          <w:trHeight w:val="402"/>
        </w:trPr>
        <w:tc>
          <w:tcPr>
            <w:tcW w:w="58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76"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580"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Объем:</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 1</w:t>
            </w:r>
          </w:p>
        </w:tc>
        <w:tc>
          <w:tcPr>
            <w:tcW w:w="494"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Литр; кубический дециметр</w:t>
            </w:r>
          </w:p>
        </w:tc>
        <w:tc>
          <w:tcPr>
            <w:tcW w:w="462" w:type="pct"/>
            <w:tcBorders>
              <w:top w:val="nil"/>
              <w:left w:val="nil"/>
              <w:bottom w:val="single" w:sz="8" w:space="0" w:color="000000"/>
              <w:right w:val="single" w:sz="8" w:space="0" w:color="000000"/>
            </w:tcBorders>
            <w:shd w:val="clear" w:color="auto" w:fill="auto"/>
            <w:vAlign w:val="center"/>
            <w:hideMark/>
          </w:tcPr>
          <w:p w:rsidR="005A2308" w:rsidRPr="005A2308" w:rsidRDefault="005A2308" w:rsidP="005A2308">
            <w:pPr>
              <w:spacing w:after="0" w:line="240" w:lineRule="auto"/>
              <w:jc w:val="center"/>
              <w:rPr>
                <w:rFonts w:ascii="Times New Roman" w:eastAsia="Times New Roman" w:hAnsi="Times New Roman" w:cs="Times New Roman"/>
                <w:color w:val="000000"/>
                <w:sz w:val="15"/>
                <w:szCs w:val="15"/>
                <w:lang w:eastAsia="ru-RU"/>
              </w:rPr>
            </w:pPr>
            <w:r w:rsidRPr="005A2308">
              <w:rPr>
                <w:rFonts w:ascii="Times New Roman" w:eastAsia="Times New Roman" w:hAnsi="Times New Roman" w:cs="Times New Roman"/>
                <w:color w:val="000000"/>
                <w:sz w:val="15"/>
                <w:szCs w:val="15"/>
                <w:lang w:eastAsia="ru-RU"/>
              </w:rPr>
              <w:t>Участник закупки указывает в заявке конкретное значение характеристики</w:t>
            </w:r>
          </w:p>
        </w:tc>
        <w:tc>
          <w:tcPr>
            <w:tcW w:w="381"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35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475"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60"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92"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5A2308" w:rsidRPr="005A2308" w:rsidRDefault="005A2308" w:rsidP="005A2308">
            <w:pPr>
              <w:spacing w:after="0" w:line="240" w:lineRule="auto"/>
              <w:rPr>
                <w:rFonts w:ascii="Times New Roman" w:eastAsia="Times New Roman" w:hAnsi="Times New Roman" w:cs="Times New Roman"/>
                <w:color w:val="000000"/>
                <w:sz w:val="15"/>
                <w:szCs w:val="15"/>
                <w:lang w:eastAsia="ru-RU"/>
              </w:rPr>
            </w:pPr>
          </w:p>
        </w:tc>
      </w:tr>
    </w:tbl>
    <w:p w:rsidR="00170252" w:rsidRDefault="00170252" w:rsidP="000820E3">
      <w:pPr>
        <w:rPr>
          <w:rFonts w:ascii="Times New Roman" w:hAnsi="Times New Roman" w:cs="Times New Roman"/>
          <w:b/>
          <w:sz w:val="28"/>
          <w:szCs w:val="28"/>
        </w:rPr>
      </w:pPr>
    </w:p>
    <w:sectPr w:rsidR="00170252" w:rsidSect="005A230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3C" w:rsidRDefault="0005173C">
      <w:pPr>
        <w:spacing w:after="0" w:line="240" w:lineRule="auto"/>
      </w:pPr>
      <w:r>
        <w:separator/>
      </w:r>
    </w:p>
  </w:endnote>
  <w:endnote w:type="continuationSeparator" w:id="0">
    <w:p w:rsidR="0005173C" w:rsidRDefault="0005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0BDC" w:rsidRDefault="00760BD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60BD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60BD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60BDC">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60BD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A2308">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60BD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A2308">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3C" w:rsidRDefault="0005173C">
      <w:pPr>
        <w:spacing w:after="0" w:line="240" w:lineRule="auto"/>
      </w:pPr>
      <w:r>
        <w:separator/>
      </w:r>
    </w:p>
  </w:footnote>
  <w:footnote w:type="continuationSeparator" w:id="0">
    <w:p w:rsidR="0005173C" w:rsidRDefault="0005173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0BDC" w:rsidRDefault="00760BD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0BDC" w:rsidRDefault="00760BD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0BDC" w:rsidRDefault="00760BD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173C"/>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2308"/>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0BDC"/>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884372755">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1945-0F78-4A6B-908E-DB424950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2024-12-17T05:41:00Z</dcterms:created>
  <dcterms:modified xsi:type="dcterms:W3CDTF">2024-12-17T05:41:00Z</dcterms:modified>
</cp:coreProperties>
</file>