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17.02.2025 № 05-07/238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363A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120 календарных дней с момента заключение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Весь товар должен быть поставлен в течение 120 календарных дней с момента заключения контракта, допускается поставка партиями</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4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1970"/>
        <w:gridCol w:w="5337"/>
        <w:gridCol w:w="849"/>
        <w:gridCol w:w="1006"/>
        <w:gridCol w:w="1438"/>
        <w:gridCol w:w="1290"/>
        <w:gridCol w:w="849"/>
        <w:gridCol w:w="1244"/>
        <w:gridCol w:w="1204"/>
      </w:tblGrid>
      <w:tr w:rsidR="001424A3" w:rsidRPr="003B5BF0" w:rsidTr="00747DF5">
        <w:trPr>
          <w:trHeight w:val="20"/>
          <w:jc w:val="center"/>
        </w:trPr>
        <w:tc>
          <w:tcPr>
            <w:tcW w:w="732" w:type="dxa"/>
            <w:vAlign w:val="center"/>
            <w:hideMark/>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 п/п</w:t>
            </w:r>
          </w:p>
        </w:tc>
        <w:tc>
          <w:tcPr>
            <w:tcW w:w="1942" w:type="dxa"/>
            <w:vAlign w:val="center"/>
            <w:hideMark/>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 xml:space="preserve">Наименование товара </w:t>
            </w:r>
          </w:p>
        </w:tc>
        <w:tc>
          <w:tcPr>
            <w:tcW w:w="5261" w:type="dxa"/>
            <w:vAlign w:val="center"/>
            <w:hideMark/>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Требования к качеству, техническим и функциональным характеристикам товара</w:t>
            </w:r>
          </w:p>
        </w:tc>
        <w:tc>
          <w:tcPr>
            <w:tcW w:w="837" w:type="dxa"/>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Кол-во</w:t>
            </w:r>
          </w:p>
        </w:tc>
        <w:tc>
          <w:tcPr>
            <w:tcW w:w="992" w:type="dxa"/>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Ед. изм.</w:t>
            </w:r>
          </w:p>
        </w:tc>
        <w:tc>
          <w:tcPr>
            <w:tcW w:w="1418" w:type="dxa"/>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ОКПД2/ КТРУ</w:t>
            </w:r>
          </w:p>
        </w:tc>
        <w:tc>
          <w:tcPr>
            <w:tcW w:w="1272" w:type="dxa"/>
            <w:shd w:val="clear" w:color="auto" w:fill="FFFFCC"/>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Страна происхождения</w:t>
            </w:r>
          </w:p>
        </w:tc>
        <w:tc>
          <w:tcPr>
            <w:tcW w:w="837" w:type="dxa"/>
            <w:shd w:val="clear" w:color="auto" w:fill="FFFFCC"/>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НДС %</w:t>
            </w:r>
          </w:p>
        </w:tc>
        <w:tc>
          <w:tcPr>
            <w:tcW w:w="1226" w:type="dxa"/>
            <w:shd w:val="clear" w:color="auto" w:fill="FFFFCC"/>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Цена за ед. без НДС (руб.)</w:t>
            </w:r>
          </w:p>
        </w:tc>
        <w:tc>
          <w:tcPr>
            <w:tcW w:w="1187" w:type="dxa"/>
            <w:shd w:val="clear" w:color="auto" w:fill="FFFFCC"/>
            <w:vAlign w:val="center"/>
          </w:tcPr>
          <w:p w:rsidR="001424A3" w:rsidRPr="003B5BF0" w:rsidRDefault="001424A3" w:rsidP="00747DF5">
            <w:pPr>
              <w:spacing w:after="0" w:line="240" w:lineRule="auto"/>
              <w:jc w:val="center"/>
              <w:rPr>
                <w:rFonts w:ascii="Times New Roman" w:hAnsi="Times New Roman" w:cs="Times New Roman"/>
                <w:b/>
                <w:lang w:eastAsia="ru-RU"/>
              </w:rPr>
            </w:pPr>
            <w:r w:rsidRPr="003B5BF0">
              <w:rPr>
                <w:rFonts w:ascii="Times New Roman" w:hAnsi="Times New Roman" w:cs="Times New Roman"/>
                <w:b/>
                <w:lang w:eastAsia="ru-RU"/>
              </w:rPr>
              <w:t>Сумма без НДС (руб.)</w:t>
            </w:r>
          </w:p>
        </w:tc>
      </w:tr>
      <w:tr w:rsidR="001424A3" w:rsidRPr="003B5BF0" w:rsidTr="00747DF5">
        <w:trPr>
          <w:trHeight w:val="20"/>
          <w:jc w:val="center"/>
        </w:trPr>
        <w:tc>
          <w:tcPr>
            <w:tcW w:w="732" w:type="dxa"/>
          </w:tcPr>
          <w:p w:rsidR="001424A3" w:rsidRPr="003B5BF0" w:rsidRDefault="001424A3" w:rsidP="00747DF5">
            <w:pPr>
              <w:pStyle w:val="a7"/>
              <w:numPr>
                <w:ilvl w:val="0"/>
                <w:numId w:val="20"/>
              </w:numPr>
              <w:spacing w:after="0" w:line="240" w:lineRule="auto"/>
              <w:ind w:left="139" w:hanging="283"/>
              <w:jc w:val="center"/>
              <w:rPr>
                <w:rFonts w:ascii="Times New Roman" w:hAnsi="Times New Roman" w:cs="Times New Roman"/>
                <w:lang w:eastAsia="ru-RU"/>
              </w:rPr>
            </w:pPr>
          </w:p>
        </w:tc>
        <w:tc>
          <w:tcPr>
            <w:tcW w:w="1942" w:type="dxa"/>
          </w:tcPr>
          <w:p w:rsidR="001424A3" w:rsidRPr="003B5BF0" w:rsidRDefault="001424A3" w:rsidP="00747DF5">
            <w:pPr>
              <w:autoSpaceDE w:val="0"/>
              <w:autoSpaceDN w:val="0"/>
              <w:adjustRightInd w:val="0"/>
              <w:spacing w:after="0" w:line="240" w:lineRule="auto"/>
              <w:rPr>
                <w:rFonts w:ascii="Times New Roman" w:hAnsi="Times New Roman" w:cs="Times New Roman"/>
              </w:rPr>
            </w:pPr>
            <w:r w:rsidRPr="003B5BF0">
              <w:rPr>
                <w:rStyle w:val="cardmaininfocontent2"/>
                <w:rFonts w:ascii="Times New Roman" w:hAnsi="Times New Roman" w:cs="Times New Roman"/>
                <w:specVanish w:val="0"/>
              </w:rPr>
              <w:t>Гибридизация нуклеиновых кислот ИВД, набор</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Количество выполняемых тестов ≥ 10 штук</w:t>
            </w:r>
          </w:p>
          <w:p w:rsidR="001424A3" w:rsidRPr="003B5BF0" w:rsidRDefault="001424A3" w:rsidP="00747DF5">
            <w:pPr>
              <w:rPr>
                <w:rFonts w:ascii="Times New Roman" w:hAnsi="Times New Roman" w:cs="Times New Roman"/>
              </w:rPr>
            </w:pPr>
            <w:r w:rsidRPr="003B5BF0">
              <w:rPr>
                <w:rFonts w:ascii="Times New Roman" w:hAnsi="Times New Roman" w:cs="Times New Roman"/>
              </w:rPr>
              <w:t>Метод - Флуоресцентная FISH и хромогенная CISH гибридизация in situ</w:t>
            </w:r>
          </w:p>
          <w:p w:rsidR="001424A3" w:rsidRPr="003B5BF0" w:rsidRDefault="001424A3" w:rsidP="00747DF5">
            <w:pPr>
              <w:rPr>
                <w:rFonts w:ascii="Times New Roman" w:hAnsi="Times New Roman" w:cs="Times New Roman"/>
              </w:rPr>
            </w:pPr>
            <w:r w:rsidRPr="003B5BF0">
              <w:rPr>
                <w:rFonts w:ascii="Times New Roman" w:hAnsi="Times New Roman" w:cs="Times New Roman"/>
              </w:rPr>
              <w:t>Назначение - для ручной постановки анализа.</w:t>
            </w:r>
          </w:p>
          <w:p w:rsidR="001424A3" w:rsidRPr="003B5BF0" w:rsidRDefault="001424A3" w:rsidP="00747DF5">
            <w:pPr>
              <w:rPr>
                <w:rFonts w:ascii="Times New Roman" w:hAnsi="Times New Roman" w:cs="Times New Roman"/>
              </w:rPr>
            </w:pPr>
            <w:r w:rsidRPr="003B5BF0">
              <w:rPr>
                <w:rFonts w:ascii="Times New Roman" w:hAnsi="Times New Roman" w:cs="Times New Roman"/>
              </w:rPr>
              <w:t>Дополнительные характеристики:* Реагент должен подходить для работы на гистологических срезах. Смесь ДНК-зондов, содержит зонд, специфичный для дистального участка гена BCL2 (18q21), меченый флуорохромом PlatinumBright 550, и зонд, специфичный для проксимального участка гена BCL2 (18q21), меченый флуорохромом PlatinumBright 495. Зонды растворены в гибридизационном буфере и готовы к использованию. (в соответствии с протоколом исследований, применяемым в лаборатории).</w:t>
            </w:r>
          </w:p>
        </w:tc>
        <w:tc>
          <w:tcPr>
            <w:tcW w:w="837"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1</w:t>
            </w:r>
          </w:p>
        </w:tc>
        <w:tc>
          <w:tcPr>
            <w:tcW w:w="992"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21.20.23.110-00007068</w:t>
            </w:r>
          </w:p>
        </w:tc>
        <w:tc>
          <w:tcPr>
            <w:tcW w:w="1272"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83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226"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18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r>
      <w:tr w:rsidR="001424A3" w:rsidRPr="003B5BF0" w:rsidTr="00747DF5">
        <w:trPr>
          <w:trHeight w:val="20"/>
          <w:jc w:val="center"/>
        </w:trPr>
        <w:tc>
          <w:tcPr>
            <w:tcW w:w="732" w:type="dxa"/>
          </w:tcPr>
          <w:p w:rsidR="001424A3" w:rsidRPr="003B5BF0" w:rsidRDefault="001424A3" w:rsidP="00747DF5">
            <w:pPr>
              <w:pStyle w:val="a7"/>
              <w:numPr>
                <w:ilvl w:val="0"/>
                <w:numId w:val="20"/>
              </w:numPr>
              <w:spacing w:after="0" w:line="240" w:lineRule="auto"/>
              <w:ind w:left="139" w:hanging="283"/>
              <w:jc w:val="center"/>
              <w:rPr>
                <w:rFonts w:ascii="Times New Roman" w:hAnsi="Times New Roman" w:cs="Times New Roman"/>
                <w:lang w:eastAsia="ru-RU"/>
              </w:rPr>
            </w:pPr>
          </w:p>
        </w:tc>
        <w:tc>
          <w:tcPr>
            <w:tcW w:w="1942" w:type="dxa"/>
          </w:tcPr>
          <w:p w:rsidR="001424A3" w:rsidRPr="003B5BF0" w:rsidRDefault="001424A3" w:rsidP="00747DF5">
            <w:pPr>
              <w:autoSpaceDE w:val="0"/>
              <w:autoSpaceDN w:val="0"/>
              <w:adjustRightInd w:val="0"/>
              <w:spacing w:after="0" w:line="240" w:lineRule="auto"/>
              <w:rPr>
                <w:rFonts w:ascii="Times New Roman" w:hAnsi="Times New Roman" w:cs="Times New Roman"/>
              </w:rPr>
            </w:pPr>
            <w:r w:rsidRPr="003B5BF0">
              <w:rPr>
                <w:rStyle w:val="cardmaininfocontent2"/>
                <w:rFonts w:ascii="Times New Roman" w:hAnsi="Times New Roman" w:cs="Times New Roman"/>
                <w:specVanish w:val="0"/>
              </w:rPr>
              <w:t>Гибридизация нуклеиновых кислот ИВД, набор</w:t>
            </w:r>
          </w:p>
        </w:tc>
        <w:tc>
          <w:tcPr>
            <w:tcW w:w="5261" w:type="dxa"/>
            <w:tcBorders>
              <w:top w:val="nil"/>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Количество выполняемых тестов ≥ 10 штук</w:t>
            </w:r>
          </w:p>
          <w:p w:rsidR="001424A3" w:rsidRPr="003B5BF0" w:rsidRDefault="001424A3" w:rsidP="00747DF5">
            <w:pPr>
              <w:rPr>
                <w:rFonts w:ascii="Times New Roman" w:hAnsi="Times New Roman" w:cs="Times New Roman"/>
              </w:rPr>
            </w:pPr>
            <w:r w:rsidRPr="003B5BF0">
              <w:rPr>
                <w:rFonts w:ascii="Times New Roman" w:hAnsi="Times New Roman" w:cs="Times New Roman"/>
              </w:rPr>
              <w:t>Метод - Флуоресцентная FISH и хромогенная CISH гибридизация in situ</w:t>
            </w:r>
          </w:p>
          <w:p w:rsidR="001424A3" w:rsidRPr="003B5BF0" w:rsidRDefault="001424A3" w:rsidP="00747DF5">
            <w:pPr>
              <w:rPr>
                <w:rFonts w:ascii="Times New Roman" w:hAnsi="Times New Roman" w:cs="Times New Roman"/>
              </w:rPr>
            </w:pPr>
            <w:r w:rsidRPr="003B5BF0">
              <w:rPr>
                <w:rFonts w:ascii="Times New Roman" w:hAnsi="Times New Roman" w:cs="Times New Roman"/>
              </w:rPr>
              <w:t>Назначение - для ручной постановки анализа.</w:t>
            </w:r>
          </w:p>
          <w:p w:rsidR="001424A3" w:rsidRPr="003B5BF0" w:rsidRDefault="001424A3" w:rsidP="00747DF5">
            <w:pPr>
              <w:rPr>
                <w:rFonts w:ascii="Times New Roman" w:hAnsi="Times New Roman" w:cs="Times New Roman"/>
              </w:rPr>
            </w:pPr>
            <w:r w:rsidRPr="003B5BF0">
              <w:rPr>
                <w:rFonts w:ascii="Times New Roman" w:hAnsi="Times New Roman" w:cs="Times New Roman"/>
              </w:rPr>
              <w:t>Дополнительные характеристики:* Реагент должен подходить для работы на гистологических срезах. Смесь ДНК-зондов, содержит зонд, специфичный для дистального участка гена BCL6 (3q27), меченый флуорохромом PlatinumBright 550, и зонд, специфичный для проксимального участка гена BCL6 (3q27), меченый флуорохромом PlatinumBright 495. Зонды растворены в гибридизационном буфере и готовы к использованию. (в соответствии с протоколом исследований, применяемым в лаборатории).</w:t>
            </w:r>
          </w:p>
        </w:tc>
        <w:tc>
          <w:tcPr>
            <w:tcW w:w="837"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1</w:t>
            </w:r>
          </w:p>
        </w:tc>
        <w:tc>
          <w:tcPr>
            <w:tcW w:w="992" w:type="dxa"/>
          </w:tcPr>
          <w:p w:rsidR="001424A3" w:rsidRPr="003B5BF0" w:rsidRDefault="001424A3" w:rsidP="00747DF5">
            <w:pPr>
              <w:spacing w:after="0" w:line="240" w:lineRule="auto"/>
              <w:jc w:val="cente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r w:rsidRPr="003B5BF0">
              <w:rPr>
                <w:rFonts w:ascii="Times New Roman" w:hAnsi="Times New Roman" w:cs="Times New Roman"/>
                <w:lang w:eastAsia="ru-RU"/>
              </w:rPr>
              <w:t>набор</w:t>
            </w:r>
          </w:p>
        </w:tc>
        <w:tc>
          <w:tcPr>
            <w:tcW w:w="1418" w:type="dxa"/>
            <w:tcBorders>
              <w:top w:val="nil"/>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21.20.23.110-00007068</w:t>
            </w:r>
          </w:p>
        </w:tc>
        <w:tc>
          <w:tcPr>
            <w:tcW w:w="1272"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83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226"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18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r>
      <w:tr w:rsidR="001424A3" w:rsidRPr="003B5BF0" w:rsidTr="00747DF5">
        <w:trPr>
          <w:trHeight w:val="20"/>
          <w:jc w:val="center"/>
        </w:trPr>
        <w:tc>
          <w:tcPr>
            <w:tcW w:w="732" w:type="dxa"/>
          </w:tcPr>
          <w:p w:rsidR="001424A3" w:rsidRPr="003B5BF0" w:rsidRDefault="001424A3" w:rsidP="00747DF5">
            <w:pPr>
              <w:pStyle w:val="a7"/>
              <w:numPr>
                <w:ilvl w:val="0"/>
                <w:numId w:val="20"/>
              </w:numPr>
              <w:spacing w:after="0" w:line="240" w:lineRule="auto"/>
              <w:ind w:left="139" w:hanging="283"/>
              <w:jc w:val="center"/>
              <w:rPr>
                <w:rFonts w:ascii="Times New Roman" w:hAnsi="Times New Roman" w:cs="Times New Roman"/>
                <w:lang w:eastAsia="ru-RU"/>
              </w:rPr>
            </w:pPr>
          </w:p>
        </w:tc>
        <w:tc>
          <w:tcPr>
            <w:tcW w:w="1942" w:type="dxa"/>
          </w:tcPr>
          <w:p w:rsidR="001424A3" w:rsidRPr="003B5BF0" w:rsidRDefault="001424A3" w:rsidP="00747DF5">
            <w:pPr>
              <w:autoSpaceDE w:val="0"/>
              <w:autoSpaceDN w:val="0"/>
              <w:adjustRightInd w:val="0"/>
              <w:spacing w:after="0" w:line="240" w:lineRule="auto"/>
              <w:rPr>
                <w:rFonts w:ascii="Times New Roman" w:hAnsi="Times New Roman" w:cs="Times New Roman"/>
              </w:rPr>
            </w:pPr>
            <w:r w:rsidRPr="003B5BF0">
              <w:rPr>
                <w:rStyle w:val="cardmaininfocontent2"/>
                <w:rFonts w:ascii="Times New Roman" w:hAnsi="Times New Roman" w:cs="Times New Roman"/>
                <w:specVanish w:val="0"/>
              </w:rPr>
              <w:t>Гибридизация нуклеиновых кислот ИВД, набор</w:t>
            </w:r>
          </w:p>
        </w:tc>
        <w:tc>
          <w:tcPr>
            <w:tcW w:w="5261" w:type="dxa"/>
            <w:tcBorders>
              <w:top w:val="nil"/>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Количество выполняемых тестов ≥ 10 штук</w:t>
            </w:r>
          </w:p>
          <w:p w:rsidR="001424A3" w:rsidRPr="003B5BF0" w:rsidRDefault="001424A3" w:rsidP="00747DF5">
            <w:pPr>
              <w:rPr>
                <w:rFonts w:ascii="Times New Roman" w:hAnsi="Times New Roman" w:cs="Times New Roman"/>
              </w:rPr>
            </w:pPr>
            <w:r w:rsidRPr="003B5BF0">
              <w:rPr>
                <w:rFonts w:ascii="Times New Roman" w:hAnsi="Times New Roman" w:cs="Times New Roman"/>
              </w:rPr>
              <w:t>Метод - Флуоресцентная FISH и хромогенная CISH гибридизация in situ</w:t>
            </w:r>
          </w:p>
          <w:p w:rsidR="001424A3" w:rsidRPr="003B5BF0" w:rsidRDefault="001424A3" w:rsidP="00747DF5">
            <w:pPr>
              <w:rPr>
                <w:rFonts w:ascii="Times New Roman" w:hAnsi="Times New Roman" w:cs="Times New Roman"/>
              </w:rPr>
            </w:pPr>
            <w:r w:rsidRPr="003B5BF0">
              <w:rPr>
                <w:rFonts w:ascii="Times New Roman" w:hAnsi="Times New Roman" w:cs="Times New Roman"/>
              </w:rPr>
              <w:t>Назначение - для ручной постановки анализа.</w:t>
            </w:r>
          </w:p>
          <w:p w:rsidR="001424A3" w:rsidRPr="003B5BF0" w:rsidRDefault="001424A3" w:rsidP="00747DF5">
            <w:pPr>
              <w:rPr>
                <w:rFonts w:ascii="Times New Roman" w:hAnsi="Times New Roman" w:cs="Times New Roman"/>
              </w:rPr>
            </w:pPr>
            <w:r w:rsidRPr="003B5BF0">
              <w:rPr>
                <w:rFonts w:ascii="Times New Roman" w:hAnsi="Times New Roman" w:cs="Times New Roman"/>
              </w:rPr>
              <w:t>Дополнительные характеристики:* Реагент должен подходить для работы на гистологических срезах. Смесь ДНК-зондов, содержит зонд, специфичный для проксимального участка гена EWSR1 (22q12), меченый флуорохромом PlatinumBright 550, и зонд, специфичный для дистального участка гена EWSR1 (22q12), меченый флуорохромом PlatinumBright 495. Зонды растворены в гибридизационном буфере и готовы к использованию. (в соответствии с протоколом исследований, применяемым в лаборатории).</w:t>
            </w:r>
          </w:p>
        </w:tc>
        <w:tc>
          <w:tcPr>
            <w:tcW w:w="837"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1</w:t>
            </w:r>
          </w:p>
        </w:tc>
        <w:tc>
          <w:tcPr>
            <w:tcW w:w="992" w:type="dxa"/>
          </w:tcPr>
          <w:p w:rsidR="001424A3" w:rsidRPr="003B5BF0" w:rsidRDefault="001424A3" w:rsidP="00747DF5">
            <w:pPr>
              <w:spacing w:after="0" w:line="240" w:lineRule="auto"/>
              <w:jc w:val="cente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r w:rsidRPr="003B5BF0">
              <w:rPr>
                <w:rFonts w:ascii="Times New Roman" w:hAnsi="Times New Roman" w:cs="Times New Roman"/>
                <w:lang w:eastAsia="ru-RU"/>
              </w:rPr>
              <w:t>набор</w:t>
            </w:r>
          </w:p>
        </w:tc>
        <w:tc>
          <w:tcPr>
            <w:tcW w:w="1418" w:type="dxa"/>
            <w:tcBorders>
              <w:top w:val="nil"/>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21.20.23.110-00007068</w:t>
            </w:r>
          </w:p>
        </w:tc>
        <w:tc>
          <w:tcPr>
            <w:tcW w:w="1272"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83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226"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18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r>
      <w:tr w:rsidR="001424A3" w:rsidRPr="003B5BF0" w:rsidTr="00747DF5">
        <w:trPr>
          <w:trHeight w:val="20"/>
          <w:jc w:val="center"/>
        </w:trPr>
        <w:tc>
          <w:tcPr>
            <w:tcW w:w="732" w:type="dxa"/>
          </w:tcPr>
          <w:p w:rsidR="001424A3" w:rsidRPr="003B5BF0" w:rsidRDefault="001424A3" w:rsidP="00747DF5">
            <w:pPr>
              <w:pStyle w:val="a7"/>
              <w:numPr>
                <w:ilvl w:val="0"/>
                <w:numId w:val="20"/>
              </w:numPr>
              <w:spacing w:after="0" w:line="240" w:lineRule="auto"/>
              <w:ind w:left="139" w:hanging="283"/>
              <w:jc w:val="center"/>
              <w:rPr>
                <w:rFonts w:ascii="Times New Roman" w:hAnsi="Times New Roman" w:cs="Times New Roman"/>
                <w:lang w:eastAsia="ru-RU"/>
              </w:rPr>
            </w:pPr>
          </w:p>
        </w:tc>
        <w:tc>
          <w:tcPr>
            <w:tcW w:w="1942" w:type="dxa"/>
          </w:tcPr>
          <w:p w:rsidR="001424A3" w:rsidRPr="003B5BF0" w:rsidRDefault="001424A3" w:rsidP="00747DF5">
            <w:pPr>
              <w:autoSpaceDE w:val="0"/>
              <w:autoSpaceDN w:val="0"/>
              <w:adjustRightInd w:val="0"/>
              <w:spacing w:after="0" w:line="240" w:lineRule="auto"/>
              <w:rPr>
                <w:rFonts w:ascii="Times New Roman" w:hAnsi="Times New Roman" w:cs="Times New Roman"/>
              </w:rPr>
            </w:pPr>
            <w:r w:rsidRPr="003B5BF0">
              <w:rPr>
                <w:rStyle w:val="cardmaininfocontent2"/>
                <w:rFonts w:ascii="Times New Roman" w:hAnsi="Times New Roman" w:cs="Times New Roman"/>
                <w:specVanish w:val="0"/>
              </w:rPr>
              <w:t>Гибридизация нуклеиновых кислот ИВД, набор</w:t>
            </w:r>
          </w:p>
        </w:tc>
        <w:tc>
          <w:tcPr>
            <w:tcW w:w="5261" w:type="dxa"/>
            <w:tcBorders>
              <w:top w:val="nil"/>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Количество выполняемых тестов ≥ 10 штук</w:t>
            </w:r>
          </w:p>
          <w:p w:rsidR="001424A3" w:rsidRPr="003B5BF0" w:rsidRDefault="001424A3" w:rsidP="00747DF5">
            <w:pPr>
              <w:rPr>
                <w:rFonts w:ascii="Times New Roman" w:hAnsi="Times New Roman" w:cs="Times New Roman"/>
              </w:rPr>
            </w:pPr>
            <w:r w:rsidRPr="003B5BF0">
              <w:rPr>
                <w:rFonts w:ascii="Times New Roman" w:hAnsi="Times New Roman" w:cs="Times New Roman"/>
              </w:rPr>
              <w:t>Метод - Флуоресцентная FISH и хромогенная CISH гибридизация in situ</w:t>
            </w:r>
          </w:p>
          <w:p w:rsidR="001424A3" w:rsidRPr="003B5BF0" w:rsidRDefault="001424A3" w:rsidP="00747DF5">
            <w:pPr>
              <w:rPr>
                <w:rFonts w:ascii="Times New Roman" w:hAnsi="Times New Roman" w:cs="Times New Roman"/>
              </w:rPr>
            </w:pPr>
            <w:r w:rsidRPr="003B5BF0">
              <w:rPr>
                <w:rFonts w:ascii="Times New Roman" w:hAnsi="Times New Roman" w:cs="Times New Roman"/>
              </w:rPr>
              <w:t>Назначение - для ручной постановки анализа.</w:t>
            </w:r>
          </w:p>
          <w:p w:rsidR="001424A3" w:rsidRPr="003B5BF0" w:rsidRDefault="001424A3" w:rsidP="00747DF5">
            <w:pPr>
              <w:rPr>
                <w:rFonts w:ascii="Times New Roman" w:hAnsi="Times New Roman" w:cs="Times New Roman"/>
              </w:rPr>
            </w:pPr>
            <w:r w:rsidRPr="003B5BF0">
              <w:rPr>
                <w:rFonts w:ascii="Times New Roman" w:hAnsi="Times New Roman" w:cs="Times New Roman"/>
              </w:rPr>
              <w:t>Дополнительные характеристики:* Реагент должен подходить для работы на гистологических срезах. Смесь ДНК-зондов, содержит зонд, специфичный для участка проксимального гену MYC (8q24), меченый флуорохромом PlatinumBright 495, зонд, специфичный для участка гена MYC (8q24), меченый флуорохромом PlatinumBright 415, и зонд, специфичный для участка дистального гена MYC (8q24), меченый флуорохромом PlatinumBright 550. Зонды растворены в гибридизационном буфере и готовы к использованию. (в соответствии с протоколом исследований, применяемым в лаборатории).</w:t>
            </w:r>
          </w:p>
        </w:tc>
        <w:tc>
          <w:tcPr>
            <w:tcW w:w="837"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1</w:t>
            </w:r>
          </w:p>
        </w:tc>
        <w:tc>
          <w:tcPr>
            <w:tcW w:w="992" w:type="dxa"/>
          </w:tcPr>
          <w:p w:rsidR="001424A3" w:rsidRPr="003B5BF0" w:rsidRDefault="001424A3" w:rsidP="00747DF5">
            <w:pPr>
              <w:spacing w:after="0" w:line="240" w:lineRule="auto"/>
              <w:jc w:val="cente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r w:rsidRPr="003B5BF0">
              <w:rPr>
                <w:rFonts w:ascii="Times New Roman" w:hAnsi="Times New Roman" w:cs="Times New Roman"/>
                <w:lang w:eastAsia="ru-RU"/>
              </w:rPr>
              <w:t>набор</w:t>
            </w:r>
          </w:p>
        </w:tc>
        <w:tc>
          <w:tcPr>
            <w:tcW w:w="1418" w:type="dxa"/>
            <w:tcBorders>
              <w:top w:val="nil"/>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21.20.23.110-00007068</w:t>
            </w:r>
          </w:p>
        </w:tc>
        <w:tc>
          <w:tcPr>
            <w:tcW w:w="1272"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83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226"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18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r>
      <w:tr w:rsidR="001424A3" w:rsidRPr="003B5BF0" w:rsidTr="00747DF5">
        <w:trPr>
          <w:trHeight w:val="20"/>
          <w:jc w:val="center"/>
        </w:trPr>
        <w:tc>
          <w:tcPr>
            <w:tcW w:w="732" w:type="dxa"/>
          </w:tcPr>
          <w:p w:rsidR="001424A3" w:rsidRPr="003B5BF0" w:rsidRDefault="001424A3" w:rsidP="00747DF5">
            <w:pPr>
              <w:pStyle w:val="a7"/>
              <w:numPr>
                <w:ilvl w:val="0"/>
                <w:numId w:val="20"/>
              </w:numPr>
              <w:spacing w:after="0" w:line="240" w:lineRule="auto"/>
              <w:ind w:left="139" w:hanging="283"/>
              <w:jc w:val="center"/>
              <w:rPr>
                <w:rFonts w:ascii="Times New Roman" w:hAnsi="Times New Roman" w:cs="Times New Roman"/>
                <w:lang w:eastAsia="ru-RU"/>
              </w:rPr>
            </w:pPr>
          </w:p>
        </w:tc>
        <w:tc>
          <w:tcPr>
            <w:tcW w:w="1942" w:type="dxa"/>
          </w:tcPr>
          <w:p w:rsidR="001424A3" w:rsidRPr="003B5BF0" w:rsidRDefault="001424A3" w:rsidP="00747DF5">
            <w:pPr>
              <w:autoSpaceDE w:val="0"/>
              <w:autoSpaceDN w:val="0"/>
              <w:adjustRightInd w:val="0"/>
              <w:spacing w:after="0" w:line="240" w:lineRule="auto"/>
              <w:rPr>
                <w:rFonts w:ascii="Times New Roman" w:hAnsi="Times New Roman" w:cs="Times New Roman"/>
              </w:rPr>
            </w:pPr>
            <w:r w:rsidRPr="003B5BF0">
              <w:rPr>
                <w:rStyle w:val="cardmaininfocontent2"/>
                <w:rFonts w:ascii="Times New Roman" w:hAnsi="Times New Roman" w:cs="Times New Roman"/>
                <w:specVanish w:val="0"/>
              </w:rPr>
              <w:t>Гибридизация нуклеиновых кислот ИВД, набор</w:t>
            </w:r>
          </w:p>
        </w:tc>
        <w:tc>
          <w:tcPr>
            <w:tcW w:w="5261" w:type="dxa"/>
            <w:tcBorders>
              <w:top w:val="nil"/>
              <w:left w:val="single" w:sz="4" w:space="0" w:color="auto"/>
              <w:bottom w:val="nil"/>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Количество выполняемых тестов ≥ 10 штук</w:t>
            </w:r>
          </w:p>
          <w:p w:rsidR="001424A3" w:rsidRPr="003B5BF0" w:rsidRDefault="001424A3" w:rsidP="00747DF5">
            <w:pPr>
              <w:rPr>
                <w:rFonts w:ascii="Times New Roman" w:hAnsi="Times New Roman" w:cs="Times New Roman"/>
              </w:rPr>
            </w:pPr>
            <w:r w:rsidRPr="003B5BF0">
              <w:rPr>
                <w:rFonts w:ascii="Times New Roman" w:hAnsi="Times New Roman" w:cs="Times New Roman"/>
              </w:rPr>
              <w:t>Метод - Флуоресцентная FISH и хромогенная CISH гибридизация in situ</w:t>
            </w:r>
          </w:p>
          <w:p w:rsidR="001424A3" w:rsidRPr="003B5BF0" w:rsidRDefault="001424A3" w:rsidP="00747DF5">
            <w:pPr>
              <w:rPr>
                <w:rFonts w:ascii="Times New Roman" w:hAnsi="Times New Roman" w:cs="Times New Roman"/>
              </w:rPr>
            </w:pPr>
            <w:r w:rsidRPr="003B5BF0">
              <w:rPr>
                <w:rFonts w:ascii="Times New Roman" w:hAnsi="Times New Roman" w:cs="Times New Roman"/>
              </w:rPr>
              <w:t>Назначение - для ручной постановки анализа.</w:t>
            </w:r>
          </w:p>
          <w:p w:rsidR="001424A3" w:rsidRPr="003B5BF0" w:rsidRDefault="001424A3" w:rsidP="00747DF5">
            <w:pPr>
              <w:rPr>
                <w:rFonts w:ascii="Times New Roman" w:hAnsi="Times New Roman" w:cs="Times New Roman"/>
              </w:rPr>
            </w:pPr>
            <w:r w:rsidRPr="003B5BF0">
              <w:rPr>
                <w:rFonts w:ascii="Times New Roman" w:hAnsi="Times New Roman" w:cs="Times New Roman"/>
              </w:rPr>
              <w:t>Дополнительные характеристики:* Реагент должен подходить для работы на гистологических срезах. Смесь ДНК-зондов, содержит зонд, специфичный для участка гена MYCN (участок 2p24), короткого плеча хромосомы 2, меченый флуорохромом PlatinumBright 550, зонд, специфичный для участка гена LAF (участок 2q11), длинного плеча хромосомы 2, меченый флуорохромоми PlatinumBright 495. Зонды растворены в гибридизационном буфере и готовы к использованию. (в соответствии с протоколом исследований, применяемым в лаборатории).</w:t>
            </w:r>
          </w:p>
        </w:tc>
        <w:tc>
          <w:tcPr>
            <w:tcW w:w="837"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1</w:t>
            </w:r>
          </w:p>
        </w:tc>
        <w:tc>
          <w:tcPr>
            <w:tcW w:w="992" w:type="dxa"/>
          </w:tcPr>
          <w:p w:rsidR="001424A3" w:rsidRPr="003B5BF0" w:rsidRDefault="001424A3" w:rsidP="00747DF5">
            <w:pPr>
              <w:spacing w:after="0" w:line="240" w:lineRule="auto"/>
              <w:jc w:val="cente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r w:rsidRPr="003B5BF0">
              <w:rPr>
                <w:rFonts w:ascii="Times New Roman" w:hAnsi="Times New Roman" w:cs="Times New Roman"/>
                <w:lang w:eastAsia="ru-RU"/>
              </w:rPr>
              <w:t>набор</w:t>
            </w:r>
          </w:p>
        </w:tc>
        <w:tc>
          <w:tcPr>
            <w:tcW w:w="1418" w:type="dxa"/>
            <w:tcBorders>
              <w:top w:val="nil"/>
              <w:left w:val="single" w:sz="4" w:space="0" w:color="auto"/>
              <w:bottom w:val="nil"/>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21.20.23.110-00007068</w:t>
            </w:r>
          </w:p>
        </w:tc>
        <w:tc>
          <w:tcPr>
            <w:tcW w:w="1272"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83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226"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18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r>
      <w:tr w:rsidR="001424A3" w:rsidRPr="003B5BF0" w:rsidTr="00747DF5">
        <w:trPr>
          <w:trHeight w:val="20"/>
          <w:jc w:val="center"/>
        </w:trPr>
        <w:tc>
          <w:tcPr>
            <w:tcW w:w="732" w:type="dxa"/>
          </w:tcPr>
          <w:p w:rsidR="001424A3" w:rsidRPr="003B5BF0" w:rsidRDefault="001424A3" w:rsidP="00747DF5">
            <w:pPr>
              <w:pStyle w:val="a7"/>
              <w:numPr>
                <w:ilvl w:val="0"/>
                <w:numId w:val="20"/>
              </w:numPr>
              <w:spacing w:after="0" w:line="240" w:lineRule="auto"/>
              <w:ind w:left="139" w:hanging="283"/>
              <w:jc w:val="center"/>
              <w:rPr>
                <w:rFonts w:ascii="Times New Roman" w:hAnsi="Times New Roman" w:cs="Times New Roman"/>
                <w:lang w:eastAsia="ru-RU"/>
              </w:rPr>
            </w:pPr>
          </w:p>
        </w:tc>
        <w:tc>
          <w:tcPr>
            <w:tcW w:w="1942" w:type="dxa"/>
          </w:tcPr>
          <w:p w:rsidR="001424A3" w:rsidRPr="003B5BF0" w:rsidRDefault="001424A3" w:rsidP="00747DF5">
            <w:pPr>
              <w:autoSpaceDE w:val="0"/>
              <w:autoSpaceDN w:val="0"/>
              <w:adjustRightInd w:val="0"/>
              <w:spacing w:after="0" w:line="240" w:lineRule="auto"/>
              <w:rPr>
                <w:rFonts w:ascii="Times New Roman" w:hAnsi="Times New Roman" w:cs="Times New Roman"/>
              </w:rPr>
            </w:pPr>
            <w:r w:rsidRPr="003B5BF0">
              <w:rPr>
                <w:rStyle w:val="cardmaininfocontent2"/>
                <w:rFonts w:ascii="Times New Roman" w:hAnsi="Times New Roman" w:cs="Times New Roman"/>
                <w:specVanish w:val="0"/>
              </w:rPr>
              <w:t>Гибридизация нуклеиновых кислот ИВД, набор</w:t>
            </w:r>
          </w:p>
        </w:tc>
        <w:tc>
          <w:tcPr>
            <w:tcW w:w="5261" w:type="dxa"/>
            <w:tcBorders>
              <w:top w:val="single" w:sz="4" w:space="0" w:color="auto"/>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Количество выполняемых тестов ≥ 10 штук</w:t>
            </w:r>
          </w:p>
          <w:p w:rsidR="001424A3" w:rsidRPr="003B5BF0" w:rsidRDefault="001424A3" w:rsidP="00747DF5">
            <w:pPr>
              <w:rPr>
                <w:rFonts w:ascii="Times New Roman" w:hAnsi="Times New Roman" w:cs="Times New Roman"/>
              </w:rPr>
            </w:pPr>
            <w:r w:rsidRPr="003B5BF0">
              <w:rPr>
                <w:rFonts w:ascii="Times New Roman" w:hAnsi="Times New Roman" w:cs="Times New Roman"/>
              </w:rPr>
              <w:t>Метод - Флуоресцентная FISH и хромогенная CISH гибридизация in situ</w:t>
            </w:r>
          </w:p>
          <w:p w:rsidR="001424A3" w:rsidRPr="003B5BF0" w:rsidRDefault="001424A3" w:rsidP="00747DF5">
            <w:pPr>
              <w:rPr>
                <w:rFonts w:ascii="Times New Roman" w:hAnsi="Times New Roman" w:cs="Times New Roman"/>
              </w:rPr>
            </w:pPr>
            <w:r w:rsidRPr="003B5BF0">
              <w:rPr>
                <w:rFonts w:ascii="Times New Roman" w:hAnsi="Times New Roman" w:cs="Times New Roman"/>
              </w:rPr>
              <w:t>Назначение - для ручной постановки анализа.</w:t>
            </w:r>
          </w:p>
          <w:p w:rsidR="001424A3" w:rsidRPr="003B5BF0" w:rsidRDefault="001424A3" w:rsidP="00747DF5">
            <w:pPr>
              <w:rPr>
                <w:rFonts w:ascii="Times New Roman" w:hAnsi="Times New Roman" w:cs="Times New Roman"/>
              </w:rPr>
            </w:pPr>
            <w:r w:rsidRPr="003B5BF0">
              <w:rPr>
                <w:rFonts w:ascii="Times New Roman" w:hAnsi="Times New Roman" w:cs="Times New Roman"/>
              </w:rPr>
              <w:t>Дополнительные характеристики:* Реагент должен подходить для работы на гистологических срезах. Смесь ДНК-зондов, содержит зонд, специфичный для дистального участка гена SYT (участок 18q11), меченый флуорохромом PlatinumBright 550, и зонд, специфичный для проксимального участка гена SYT (участок 18q11), меченый флуорохромом PlatinumBright 495. Зонды растворены в гибридизационном буфере и готовы к использованию. (в соответствии с протоколом исследований, применяемым в лаборатории).</w:t>
            </w:r>
          </w:p>
        </w:tc>
        <w:tc>
          <w:tcPr>
            <w:tcW w:w="837" w:type="dxa"/>
          </w:tcPr>
          <w:p w:rsidR="001424A3" w:rsidRPr="003B5BF0" w:rsidRDefault="001424A3" w:rsidP="00747DF5">
            <w:pPr>
              <w:spacing w:after="0" w:line="240" w:lineRule="auto"/>
              <w:jc w:val="center"/>
              <w:rPr>
                <w:rFonts w:ascii="Times New Roman" w:hAnsi="Times New Roman" w:cs="Times New Roman"/>
                <w:lang w:eastAsia="ru-RU"/>
              </w:rPr>
            </w:pPr>
            <w:r w:rsidRPr="003B5BF0">
              <w:rPr>
                <w:rFonts w:ascii="Times New Roman" w:hAnsi="Times New Roman" w:cs="Times New Roman"/>
                <w:lang w:eastAsia="ru-RU"/>
              </w:rPr>
              <w:t>1</w:t>
            </w:r>
          </w:p>
        </w:tc>
        <w:tc>
          <w:tcPr>
            <w:tcW w:w="992" w:type="dxa"/>
          </w:tcPr>
          <w:p w:rsidR="001424A3" w:rsidRPr="003B5BF0" w:rsidRDefault="001424A3" w:rsidP="00747DF5">
            <w:pPr>
              <w:spacing w:after="0" w:line="240" w:lineRule="auto"/>
              <w:jc w:val="cente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p>
          <w:p w:rsidR="001424A3" w:rsidRPr="003B5BF0" w:rsidRDefault="001424A3" w:rsidP="00747DF5">
            <w:pPr>
              <w:rPr>
                <w:rFonts w:ascii="Times New Roman" w:hAnsi="Times New Roman" w:cs="Times New Roman"/>
                <w:lang w:eastAsia="ru-RU"/>
              </w:rPr>
            </w:pPr>
            <w:r w:rsidRPr="003B5BF0">
              <w:rPr>
                <w:rFonts w:ascii="Times New Roman" w:hAnsi="Times New Roman" w:cs="Times New Roman"/>
                <w:lang w:eastAsia="ru-RU"/>
              </w:rPr>
              <w:t>набор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24A3" w:rsidRPr="003B5BF0" w:rsidRDefault="001424A3" w:rsidP="00747DF5">
            <w:pPr>
              <w:rPr>
                <w:rFonts w:ascii="Times New Roman" w:hAnsi="Times New Roman" w:cs="Times New Roman"/>
              </w:rPr>
            </w:pPr>
            <w:r w:rsidRPr="003B5BF0">
              <w:rPr>
                <w:rFonts w:ascii="Times New Roman" w:hAnsi="Times New Roman" w:cs="Times New Roman"/>
              </w:rPr>
              <w:t>21.20.23.110-00007068</w:t>
            </w:r>
          </w:p>
        </w:tc>
        <w:tc>
          <w:tcPr>
            <w:tcW w:w="1272"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83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226"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c>
          <w:tcPr>
            <w:tcW w:w="1187" w:type="dxa"/>
            <w:shd w:val="clear" w:color="auto" w:fill="FFFFCC"/>
          </w:tcPr>
          <w:p w:rsidR="001424A3" w:rsidRPr="003B5BF0" w:rsidRDefault="001424A3" w:rsidP="00747DF5">
            <w:pPr>
              <w:spacing w:after="0" w:line="240" w:lineRule="auto"/>
              <w:jc w:val="center"/>
              <w:rPr>
                <w:rFonts w:ascii="Times New Roman" w:hAnsi="Times New Roman" w:cs="Times New Roman"/>
                <w:lang w:eastAsia="ru-RU"/>
              </w:rPr>
            </w:pPr>
          </w:p>
        </w:tc>
      </w:tr>
    </w:tbl>
    <w:p w:rsidR="001424A3" w:rsidRDefault="001424A3" w:rsidP="001424A3">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 безопасности пациентов при выполнении медицинских вмешательств, предотвращения аллергических реакций и контаминации патогенами, выполнения требований санэпидрежима.</w:t>
      </w:r>
    </w:p>
    <w:p w:rsidR="001424A3" w:rsidRDefault="001424A3" w:rsidP="001424A3">
      <w:pPr>
        <w:rPr>
          <w:rFonts w:ascii="Times New Roman" w:hAnsi="Times New Roman" w:cs="Times New Roman"/>
          <w:b/>
          <w:sz w:val="28"/>
          <w:szCs w:val="28"/>
        </w:rPr>
      </w:pPr>
    </w:p>
    <w:p w:rsidR="001424A3" w:rsidRDefault="001424A3" w:rsidP="001424A3">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1424A3">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165" w:rsidRDefault="00BC1165">
      <w:pPr>
        <w:spacing w:after="0" w:line="240" w:lineRule="auto"/>
      </w:pPr>
      <w:r>
        <w:separator/>
      </w:r>
    </w:p>
  </w:endnote>
  <w:endnote w:type="continuationSeparator" w:id="0">
    <w:p w:rsidR="00BC1165" w:rsidRDefault="00BC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63A7" w:rsidRDefault="004363A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363A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363A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363A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363A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424A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363A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424A3">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165" w:rsidRDefault="00BC1165">
      <w:pPr>
        <w:spacing w:after="0" w:line="240" w:lineRule="auto"/>
      </w:pPr>
      <w:r>
        <w:separator/>
      </w:r>
    </w:p>
  </w:footnote>
  <w:footnote w:type="continuationSeparator" w:id="0">
    <w:p w:rsidR="00BC1165" w:rsidRDefault="00BC116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63A7" w:rsidRDefault="004363A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63A7" w:rsidRDefault="004363A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63A7" w:rsidRDefault="004363A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24A3"/>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363A7"/>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C1165"/>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cardmaininfocontent2">
    <w:name w:val="cardmaininfo__content2"/>
    <w:basedOn w:val="a1"/>
    <w:rsid w:val="001424A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D6CD-93A8-4F65-969F-3397F6D8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2025-02-17T13:28:00Z</dcterms:created>
  <dcterms:modified xsi:type="dcterms:W3CDTF">2025-02-17T13:28:00Z</dcterms:modified>
</cp:coreProperties>
</file>