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18.02.2025 № 05-07/245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43F5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3652AD">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3652A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3652A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3652A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3652A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21.11.2025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3652A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14.11.2025.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3652A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3652A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3652A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3652A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3652A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запрет (реестровая запись)</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3652A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3652AD">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3652A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3652A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55" w:type="pct"/>
        <w:tblInd w:w="-176" w:type="dxa"/>
        <w:tblLayout w:type="fixed"/>
        <w:tblLook w:val="04A0" w:firstRow="1" w:lastRow="0" w:firstColumn="1" w:lastColumn="0" w:noHBand="0" w:noVBand="1"/>
      </w:tblPr>
      <w:tblGrid>
        <w:gridCol w:w="569"/>
        <w:gridCol w:w="1278"/>
        <w:gridCol w:w="1135"/>
        <w:gridCol w:w="1699"/>
        <w:gridCol w:w="1416"/>
        <w:gridCol w:w="709"/>
        <w:gridCol w:w="1844"/>
        <w:gridCol w:w="2131"/>
        <w:gridCol w:w="990"/>
        <w:gridCol w:w="996"/>
        <w:gridCol w:w="851"/>
        <w:gridCol w:w="851"/>
        <w:gridCol w:w="851"/>
        <w:gridCol w:w="803"/>
      </w:tblGrid>
      <w:tr w:rsidR="003652AD" w:rsidRPr="003652AD" w:rsidTr="003652AD">
        <w:trPr>
          <w:trHeight w:val="402"/>
        </w:trPr>
        <w:tc>
          <w:tcPr>
            <w:tcW w:w="176" w:type="pct"/>
            <w:vMerge w:val="restart"/>
            <w:tcBorders>
              <w:top w:val="single" w:sz="8" w:space="0" w:color="000000"/>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b/>
                <w:bCs/>
                <w:color w:val="000000"/>
                <w:sz w:val="16"/>
                <w:szCs w:val="16"/>
                <w:lang w:eastAsia="ru-RU"/>
              </w:rPr>
            </w:pPr>
            <w:r w:rsidRPr="003652AD">
              <w:rPr>
                <w:rFonts w:ascii="Times New Roman" w:eastAsia="Times New Roman" w:hAnsi="Times New Roman" w:cs="Times New Roman"/>
                <w:b/>
                <w:bCs/>
                <w:color w:val="000000"/>
                <w:sz w:val="16"/>
                <w:szCs w:val="16"/>
                <w:lang w:eastAsia="ru-RU"/>
              </w:rPr>
              <w:t xml:space="preserve"> №пп </w:t>
            </w:r>
          </w:p>
        </w:tc>
        <w:tc>
          <w:tcPr>
            <w:tcW w:w="396" w:type="pct"/>
            <w:vMerge w:val="restart"/>
            <w:tcBorders>
              <w:top w:val="single" w:sz="8" w:space="0" w:color="000000"/>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b/>
                <w:bCs/>
                <w:color w:val="000000"/>
                <w:sz w:val="16"/>
                <w:szCs w:val="16"/>
                <w:lang w:eastAsia="ru-RU"/>
              </w:rPr>
            </w:pPr>
            <w:r w:rsidRPr="003652AD">
              <w:rPr>
                <w:rFonts w:ascii="Times New Roman" w:eastAsia="Times New Roman" w:hAnsi="Times New Roman" w:cs="Times New Roman"/>
                <w:b/>
                <w:bCs/>
                <w:color w:val="000000"/>
                <w:sz w:val="16"/>
                <w:szCs w:val="16"/>
                <w:lang w:eastAsia="ru-RU"/>
              </w:rPr>
              <w:t>Наименование товара, работы, услуги</w:t>
            </w:r>
          </w:p>
        </w:tc>
        <w:tc>
          <w:tcPr>
            <w:tcW w:w="352" w:type="pct"/>
            <w:vMerge w:val="restart"/>
            <w:tcBorders>
              <w:top w:val="single" w:sz="8" w:space="0" w:color="000000"/>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b/>
                <w:bCs/>
                <w:color w:val="000000"/>
                <w:sz w:val="16"/>
                <w:szCs w:val="16"/>
                <w:lang w:eastAsia="ru-RU"/>
              </w:rPr>
            </w:pPr>
            <w:r w:rsidRPr="003652AD">
              <w:rPr>
                <w:rFonts w:ascii="Times New Roman" w:eastAsia="Times New Roman" w:hAnsi="Times New Roman" w:cs="Times New Roman"/>
                <w:b/>
                <w:bCs/>
                <w:color w:val="000000"/>
                <w:sz w:val="16"/>
                <w:szCs w:val="16"/>
                <w:lang w:eastAsia="ru-RU"/>
              </w:rPr>
              <w:t>Код позиции</w:t>
            </w:r>
          </w:p>
        </w:tc>
        <w:tc>
          <w:tcPr>
            <w:tcW w:w="1758" w:type="pct"/>
            <w:gridSpan w:val="4"/>
            <w:tcBorders>
              <w:top w:val="single" w:sz="8" w:space="0" w:color="000000"/>
              <w:left w:val="nil"/>
              <w:bottom w:val="single" w:sz="8" w:space="0" w:color="auto"/>
              <w:right w:val="single" w:sz="8" w:space="0" w:color="000000"/>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b/>
                <w:bCs/>
                <w:color w:val="000000"/>
                <w:sz w:val="16"/>
                <w:szCs w:val="16"/>
                <w:lang w:eastAsia="ru-RU"/>
              </w:rPr>
            </w:pPr>
            <w:r w:rsidRPr="003652AD">
              <w:rPr>
                <w:rFonts w:ascii="Times New Roman" w:eastAsia="Times New Roman" w:hAnsi="Times New Roman" w:cs="Times New Roman"/>
                <w:b/>
                <w:bCs/>
                <w:color w:val="000000"/>
                <w:sz w:val="16"/>
                <w:szCs w:val="16"/>
                <w:lang w:eastAsia="ru-RU"/>
              </w:rPr>
              <w:t>Характеристики товара, работы, услуги</w:t>
            </w:r>
          </w:p>
        </w:tc>
        <w:tc>
          <w:tcPr>
            <w:tcW w:w="661" w:type="pct"/>
            <w:vMerge w:val="restart"/>
            <w:tcBorders>
              <w:top w:val="single" w:sz="8" w:space="0" w:color="000000"/>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b/>
                <w:bCs/>
                <w:color w:val="000000"/>
                <w:sz w:val="16"/>
                <w:szCs w:val="16"/>
                <w:lang w:eastAsia="ru-RU"/>
              </w:rPr>
            </w:pPr>
            <w:r w:rsidRPr="003652AD">
              <w:rPr>
                <w:rFonts w:ascii="Times New Roman" w:eastAsia="Times New Roman" w:hAnsi="Times New Roman" w:cs="Times New Roman"/>
                <w:b/>
                <w:bCs/>
                <w:color w:val="000000"/>
                <w:sz w:val="16"/>
                <w:szCs w:val="16"/>
                <w:lang w:eastAsia="ru-RU"/>
              </w:rPr>
              <w:t>Обоснование характеристик</w:t>
            </w:r>
          </w:p>
        </w:tc>
        <w:tc>
          <w:tcPr>
            <w:tcW w:w="307" w:type="pct"/>
            <w:vMerge w:val="restart"/>
            <w:tcBorders>
              <w:top w:val="single" w:sz="8" w:space="0" w:color="000000"/>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b/>
                <w:bCs/>
                <w:color w:val="000000"/>
                <w:sz w:val="16"/>
                <w:szCs w:val="16"/>
                <w:lang w:eastAsia="ru-RU"/>
              </w:rPr>
            </w:pPr>
            <w:r w:rsidRPr="003652AD">
              <w:rPr>
                <w:rFonts w:ascii="Times New Roman" w:eastAsia="Times New Roman" w:hAnsi="Times New Roman" w:cs="Times New Roman"/>
                <w:b/>
                <w:bCs/>
                <w:color w:val="000000"/>
                <w:sz w:val="16"/>
                <w:szCs w:val="16"/>
                <w:lang w:eastAsia="ru-RU"/>
              </w:rPr>
              <w:t>Количество (объем работы, услуги)</w:t>
            </w:r>
          </w:p>
        </w:tc>
        <w:tc>
          <w:tcPr>
            <w:tcW w:w="309" w:type="pct"/>
            <w:vMerge w:val="restart"/>
            <w:tcBorders>
              <w:top w:val="single" w:sz="8" w:space="0" w:color="000000"/>
              <w:left w:val="single" w:sz="8" w:space="0" w:color="auto"/>
              <w:bottom w:val="single" w:sz="8" w:space="0" w:color="000000"/>
              <w:right w:val="nil"/>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b/>
                <w:bCs/>
                <w:color w:val="000000"/>
                <w:sz w:val="16"/>
                <w:szCs w:val="16"/>
                <w:lang w:eastAsia="ru-RU"/>
              </w:rPr>
            </w:pPr>
            <w:r w:rsidRPr="003652AD">
              <w:rPr>
                <w:rFonts w:ascii="Times New Roman" w:eastAsia="Times New Roman" w:hAnsi="Times New Roman" w:cs="Times New Roman"/>
                <w:b/>
                <w:bCs/>
                <w:color w:val="000000"/>
                <w:sz w:val="16"/>
                <w:szCs w:val="16"/>
                <w:lang w:eastAsia="ru-RU"/>
              </w:rPr>
              <w:t>Единица измерения</w:t>
            </w:r>
          </w:p>
        </w:tc>
        <w:tc>
          <w:tcPr>
            <w:tcW w:w="264" w:type="pct"/>
            <w:vMerge w:val="restart"/>
            <w:tcBorders>
              <w:top w:val="single" w:sz="4" w:space="0" w:color="auto"/>
              <w:left w:val="single" w:sz="4" w:space="0" w:color="auto"/>
              <w:bottom w:val="single" w:sz="4" w:space="0" w:color="000000"/>
              <w:right w:val="single" w:sz="4" w:space="0" w:color="auto"/>
            </w:tcBorders>
            <w:noWrap/>
            <w:vAlign w:val="bottom"/>
            <w:hideMark/>
          </w:tcPr>
          <w:p w:rsid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r w:rsidRPr="003652AD">
              <w:rPr>
                <w:rFonts w:ascii="Times New Roman" w:eastAsia="Times New Roman" w:hAnsi="Times New Roman" w:cs="Times New Roman"/>
                <w:b/>
                <w:color w:val="000000"/>
                <w:sz w:val="16"/>
                <w:szCs w:val="16"/>
                <w:lang w:eastAsia="ru-RU"/>
              </w:rPr>
              <w:t>Страна происхождения Товара</w:t>
            </w:r>
          </w:p>
          <w:p w:rsid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p>
          <w:p w:rsidR="003652AD" w:rsidRP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p>
        </w:tc>
        <w:tc>
          <w:tcPr>
            <w:tcW w:w="264" w:type="pct"/>
            <w:vMerge w:val="restart"/>
            <w:tcBorders>
              <w:top w:val="single" w:sz="4" w:space="0" w:color="auto"/>
              <w:left w:val="single" w:sz="4" w:space="0" w:color="auto"/>
              <w:bottom w:val="single" w:sz="4" w:space="0" w:color="000000"/>
              <w:right w:val="single" w:sz="4" w:space="0" w:color="auto"/>
            </w:tcBorders>
            <w:noWrap/>
            <w:vAlign w:val="bottom"/>
            <w:hideMark/>
          </w:tcPr>
          <w:p w:rsid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r w:rsidRPr="003652AD">
              <w:rPr>
                <w:rFonts w:ascii="Times New Roman" w:eastAsia="Times New Roman" w:hAnsi="Times New Roman" w:cs="Times New Roman"/>
                <w:b/>
                <w:color w:val="000000"/>
                <w:sz w:val="16"/>
                <w:szCs w:val="16"/>
                <w:lang w:eastAsia="ru-RU"/>
              </w:rPr>
              <w:t>Ставка НДС%</w:t>
            </w:r>
          </w:p>
          <w:p w:rsid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p>
          <w:p w:rsid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p>
          <w:p w:rsidR="003652AD" w:rsidRP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p>
        </w:tc>
        <w:tc>
          <w:tcPr>
            <w:tcW w:w="264" w:type="pct"/>
            <w:vMerge w:val="restart"/>
            <w:tcBorders>
              <w:top w:val="single" w:sz="4" w:space="0" w:color="auto"/>
              <w:left w:val="single" w:sz="4" w:space="0" w:color="auto"/>
              <w:right w:val="single" w:sz="4" w:space="0" w:color="auto"/>
            </w:tcBorders>
          </w:tcPr>
          <w:p w:rsid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p>
          <w:p w:rsid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p>
          <w:p w:rsidR="003652AD" w:rsidRP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r w:rsidRPr="003652AD">
              <w:rPr>
                <w:rFonts w:ascii="Times New Roman" w:eastAsia="Times New Roman" w:hAnsi="Times New Roman" w:cs="Times New Roman"/>
                <w:b/>
                <w:color w:val="000000"/>
                <w:sz w:val="16"/>
                <w:szCs w:val="16"/>
                <w:lang w:eastAsia="ru-RU"/>
              </w:rPr>
              <w:t>Цена  без НДС</w:t>
            </w:r>
          </w:p>
        </w:tc>
        <w:tc>
          <w:tcPr>
            <w:tcW w:w="249" w:type="pct"/>
            <w:vMerge w:val="restart"/>
            <w:tcBorders>
              <w:top w:val="single" w:sz="4" w:space="0" w:color="auto"/>
              <w:left w:val="single" w:sz="4" w:space="0" w:color="auto"/>
              <w:bottom w:val="single" w:sz="4" w:space="0" w:color="000000"/>
              <w:right w:val="single" w:sz="4" w:space="0" w:color="auto"/>
            </w:tcBorders>
            <w:noWrap/>
            <w:vAlign w:val="bottom"/>
            <w:hideMark/>
          </w:tcPr>
          <w:p w:rsid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p>
          <w:p w:rsid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p>
          <w:p w:rsid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r w:rsidRPr="003652AD">
              <w:rPr>
                <w:rFonts w:ascii="Times New Roman" w:eastAsia="Times New Roman" w:hAnsi="Times New Roman" w:cs="Times New Roman"/>
                <w:b/>
                <w:color w:val="000000"/>
                <w:sz w:val="16"/>
                <w:szCs w:val="16"/>
                <w:lang w:eastAsia="ru-RU"/>
              </w:rPr>
              <w:t>Сумма без НДС</w:t>
            </w:r>
          </w:p>
          <w:p w:rsid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p>
          <w:p w:rsidR="003652AD" w:rsidRPr="003652AD" w:rsidRDefault="003652AD" w:rsidP="00D139BD">
            <w:pPr>
              <w:spacing w:after="0" w:line="240" w:lineRule="auto"/>
              <w:jc w:val="center"/>
              <w:rPr>
                <w:rFonts w:ascii="Times New Roman" w:eastAsia="Times New Roman" w:hAnsi="Times New Roman" w:cs="Times New Roman"/>
                <w:b/>
                <w:color w:val="000000"/>
                <w:sz w:val="16"/>
                <w:szCs w:val="16"/>
                <w:lang w:eastAsia="ru-RU"/>
              </w:rPr>
            </w:pPr>
          </w:p>
        </w:tc>
      </w:tr>
      <w:tr w:rsidR="003652AD" w:rsidRPr="003652AD" w:rsidTr="003652AD">
        <w:trPr>
          <w:trHeight w:val="402"/>
        </w:trPr>
        <w:tc>
          <w:tcPr>
            <w:tcW w:w="176" w:type="pct"/>
            <w:vMerge/>
            <w:tcBorders>
              <w:top w:val="single" w:sz="8" w:space="0" w:color="000000"/>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b/>
                <w:bCs/>
                <w:color w:val="000000"/>
                <w:sz w:val="16"/>
                <w:szCs w:val="16"/>
                <w:lang w:eastAsia="ru-RU"/>
              </w:rPr>
            </w:pPr>
          </w:p>
        </w:tc>
        <w:tc>
          <w:tcPr>
            <w:tcW w:w="396" w:type="pct"/>
            <w:vMerge/>
            <w:tcBorders>
              <w:top w:val="single" w:sz="8" w:space="0" w:color="000000"/>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b/>
                <w:bCs/>
                <w:color w:val="000000"/>
                <w:sz w:val="16"/>
                <w:szCs w:val="16"/>
                <w:lang w:eastAsia="ru-RU"/>
              </w:rPr>
            </w:pPr>
          </w:p>
        </w:tc>
        <w:tc>
          <w:tcPr>
            <w:tcW w:w="352" w:type="pct"/>
            <w:vMerge/>
            <w:tcBorders>
              <w:top w:val="single" w:sz="8" w:space="0" w:color="000000"/>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b/>
                <w:bCs/>
                <w:color w:val="000000"/>
                <w:sz w:val="16"/>
                <w:szCs w:val="16"/>
                <w:lang w:eastAsia="ru-RU"/>
              </w:rPr>
            </w:pPr>
          </w:p>
        </w:tc>
        <w:tc>
          <w:tcPr>
            <w:tcW w:w="527" w:type="pct"/>
            <w:tcBorders>
              <w:top w:val="nil"/>
              <w:left w:val="nil"/>
              <w:bottom w:val="single" w:sz="8" w:space="0" w:color="auto"/>
              <w:right w:val="single" w:sz="8" w:space="0" w:color="auto"/>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b/>
                <w:bCs/>
                <w:color w:val="000000"/>
                <w:sz w:val="16"/>
                <w:szCs w:val="16"/>
                <w:lang w:eastAsia="ru-RU"/>
              </w:rPr>
            </w:pPr>
            <w:r w:rsidRPr="003652AD">
              <w:rPr>
                <w:rFonts w:ascii="Times New Roman" w:eastAsia="Times New Roman" w:hAnsi="Times New Roman" w:cs="Times New Roman"/>
                <w:b/>
                <w:bCs/>
                <w:color w:val="000000"/>
                <w:sz w:val="16"/>
                <w:szCs w:val="16"/>
                <w:lang w:eastAsia="ru-RU"/>
              </w:rPr>
              <w:t>Наименование характеристики</w:t>
            </w:r>
          </w:p>
        </w:tc>
        <w:tc>
          <w:tcPr>
            <w:tcW w:w="439" w:type="pct"/>
            <w:tcBorders>
              <w:top w:val="nil"/>
              <w:left w:val="nil"/>
              <w:bottom w:val="single" w:sz="8" w:space="0" w:color="auto"/>
              <w:right w:val="single" w:sz="8" w:space="0" w:color="auto"/>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b/>
                <w:bCs/>
                <w:color w:val="000000"/>
                <w:sz w:val="16"/>
                <w:szCs w:val="16"/>
                <w:lang w:eastAsia="ru-RU"/>
              </w:rPr>
            </w:pPr>
            <w:r w:rsidRPr="003652AD">
              <w:rPr>
                <w:rFonts w:ascii="Times New Roman" w:eastAsia="Times New Roman" w:hAnsi="Times New Roman" w:cs="Times New Roman"/>
                <w:b/>
                <w:bCs/>
                <w:color w:val="000000"/>
                <w:sz w:val="16"/>
                <w:szCs w:val="16"/>
                <w:lang w:eastAsia="ru-RU"/>
              </w:rPr>
              <w:t>Значение характеристики</w:t>
            </w:r>
          </w:p>
        </w:tc>
        <w:tc>
          <w:tcPr>
            <w:tcW w:w="220" w:type="pct"/>
            <w:tcBorders>
              <w:top w:val="nil"/>
              <w:left w:val="nil"/>
              <w:bottom w:val="single" w:sz="8" w:space="0" w:color="auto"/>
              <w:right w:val="single" w:sz="8" w:space="0" w:color="auto"/>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b/>
                <w:bCs/>
                <w:color w:val="000000"/>
                <w:sz w:val="16"/>
                <w:szCs w:val="16"/>
                <w:lang w:eastAsia="ru-RU"/>
              </w:rPr>
            </w:pPr>
            <w:r w:rsidRPr="003652AD">
              <w:rPr>
                <w:rFonts w:ascii="Times New Roman" w:eastAsia="Times New Roman" w:hAnsi="Times New Roman" w:cs="Times New Roman"/>
                <w:b/>
                <w:bCs/>
                <w:color w:val="000000"/>
                <w:sz w:val="16"/>
                <w:szCs w:val="16"/>
                <w:lang w:eastAsia="ru-RU"/>
              </w:rPr>
              <w:t>Единица измерения характеристики</w:t>
            </w:r>
          </w:p>
        </w:tc>
        <w:tc>
          <w:tcPr>
            <w:tcW w:w="572" w:type="pct"/>
            <w:tcBorders>
              <w:top w:val="nil"/>
              <w:left w:val="nil"/>
              <w:bottom w:val="single" w:sz="8" w:space="0" w:color="auto"/>
              <w:right w:val="single" w:sz="8" w:space="0" w:color="auto"/>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b/>
                <w:bCs/>
                <w:color w:val="000000"/>
                <w:sz w:val="16"/>
                <w:szCs w:val="16"/>
                <w:lang w:eastAsia="ru-RU"/>
              </w:rPr>
            </w:pPr>
            <w:r w:rsidRPr="003652AD">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661" w:type="pct"/>
            <w:vMerge/>
            <w:tcBorders>
              <w:top w:val="single" w:sz="8" w:space="0" w:color="000000"/>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b/>
                <w:bCs/>
                <w:color w:val="000000"/>
                <w:sz w:val="16"/>
                <w:szCs w:val="16"/>
                <w:lang w:eastAsia="ru-RU"/>
              </w:rPr>
            </w:pPr>
          </w:p>
        </w:tc>
        <w:tc>
          <w:tcPr>
            <w:tcW w:w="307" w:type="pct"/>
            <w:vMerge/>
            <w:tcBorders>
              <w:top w:val="single" w:sz="8" w:space="0" w:color="000000"/>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b/>
                <w:bCs/>
                <w:color w:val="000000"/>
                <w:sz w:val="16"/>
                <w:szCs w:val="16"/>
                <w:lang w:eastAsia="ru-RU"/>
              </w:rPr>
            </w:pPr>
          </w:p>
        </w:tc>
        <w:tc>
          <w:tcPr>
            <w:tcW w:w="309" w:type="pct"/>
            <w:vMerge/>
            <w:tcBorders>
              <w:top w:val="single" w:sz="8" w:space="0" w:color="000000"/>
              <w:left w:val="single" w:sz="8" w:space="0" w:color="auto"/>
              <w:bottom w:val="single" w:sz="8" w:space="0" w:color="000000"/>
              <w:right w:val="nil"/>
            </w:tcBorders>
            <w:vAlign w:val="center"/>
            <w:hideMark/>
          </w:tcPr>
          <w:p w:rsidR="003652AD" w:rsidRPr="003652AD" w:rsidRDefault="003652AD" w:rsidP="00D139BD">
            <w:pPr>
              <w:spacing w:after="0" w:line="240" w:lineRule="auto"/>
              <w:rPr>
                <w:rFonts w:ascii="Times New Roman" w:eastAsia="Times New Roman" w:hAnsi="Times New Roman" w:cs="Times New Roman"/>
                <w:b/>
                <w:bCs/>
                <w:color w:val="000000"/>
                <w:sz w:val="16"/>
                <w:szCs w:val="16"/>
                <w:lang w:eastAsia="ru-RU"/>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bottom w:val="single" w:sz="4" w:space="0" w:color="000000"/>
              <w:right w:val="single" w:sz="4" w:space="0" w:color="auto"/>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top w:val="single" w:sz="4" w:space="0" w:color="auto"/>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val="restart"/>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1</w:t>
            </w:r>
          </w:p>
        </w:tc>
        <w:tc>
          <w:tcPr>
            <w:tcW w:w="396" w:type="pct"/>
            <w:vMerge w:val="restart"/>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Набор белья для осмотра/хирургических процедур, стерильный, одноразового использования   </w:t>
            </w:r>
          </w:p>
        </w:tc>
        <w:tc>
          <w:tcPr>
            <w:tcW w:w="352" w:type="pct"/>
            <w:vMerge w:val="restart"/>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14.12.30.190-00000020*</w:t>
            </w:r>
            <w:r>
              <w:rPr>
                <w:rFonts w:ascii="Times New Roman" w:eastAsia="Times New Roman" w:hAnsi="Times New Roman" w:cs="Times New Roman"/>
                <w:color w:val="000000"/>
                <w:sz w:val="16"/>
                <w:szCs w:val="16"/>
                <w:lang w:eastAsia="ru-RU"/>
              </w:rPr>
              <w:t>*</w:t>
            </w:r>
            <w:r w:rsidRPr="003652AD">
              <w:rPr>
                <w:rFonts w:ascii="Times New Roman" w:eastAsia="Times New Roman" w:hAnsi="Times New Roman" w:cs="Times New Roman"/>
                <w:color w:val="000000"/>
                <w:sz w:val="16"/>
                <w:szCs w:val="16"/>
                <w:lang w:eastAsia="ru-RU"/>
              </w:rPr>
              <w:t xml:space="preserve">                         </w:t>
            </w:r>
          </w:p>
        </w:tc>
        <w:tc>
          <w:tcPr>
            <w:tcW w:w="527" w:type="pct"/>
            <w:tcBorders>
              <w:top w:val="nil"/>
              <w:left w:val="nil"/>
              <w:bottom w:val="single" w:sz="8" w:space="0" w:color="auto"/>
              <w:right w:val="single" w:sz="8" w:space="0" w:color="auto"/>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Набор одноразовый в составе:  простыня на операционный стол</w:t>
            </w:r>
          </w:p>
        </w:tc>
        <w:tc>
          <w:tcPr>
            <w:tcW w:w="439" w:type="pct"/>
            <w:tcBorders>
              <w:top w:val="nil"/>
              <w:left w:val="nil"/>
              <w:bottom w:val="single" w:sz="8" w:space="0" w:color="auto"/>
              <w:right w:val="single" w:sz="8" w:space="0" w:color="auto"/>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Соответствие</w:t>
            </w:r>
          </w:p>
        </w:tc>
        <w:tc>
          <w:tcPr>
            <w:tcW w:w="220" w:type="pct"/>
            <w:tcBorders>
              <w:top w:val="nil"/>
              <w:left w:val="nil"/>
              <w:bottom w:val="single" w:sz="8" w:space="0" w:color="auto"/>
              <w:right w:val="single" w:sz="8" w:space="0" w:color="auto"/>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572" w:type="pct"/>
            <w:tcBorders>
              <w:top w:val="nil"/>
              <w:left w:val="nil"/>
              <w:bottom w:val="single" w:sz="8" w:space="0" w:color="auto"/>
              <w:right w:val="single" w:sz="8" w:space="0" w:color="auto"/>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vMerge w:val="restart"/>
            <w:tcBorders>
              <w:top w:val="nil"/>
              <w:left w:val="nil"/>
              <w:right w:val="single" w:sz="8" w:space="0" w:color="auto"/>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Обусловлено определенным видом операции и манипуляций.</w:t>
            </w:r>
          </w:p>
        </w:tc>
        <w:tc>
          <w:tcPr>
            <w:tcW w:w="307" w:type="pct"/>
            <w:vMerge w:val="restart"/>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8 656</w:t>
            </w:r>
          </w:p>
        </w:tc>
        <w:tc>
          <w:tcPr>
            <w:tcW w:w="309" w:type="pct"/>
            <w:vMerge w:val="restart"/>
            <w:tcBorders>
              <w:top w:val="nil"/>
              <w:left w:val="single" w:sz="8" w:space="0" w:color="auto"/>
              <w:bottom w:val="single" w:sz="8" w:space="0" w:color="000000"/>
              <w:right w:val="nil"/>
            </w:tcBorders>
            <w:vAlign w:val="center"/>
            <w:hideMark/>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штука</w:t>
            </w:r>
          </w:p>
        </w:tc>
        <w:tc>
          <w:tcPr>
            <w:tcW w:w="264" w:type="pct"/>
            <w:vMerge w:val="restart"/>
            <w:tcBorders>
              <w:top w:val="nil"/>
              <w:left w:val="single" w:sz="4" w:space="0" w:color="auto"/>
              <w:bottom w:val="single" w:sz="4" w:space="0" w:color="000000"/>
              <w:right w:val="single" w:sz="4" w:space="0" w:color="auto"/>
            </w:tcBorders>
            <w:noWrap/>
            <w:vAlign w:val="bottom"/>
            <w:hideMark/>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bottom w:val="single" w:sz="4" w:space="0" w:color="000000"/>
              <w:right w:val="single" w:sz="4" w:space="0" w:color="auto"/>
            </w:tcBorders>
            <w:noWrap/>
            <w:vAlign w:val="bottom"/>
            <w:hideMark/>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w:t>
            </w:r>
          </w:p>
        </w:tc>
        <w:tc>
          <w:tcPr>
            <w:tcW w:w="264" w:type="pct"/>
            <w:vMerge w:val="restart"/>
            <w:tcBorders>
              <w:top w:val="nil"/>
              <w:left w:val="single" w:sz="4" w:space="0" w:color="auto"/>
              <w:right w:val="single" w:sz="4" w:space="0" w:color="auto"/>
            </w:tcBorders>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249" w:type="pct"/>
            <w:vMerge w:val="restart"/>
            <w:tcBorders>
              <w:top w:val="nil"/>
              <w:left w:val="single" w:sz="4" w:space="0" w:color="auto"/>
              <w:bottom w:val="single" w:sz="4" w:space="0" w:color="000000"/>
              <w:right w:val="single" w:sz="4" w:space="0" w:color="auto"/>
            </w:tcBorders>
            <w:noWrap/>
            <w:vAlign w:val="bottom"/>
            <w:hideMark/>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w:t>
            </w:r>
          </w:p>
        </w:tc>
      </w:tr>
      <w:tr w:rsidR="003652AD" w:rsidRPr="003652AD" w:rsidTr="003652AD">
        <w:trPr>
          <w:trHeight w:val="402"/>
        </w:trPr>
        <w:tc>
          <w:tcPr>
            <w:tcW w:w="17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527" w:type="pct"/>
            <w:tcBorders>
              <w:top w:val="nil"/>
              <w:left w:val="nil"/>
              <w:bottom w:val="single" w:sz="8" w:space="0" w:color="auto"/>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Размер простыни (ш х дл)</w:t>
            </w:r>
          </w:p>
        </w:tc>
        <w:tc>
          <w:tcPr>
            <w:tcW w:w="439"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140х220</w:t>
            </w:r>
          </w:p>
        </w:tc>
        <w:tc>
          <w:tcPr>
            <w:tcW w:w="220"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сантиметр</w:t>
            </w:r>
          </w:p>
        </w:tc>
        <w:tc>
          <w:tcPr>
            <w:tcW w:w="572"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tcBorders>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top w:val="nil"/>
              <w:left w:val="single" w:sz="8" w:space="0" w:color="auto"/>
              <w:bottom w:val="single" w:sz="8" w:space="0" w:color="000000"/>
              <w:right w:val="nil"/>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527" w:type="pct"/>
            <w:tcBorders>
              <w:top w:val="nil"/>
              <w:left w:val="nil"/>
              <w:bottom w:val="single" w:sz="8" w:space="0" w:color="auto"/>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Изготовлена из нетканого полипропиленового 4-х слойного материала технологии </w:t>
            </w:r>
          </w:p>
        </w:tc>
        <w:tc>
          <w:tcPr>
            <w:tcW w:w="439"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спанбонд-мельтблаун-мельтблаун-спанбонд (или эквивалент)</w:t>
            </w:r>
          </w:p>
        </w:tc>
        <w:tc>
          <w:tcPr>
            <w:tcW w:w="220"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572"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Материал  технологии спанбонд-мельтблаун-мельтблаун-спанбонд (или эквивалент)  - обладает водоотталкивающими свойствами, воздухопроницаемостью и пониженным ворсоотделением</w:t>
            </w:r>
          </w:p>
        </w:tc>
        <w:tc>
          <w:tcPr>
            <w:tcW w:w="307"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top w:val="nil"/>
              <w:left w:val="single" w:sz="8" w:space="0" w:color="auto"/>
              <w:bottom w:val="single" w:sz="8" w:space="0" w:color="000000"/>
              <w:right w:val="nil"/>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527" w:type="pct"/>
            <w:tcBorders>
              <w:top w:val="nil"/>
              <w:left w:val="nil"/>
              <w:bottom w:val="single" w:sz="8" w:space="0" w:color="auto"/>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Плотность материала </w:t>
            </w:r>
          </w:p>
        </w:tc>
        <w:tc>
          <w:tcPr>
            <w:tcW w:w="439"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≥42</w:t>
            </w:r>
          </w:p>
        </w:tc>
        <w:tc>
          <w:tcPr>
            <w:tcW w:w="220"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г/м².</w:t>
            </w:r>
          </w:p>
        </w:tc>
        <w:tc>
          <w:tcPr>
            <w:tcW w:w="572"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vMerge w:val="restart"/>
            <w:tcBorders>
              <w:top w:val="nil"/>
              <w:left w:val="single" w:sz="8" w:space="0" w:color="auto"/>
              <w:bottom w:val="single" w:sz="8" w:space="0" w:color="000000"/>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Обусловлена полной влагонепроницаемостью, хорошей влаговпитываемостью, отсутствием ворсоотделения, отсутствием статики, низким коэффициентом упругости</w:t>
            </w:r>
          </w:p>
        </w:tc>
        <w:tc>
          <w:tcPr>
            <w:tcW w:w="307"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top w:val="nil"/>
              <w:left w:val="single" w:sz="8" w:space="0" w:color="auto"/>
              <w:bottom w:val="single" w:sz="8" w:space="0" w:color="000000"/>
              <w:right w:val="nil"/>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527" w:type="pct"/>
            <w:tcBorders>
              <w:top w:val="nil"/>
              <w:left w:val="nil"/>
              <w:bottom w:val="single" w:sz="8" w:space="0" w:color="auto"/>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Материал мягкий, легкий, не раздражает кожных покровов.</w:t>
            </w:r>
          </w:p>
        </w:tc>
        <w:tc>
          <w:tcPr>
            <w:tcW w:w="439"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Соответствие</w:t>
            </w:r>
          </w:p>
        </w:tc>
        <w:tc>
          <w:tcPr>
            <w:tcW w:w="220"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572"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307"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top w:val="nil"/>
              <w:left w:val="single" w:sz="8" w:space="0" w:color="auto"/>
              <w:bottom w:val="single" w:sz="8" w:space="0" w:color="000000"/>
              <w:right w:val="nil"/>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527" w:type="pct"/>
            <w:tcBorders>
              <w:top w:val="nil"/>
              <w:left w:val="nil"/>
              <w:bottom w:val="single" w:sz="8" w:space="0" w:color="auto"/>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Простыня имеет ровные края </w:t>
            </w:r>
          </w:p>
        </w:tc>
        <w:tc>
          <w:tcPr>
            <w:tcW w:w="439"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Соответствие</w:t>
            </w:r>
          </w:p>
        </w:tc>
        <w:tc>
          <w:tcPr>
            <w:tcW w:w="220"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572"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Что позволяет избегать отрыва частиц материала и попадания их в операционное поле.</w:t>
            </w:r>
          </w:p>
        </w:tc>
        <w:tc>
          <w:tcPr>
            <w:tcW w:w="307"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top w:val="nil"/>
              <w:left w:val="single" w:sz="8" w:space="0" w:color="auto"/>
              <w:bottom w:val="single" w:sz="8" w:space="0" w:color="000000"/>
              <w:right w:val="nil"/>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527" w:type="pct"/>
            <w:tcBorders>
              <w:top w:val="nil"/>
              <w:left w:val="nil"/>
              <w:bottom w:val="single" w:sz="8" w:space="0" w:color="auto"/>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Материал простыни не имеет дефектов, части полотна соединяются друг с другом герметично, наличие швейной прострочки недопустимо </w:t>
            </w:r>
          </w:p>
        </w:tc>
        <w:tc>
          <w:tcPr>
            <w:tcW w:w="439"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Соответствие</w:t>
            </w:r>
          </w:p>
        </w:tc>
        <w:tc>
          <w:tcPr>
            <w:tcW w:w="220"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572"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Герметичность соединения частей простыни обусловлена необходимостью стерильности изделия, а швейная прострочка имеет отверстия в материале и между стежками и не обеспечивает стерильность</w:t>
            </w:r>
          </w:p>
        </w:tc>
        <w:tc>
          <w:tcPr>
            <w:tcW w:w="307"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top w:val="nil"/>
              <w:left w:val="single" w:sz="8" w:space="0" w:color="auto"/>
              <w:bottom w:val="single" w:sz="8" w:space="0" w:color="000000"/>
              <w:right w:val="nil"/>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527" w:type="pct"/>
            <w:tcBorders>
              <w:top w:val="nil"/>
              <w:left w:val="nil"/>
              <w:bottom w:val="single" w:sz="8" w:space="0" w:color="auto"/>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Упаковка индивидуальная, двойная </w:t>
            </w:r>
          </w:p>
        </w:tc>
        <w:tc>
          <w:tcPr>
            <w:tcW w:w="439"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Соответствие</w:t>
            </w:r>
          </w:p>
        </w:tc>
        <w:tc>
          <w:tcPr>
            <w:tcW w:w="220"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572"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Данная форма упаковки позволяет открыть содержимое без использования режущих инструментов.</w:t>
            </w:r>
          </w:p>
        </w:tc>
        <w:tc>
          <w:tcPr>
            <w:tcW w:w="307"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top w:val="nil"/>
              <w:left w:val="single" w:sz="8" w:space="0" w:color="auto"/>
              <w:bottom w:val="single" w:sz="8" w:space="0" w:color="000000"/>
              <w:right w:val="nil"/>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527" w:type="pct"/>
            <w:tcBorders>
              <w:top w:val="nil"/>
              <w:left w:val="nil"/>
              <w:bottom w:val="single" w:sz="8" w:space="0" w:color="auto"/>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Наружная упаковка имеет форму пакета. Верхняя часть пакета выполнена из прозрачного полиэфирно-полипропиленового ламината, нижняя часть пакета – из непрозрачной медицинской бумаги. </w:t>
            </w:r>
          </w:p>
        </w:tc>
        <w:tc>
          <w:tcPr>
            <w:tcW w:w="439"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Соответствие</w:t>
            </w:r>
          </w:p>
        </w:tc>
        <w:tc>
          <w:tcPr>
            <w:tcW w:w="220"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572"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Верхняя часть наружной упаковки из прозрачного полиэфирно-полипропиленового ламината позволяет идентифицировать упакованные изделия, находящееся внутри, для исключения риска ошибок при применении медицинских изделий. Нижняя часть наружной упаковки позволяет обнаружить возможное повреждение пакета, (при разрыве будет виден внутренний цветной слой изделия), тем самым это позволит избежать нарушения правил асептики при оказании медицинской помощи.</w:t>
            </w:r>
          </w:p>
        </w:tc>
        <w:tc>
          <w:tcPr>
            <w:tcW w:w="307"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top w:val="nil"/>
              <w:left w:val="single" w:sz="8" w:space="0" w:color="auto"/>
              <w:bottom w:val="single" w:sz="8" w:space="0" w:color="000000"/>
              <w:right w:val="nil"/>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527" w:type="pct"/>
            <w:tcBorders>
              <w:top w:val="nil"/>
              <w:left w:val="nil"/>
              <w:bottom w:val="single" w:sz="8" w:space="0" w:color="auto"/>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Внутренняя упаковка имеет форму конверта </w:t>
            </w:r>
          </w:p>
        </w:tc>
        <w:tc>
          <w:tcPr>
            <w:tcW w:w="439"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Соответствие</w:t>
            </w:r>
          </w:p>
        </w:tc>
        <w:tc>
          <w:tcPr>
            <w:tcW w:w="220"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572"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8" w:space="0" w:color="auto"/>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Что позволяет развернуть содержимое на поверхности стола, не нарушая стерильности, и одновременно подготовить содержимое к хирургической манипуляции. А также позволяет, не нарушая правил асептики, раскрыть изделие усилиями одного человека.</w:t>
            </w:r>
          </w:p>
        </w:tc>
        <w:tc>
          <w:tcPr>
            <w:tcW w:w="307" w:type="pct"/>
            <w:vMerge/>
            <w:tcBorders>
              <w:top w:val="nil"/>
              <w:left w:val="single" w:sz="8" w:space="0" w:color="auto"/>
              <w:bottom w:val="single" w:sz="8"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top w:val="nil"/>
              <w:left w:val="single" w:sz="8" w:space="0" w:color="auto"/>
              <w:bottom w:val="single" w:sz="8" w:space="0" w:color="000000"/>
              <w:right w:val="nil"/>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right w:val="single" w:sz="4" w:space="0" w:color="auto"/>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top w:val="nil"/>
              <w:left w:val="single" w:sz="8" w:space="0" w:color="auto"/>
              <w:bottom w:val="single" w:sz="4"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top w:val="nil"/>
              <w:left w:val="single" w:sz="8" w:space="0" w:color="auto"/>
              <w:bottom w:val="single" w:sz="4"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52" w:type="pct"/>
            <w:vMerge/>
            <w:tcBorders>
              <w:top w:val="nil"/>
              <w:left w:val="single" w:sz="8" w:space="0" w:color="auto"/>
              <w:bottom w:val="single" w:sz="4"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527" w:type="pct"/>
            <w:tcBorders>
              <w:top w:val="nil"/>
              <w:left w:val="nil"/>
              <w:bottom w:val="single" w:sz="4"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Упаковка </w:t>
            </w:r>
            <w:r w:rsidRPr="003652AD">
              <w:rPr>
                <w:rFonts w:ascii="Times New Roman" w:eastAsia="Times New Roman" w:hAnsi="Times New Roman" w:cs="Times New Roman"/>
                <w:color w:val="000000"/>
                <w:sz w:val="16"/>
                <w:szCs w:val="16"/>
                <w:lang w:eastAsia="ru-RU"/>
              </w:rPr>
              <w:t>содержит информацию</w:t>
            </w:r>
            <w:r>
              <w:rPr>
                <w:rFonts w:ascii="Times New Roman" w:eastAsia="Times New Roman" w:hAnsi="Times New Roman" w:cs="Times New Roman"/>
                <w:color w:val="000000"/>
                <w:sz w:val="16"/>
                <w:szCs w:val="16"/>
                <w:lang w:eastAsia="ru-RU"/>
              </w:rPr>
              <w:t xml:space="preserve">, </w:t>
            </w:r>
            <w:r w:rsidRPr="003652AD">
              <w:rPr>
                <w:rFonts w:ascii="Times New Roman" w:eastAsia="Times New Roman" w:hAnsi="Times New Roman" w:cs="Times New Roman"/>
                <w:color w:val="000000"/>
                <w:sz w:val="16"/>
                <w:szCs w:val="16"/>
                <w:lang w:eastAsia="ru-RU"/>
              </w:rPr>
              <w:t xml:space="preserve">содержащую  артикул производителя и номер партии, срок годности, данные о производителе. </w:t>
            </w:r>
          </w:p>
        </w:tc>
        <w:tc>
          <w:tcPr>
            <w:tcW w:w="439" w:type="pct"/>
            <w:tcBorders>
              <w:top w:val="nil"/>
              <w:left w:val="nil"/>
              <w:bottom w:val="single" w:sz="4" w:space="0" w:color="000000"/>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Соответствие</w:t>
            </w:r>
          </w:p>
        </w:tc>
        <w:tc>
          <w:tcPr>
            <w:tcW w:w="220" w:type="pct"/>
            <w:tcBorders>
              <w:top w:val="nil"/>
              <w:left w:val="nil"/>
              <w:bottom w:val="single" w:sz="4" w:space="0" w:color="000000"/>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572" w:type="pct"/>
            <w:tcBorders>
              <w:top w:val="nil"/>
              <w:left w:val="nil"/>
              <w:bottom w:val="single" w:sz="4" w:space="0" w:color="000000"/>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nil"/>
              <w:left w:val="nil"/>
              <w:bottom w:val="single" w:sz="4" w:space="0" w:color="000000"/>
              <w:right w:val="single" w:sz="8" w:space="0" w:color="auto"/>
            </w:tcBorders>
            <w:vAlign w:val="center"/>
            <w:hideMark/>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Характеристика, необходимая для идентификации медицинского изделия.</w:t>
            </w:r>
          </w:p>
        </w:tc>
        <w:tc>
          <w:tcPr>
            <w:tcW w:w="307" w:type="pct"/>
            <w:vMerge/>
            <w:tcBorders>
              <w:top w:val="nil"/>
              <w:left w:val="single" w:sz="8" w:space="0" w:color="auto"/>
              <w:bottom w:val="single" w:sz="4" w:space="0" w:color="000000"/>
              <w:right w:val="single" w:sz="8"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top w:val="nil"/>
              <w:left w:val="single" w:sz="8" w:space="0" w:color="auto"/>
              <w:bottom w:val="single" w:sz="4" w:space="0" w:color="000000"/>
              <w:right w:val="nil"/>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auto"/>
              <w:bottom w:val="single" w:sz="4" w:space="0" w:color="000000"/>
              <w:right w:val="single" w:sz="4" w:space="0" w:color="auto"/>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top w:val="nil"/>
              <w:left w:val="single" w:sz="4" w:space="0" w:color="auto"/>
              <w:bottom w:val="single" w:sz="4" w:space="0" w:color="000000"/>
              <w:right w:val="single" w:sz="4" w:space="0" w:color="auto"/>
            </w:tcBorders>
            <w:vAlign w:val="center"/>
            <w:hideMark/>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val="restart"/>
            <w:tcBorders>
              <w:top w:val="single" w:sz="4" w:space="0" w:color="000000"/>
              <w:left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396" w:type="pct"/>
            <w:vMerge w:val="restart"/>
            <w:tcBorders>
              <w:top w:val="single" w:sz="4" w:space="0" w:color="000000"/>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Набор белья для осмотра/хирургических процедур, стерильный, одноразового использования   </w:t>
            </w:r>
          </w:p>
        </w:tc>
        <w:tc>
          <w:tcPr>
            <w:tcW w:w="352" w:type="pct"/>
            <w:vMerge w:val="restart"/>
            <w:tcBorders>
              <w:top w:val="single" w:sz="4" w:space="0" w:color="000000"/>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14.12.30.190-00000020*</w:t>
            </w:r>
            <w:r>
              <w:rPr>
                <w:rFonts w:ascii="Times New Roman" w:eastAsia="Times New Roman" w:hAnsi="Times New Roman" w:cs="Times New Roman"/>
                <w:color w:val="000000"/>
                <w:sz w:val="16"/>
                <w:szCs w:val="16"/>
                <w:lang w:eastAsia="ru-RU"/>
              </w:rPr>
              <w:t>*</w:t>
            </w:r>
            <w:r w:rsidRPr="003652AD">
              <w:rPr>
                <w:rFonts w:ascii="Times New Roman" w:eastAsia="Times New Roman" w:hAnsi="Times New Roman" w:cs="Times New Roman"/>
                <w:color w:val="000000"/>
                <w:sz w:val="16"/>
                <w:szCs w:val="16"/>
                <w:lang w:eastAsia="ru-RU"/>
              </w:rPr>
              <w:t xml:space="preserve">                        </w:t>
            </w:r>
          </w:p>
        </w:tc>
        <w:tc>
          <w:tcPr>
            <w:tcW w:w="527"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Размер салфетки хирургической  нетканой  (ш х дл) </w:t>
            </w:r>
          </w:p>
        </w:tc>
        <w:tc>
          <w:tcPr>
            <w:tcW w:w="439"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40х60</w:t>
            </w:r>
          </w:p>
        </w:tc>
        <w:tc>
          <w:tcPr>
            <w:tcW w:w="220"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сантиметр</w:t>
            </w:r>
          </w:p>
        </w:tc>
        <w:tc>
          <w:tcPr>
            <w:tcW w:w="572"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Обусловлено определенным видом операции</w:t>
            </w:r>
          </w:p>
        </w:tc>
        <w:tc>
          <w:tcPr>
            <w:tcW w:w="307" w:type="pct"/>
            <w:vMerge w:val="restart"/>
            <w:tcBorders>
              <w:top w:val="single" w:sz="4" w:space="0" w:color="000000"/>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80</w:t>
            </w:r>
          </w:p>
        </w:tc>
        <w:tc>
          <w:tcPr>
            <w:tcW w:w="309" w:type="pct"/>
            <w:vMerge w:val="restart"/>
            <w:tcBorders>
              <w:top w:val="single" w:sz="4" w:space="0" w:color="000000"/>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штука</w:t>
            </w:r>
          </w:p>
        </w:tc>
        <w:tc>
          <w:tcPr>
            <w:tcW w:w="264" w:type="pct"/>
            <w:vMerge w:val="restart"/>
            <w:tcBorders>
              <w:top w:val="single" w:sz="4" w:space="0" w:color="000000"/>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val="restart"/>
            <w:tcBorders>
              <w:top w:val="single" w:sz="4" w:space="0" w:color="000000"/>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val="restart"/>
            <w:tcBorders>
              <w:top w:val="single" w:sz="4" w:space="0" w:color="000000"/>
              <w:left w:val="single" w:sz="4" w:space="0" w:color="000000"/>
              <w:right w:val="single" w:sz="4" w:space="0" w:color="000000"/>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val="restart"/>
            <w:tcBorders>
              <w:top w:val="single" w:sz="4" w:space="0" w:color="000000"/>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527"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Изготовлена из нетканого полипропиленового 4-х слойного материала технологии </w:t>
            </w:r>
          </w:p>
        </w:tc>
        <w:tc>
          <w:tcPr>
            <w:tcW w:w="439"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спанбонд-мельтблаун-мельтблаун-спанбонд (или эквивалент)</w:t>
            </w:r>
          </w:p>
        </w:tc>
        <w:tc>
          <w:tcPr>
            <w:tcW w:w="220"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572"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Материал  технологии спанбонд-мельтблаун-мельтблаун-спанбонд (или эквивалент)  - обладает водоотталкивающими свойствами, воздухопроницаемостью и пониженным ворсоотделением</w:t>
            </w:r>
          </w:p>
        </w:tc>
        <w:tc>
          <w:tcPr>
            <w:tcW w:w="307"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527"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Плотность материала </w:t>
            </w:r>
          </w:p>
        </w:tc>
        <w:tc>
          <w:tcPr>
            <w:tcW w:w="439"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≥25</w:t>
            </w:r>
          </w:p>
        </w:tc>
        <w:tc>
          <w:tcPr>
            <w:tcW w:w="220"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г/м².</w:t>
            </w:r>
          </w:p>
        </w:tc>
        <w:tc>
          <w:tcPr>
            <w:tcW w:w="572"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661"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Плотность материала необходимая характеристика  для длительных медицинских манипуляций</w:t>
            </w:r>
          </w:p>
        </w:tc>
        <w:tc>
          <w:tcPr>
            <w:tcW w:w="307"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527"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Материал мягкий, легкий, не раздражает кожных покровов.</w:t>
            </w:r>
          </w:p>
        </w:tc>
        <w:tc>
          <w:tcPr>
            <w:tcW w:w="439"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Соответствие</w:t>
            </w:r>
          </w:p>
        </w:tc>
        <w:tc>
          <w:tcPr>
            <w:tcW w:w="220"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572"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307"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527"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Упаковка индивидуальная, двойная </w:t>
            </w:r>
          </w:p>
        </w:tc>
        <w:tc>
          <w:tcPr>
            <w:tcW w:w="439"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Соответствие</w:t>
            </w:r>
          </w:p>
        </w:tc>
        <w:tc>
          <w:tcPr>
            <w:tcW w:w="220"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572"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Данная форма упаковки позволяет открыть содержимое без использования режущих инструментов.</w:t>
            </w:r>
          </w:p>
        </w:tc>
        <w:tc>
          <w:tcPr>
            <w:tcW w:w="307"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527"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Наружная упаковка имеет форму пакета. Верхняя часть пакета выполнена из прозрачного полиэфирно-полипропиленового ламината, нижняя часть пакета – из непрозрачной медицинской бумаги. </w:t>
            </w:r>
          </w:p>
        </w:tc>
        <w:tc>
          <w:tcPr>
            <w:tcW w:w="439"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Соответствие</w:t>
            </w:r>
          </w:p>
        </w:tc>
        <w:tc>
          <w:tcPr>
            <w:tcW w:w="220"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p>
        </w:tc>
        <w:tc>
          <w:tcPr>
            <w:tcW w:w="572"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3652A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Верхняя часть наружной упаковки из прозрачного полиэфирно-полипропиленового ламината позволяет идентифицировать упакованные изделия, находящееся внутри, для исключения риска ошибок при применении медицинских изделий. Нижняя часть наружной упаковки позволяет обнаружить возможное повреждение пакета, (при разрыве будет виден внутренний цветной слой изделия), тем самым это позволит избежать нарушения правил асептики при оказании медицинской помощи.</w:t>
            </w:r>
          </w:p>
        </w:tc>
        <w:tc>
          <w:tcPr>
            <w:tcW w:w="307"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left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527"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xml:space="preserve">Внутренняя упаковка имеет форму конверта </w:t>
            </w:r>
          </w:p>
        </w:tc>
        <w:tc>
          <w:tcPr>
            <w:tcW w:w="439"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Соответствие</w:t>
            </w:r>
          </w:p>
        </w:tc>
        <w:tc>
          <w:tcPr>
            <w:tcW w:w="220"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w:t>
            </w:r>
          </w:p>
        </w:tc>
        <w:tc>
          <w:tcPr>
            <w:tcW w:w="572"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Что позволяет развернуть содержимое на поверхности стола, не нарушая стерильности.</w:t>
            </w:r>
          </w:p>
        </w:tc>
        <w:tc>
          <w:tcPr>
            <w:tcW w:w="307"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right w:val="single" w:sz="4" w:space="0" w:color="000000"/>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left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r w:rsidR="003652AD" w:rsidRPr="003652AD" w:rsidTr="003652AD">
        <w:trPr>
          <w:trHeight w:val="402"/>
        </w:trPr>
        <w:tc>
          <w:tcPr>
            <w:tcW w:w="176" w:type="pct"/>
            <w:vMerge/>
            <w:tcBorders>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96" w:type="pct"/>
            <w:vMerge/>
            <w:tcBorders>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352" w:type="pct"/>
            <w:vMerge/>
            <w:tcBorders>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p>
        </w:tc>
        <w:tc>
          <w:tcPr>
            <w:tcW w:w="527"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Упаковка  содержит информацию, содержащую  артикул производителя и номер партии, срок годности, данные о производителе.</w:t>
            </w:r>
          </w:p>
        </w:tc>
        <w:tc>
          <w:tcPr>
            <w:tcW w:w="439"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Соответствие</w:t>
            </w:r>
          </w:p>
        </w:tc>
        <w:tc>
          <w:tcPr>
            <w:tcW w:w="220"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jc w:val="center"/>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 </w:t>
            </w:r>
          </w:p>
        </w:tc>
        <w:tc>
          <w:tcPr>
            <w:tcW w:w="572"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661" w:type="pct"/>
            <w:tcBorders>
              <w:top w:val="single" w:sz="4" w:space="0" w:color="000000"/>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r w:rsidRPr="003652AD">
              <w:rPr>
                <w:rFonts w:ascii="Times New Roman" w:eastAsia="Times New Roman" w:hAnsi="Times New Roman" w:cs="Times New Roman"/>
                <w:color w:val="000000"/>
                <w:sz w:val="16"/>
                <w:szCs w:val="16"/>
                <w:lang w:eastAsia="ru-RU"/>
              </w:rPr>
              <w:t>Характеристика, необходимая для идентификации медицинского изделия.</w:t>
            </w:r>
          </w:p>
        </w:tc>
        <w:tc>
          <w:tcPr>
            <w:tcW w:w="307" w:type="pct"/>
            <w:vMerge/>
            <w:tcBorders>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309" w:type="pct"/>
            <w:vMerge/>
            <w:tcBorders>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64" w:type="pct"/>
            <w:vMerge/>
            <w:tcBorders>
              <w:left w:val="single" w:sz="4" w:space="0" w:color="000000"/>
              <w:bottom w:val="single" w:sz="4" w:space="0" w:color="000000"/>
              <w:right w:val="single" w:sz="4" w:space="0" w:color="000000"/>
            </w:tcBorders>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c>
          <w:tcPr>
            <w:tcW w:w="249" w:type="pct"/>
            <w:vMerge/>
            <w:tcBorders>
              <w:left w:val="single" w:sz="4" w:space="0" w:color="000000"/>
              <w:bottom w:val="single" w:sz="4" w:space="0" w:color="000000"/>
              <w:right w:val="single" w:sz="4" w:space="0" w:color="000000"/>
            </w:tcBorders>
            <w:vAlign w:val="center"/>
          </w:tcPr>
          <w:p w:rsidR="003652AD" w:rsidRPr="003652AD" w:rsidRDefault="003652AD" w:rsidP="00D139BD">
            <w:pPr>
              <w:spacing w:after="0" w:line="240" w:lineRule="auto"/>
              <w:rPr>
                <w:rFonts w:ascii="Times New Roman" w:eastAsia="Times New Roman" w:hAnsi="Times New Roman" w:cs="Times New Roman"/>
                <w:color w:val="000000"/>
                <w:sz w:val="16"/>
                <w:szCs w:val="16"/>
                <w:lang w:eastAsia="ru-RU"/>
              </w:rPr>
            </w:pPr>
          </w:p>
        </w:tc>
      </w:tr>
    </w:tbl>
    <w:p w:rsidR="003652AD" w:rsidRPr="002A6045" w:rsidRDefault="003652AD" w:rsidP="003652AD">
      <w:pPr>
        <w:rPr>
          <w:rFonts w:ascii="Times New Roman" w:hAnsi="Times New Roman" w:cs="Times New Roman"/>
          <w:b/>
          <w:sz w:val="20"/>
          <w:szCs w:val="20"/>
        </w:rPr>
      </w:pPr>
      <w:r>
        <w:rPr>
          <w:rFonts w:ascii="Times New Roman" w:hAnsi="Times New Roman" w:cs="Times New Roman"/>
          <w:b/>
          <w:sz w:val="20"/>
          <w:szCs w:val="20"/>
        </w:rPr>
        <w:t>*</w:t>
      </w:r>
      <w:r w:rsidRPr="002A6045">
        <w:rPr>
          <w:rFonts w:ascii="Times New Roman" w:hAnsi="Times New Roman" w:cs="Times New Roman"/>
          <w:b/>
          <w:sz w:val="20"/>
          <w:szCs w:val="20"/>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 (письмо Минфина России от 24 января 2022 г. N 24-03-08/4090)</w:t>
      </w:r>
    </w:p>
    <w:p w:rsidR="003652AD" w:rsidRDefault="003652AD" w:rsidP="003652AD">
      <w:pPr>
        <w:rPr>
          <w:rFonts w:ascii="Times New Roman" w:hAnsi="Times New Roman" w:cs="Times New Roman"/>
          <w:b/>
          <w:sz w:val="28"/>
          <w:szCs w:val="28"/>
        </w:rPr>
      </w:pPr>
    </w:p>
    <w:p w:rsidR="003652AD" w:rsidRPr="000437D6" w:rsidRDefault="003652AD"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3652AD">
      <w:headerReference w:type="first" r:id="rId18"/>
      <w:footerReference w:type="first" r:id="rId19"/>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75A" w:rsidRDefault="00E4475A">
      <w:pPr>
        <w:spacing w:after="0" w:line="240" w:lineRule="auto"/>
      </w:pPr>
      <w:r>
        <w:separator/>
      </w:r>
    </w:p>
  </w:endnote>
  <w:endnote w:type="continuationSeparator" w:id="0">
    <w:p w:rsidR="00E4475A" w:rsidRDefault="00E4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43F57" w:rsidRDefault="00A43F5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43F5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A43F5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43F5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43F5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652AD">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43F5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652A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75A" w:rsidRDefault="00E4475A">
      <w:pPr>
        <w:spacing w:after="0" w:line="240" w:lineRule="auto"/>
      </w:pPr>
      <w:r>
        <w:separator/>
      </w:r>
    </w:p>
  </w:footnote>
  <w:footnote w:type="continuationSeparator" w:id="0">
    <w:p w:rsidR="00E4475A" w:rsidRDefault="00E4475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43F57" w:rsidRDefault="00A43F5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43F57" w:rsidRDefault="00A43F5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43F57" w:rsidRDefault="00A43F5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52AD"/>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3F57"/>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4475A"/>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FBDC-DB03-48B4-9793-1DF75F12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2025-02-18T05:51:00Z</dcterms:created>
  <dcterms:modified xsi:type="dcterms:W3CDTF">2025-02-18T05:51:00Z</dcterms:modified>
</cp:coreProperties>
</file>