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05-07/284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A49C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АМИНОКИСЛОТЫ ДЛЯ ПАРЕНТЕРАЛЬНОГО ПИТАНИЯ</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91B5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91B5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91B5E" w:rsidRDefault="00691B5E" w:rsidP="000820E3">
      <w:r>
        <w:fldChar w:fldCharType="begin"/>
      </w:r>
      <w:r>
        <w:instrText xml:space="preserve"> LINK Excel.Sheet.8 "C:\\Users\\stasiukEyu\\Desktop\\2025\\торги\\смофкабивен центр. 1970год\\ТЗ.xls" "Лист_1!R3C2:R8C16" \a \f 4 \h </w:instrText>
      </w:r>
      <w:r>
        <w:fldChar w:fldCharType="separate"/>
      </w:r>
    </w:p>
    <w:tbl>
      <w:tblPr>
        <w:tblW w:w="11420" w:type="dxa"/>
        <w:tblInd w:w="108" w:type="dxa"/>
        <w:tblLook w:val="04A0" w:firstRow="1" w:lastRow="0" w:firstColumn="1" w:lastColumn="0" w:noHBand="0" w:noVBand="1"/>
      </w:tblPr>
      <w:tblGrid>
        <w:gridCol w:w="340"/>
        <w:gridCol w:w="2525"/>
        <w:gridCol w:w="1818"/>
        <w:gridCol w:w="921"/>
        <w:gridCol w:w="819"/>
        <w:gridCol w:w="863"/>
        <w:gridCol w:w="1205"/>
        <w:gridCol w:w="1155"/>
        <w:gridCol w:w="641"/>
        <w:gridCol w:w="1006"/>
        <w:gridCol w:w="1076"/>
        <w:gridCol w:w="1066"/>
        <w:gridCol w:w="1081"/>
        <w:gridCol w:w="725"/>
        <w:gridCol w:w="600"/>
      </w:tblGrid>
      <w:tr w:rsidR="00691B5E" w:rsidRPr="00691B5E" w:rsidTr="00691B5E">
        <w:trPr>
          <w:trHeight w:val="381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Количество единиц измерения*</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Списки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Варианты поставки</w:t>
            </w:r>
          </w:p>
        </w:tc>
        <w:tc>
          <w:tcPr>
            <w:tcW w:w="1360" w:type="dxa"/>
            <w:tcBorders>
              <w:top w:val="single" w:sz="4" w:space="0" w:color="auto"/>
              <w:left w:val="nil"/>
              <w:bottom w:val="single" w:sz="4" w:space="0" w:color="auto"/>
              <w:right w:val="single" w:sz="4" w:space="0" w:color="auto"/>
            </w:tcBorders>
            <w:shd w:val="clear" w:color="000000" w:fill="FFFF00"/>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и дата РУ/разрешения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Наименование страны происхождения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Размер НДС, (%)</w:t>
            </w:r>
          </w:p>
        </w:tc>
      </w:tr>
      <w:tr w:rsidR="00691B5E" w:rsidRPr="00691B5E" w:rsidTr="00691B5E">
        <w:trPr>
          <w:trHeight w:val="463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АМИНОКИСЛОТЫ ДЛЯ ПАРЕНТЕРАЛЬНОГО ПИТАНИЯ+ПРОЧИЕ ПРЕПАРАТЫ [ЖИРОВЫЕ ЭМУЛЬСИИ ДЛЯ ПАРЕНТЕРАЛЬНОГО ПИТАНИЯ+ДЕКСТРОЗА+МИНЕРАЛЫ]</w:t>
            </w:r>
          </w:p>
        </w:tc>
        <w:tc>
          <w:tcPr>
            <w:tcW w:w="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Лекарственная форма: эмульсия для инфузий</w:t>
            </w:r>
            <w:r w:rsidRPr="00691B5E">
              <w:rPr>
                <w:rFonts w:ascii="Times New Roman" w:eastAsia="Times New Roman" w:hAnsi="Times New Roman" w:cs="Times New Roman"/>
                <w:lang w:eastAsia="ru-RU"/>
              </w:rPr>
              <w:br/>
              <w:t>Дозировка: НЕТ</w:t>
            </w:r>
            <w:r w:rsidRPr="00691B5E">
              <w:rPr>
                <w:rFonts w:ascii="Times New Roman" w:eastAsia="Times New Roman" w:hAnsi="Times New Roman" w:cs="Times New Roman"/>
                <w:lang w:eastAsia="ru-RU"/>
              </w:rPr>
              <w:br/>
              <w:t>Состав:**</w:t>
            </w:r>
            <w:r w:rsidRPr="00691B5E">
              <w:rPr>
                <w:rFonts w:ascii="Times New Roman" w:eastAsia="Times New Roman" w:hAnsi="Times New Roman" w:cs="Times New Roman"/>
                <w:lang w:eastAsia="ru-RU"/>
              </w:rPr>
              <w:br/>
              <w:t xml:space="preserve">аминокислоты+соевое масло (ДЦТ)+оливковое масло (МНЖК)+среднецепочечные триглицериды (СЦТ) и рыбий жир (омега-3 ЖК)+углеводы; </w:t>
            </w:r>
            <w:r w:rsidRPr="00691B5E">
              <w:rPr>
                <w:rFonts w:ascii="Times New Roman" w:eastAsia="Times New Roman" w:hAnsi="Times New Roman" w:cs="Times New Roman"/>
                <w:lang w:eastAsia="ru-RU"/>
              </w:rPr>
              <w:br/>
              <w:t xml:space="preserve">Объём наполнения первичной упаковки (трёхкамерный контейнер): 1970 мл. </w:t>
            </w:r>
          </w:p>
        </w:tc>
        <w:tc>
          <w:tcPr>
            <w:tcW w:w="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sz w:val="18"/>
                <w:szCs w:val="18"/>
                <w:lang w:eastAsia="ru-RU"/>
              </w:rPr>
            </w:pPr>
            <w:r w:rsidRPr="00691B5E">
              <w:rPr>
                <w:rFonts w:ascii="Times New Roman" w:eastAsia="Times New Roman" w:hAnsi="Times New Roman" w:cs="Times New Roman"/>
                <w:sz w:val="18"/>
                <w:szCs w:val="18"/>
                <w:lang w:eastAsia="ru-RU"/>
              </w:rPr>
              <w:t>21.20.10.134-000036-1-00150-0000000000000</w:t>
            </w:r>
          </w:p>
        </w:tc>
        <w:tc>
          <w:tcPr>
            <w:tcW w:w="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3600</w:t>
            </w:r>
          </w:p>
        </w:tc>
        <w:tc>
          <w:tcPr>
            <w:tcW w:w="130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см3;мл</w:t>
            </w:r>
          </w:p>
        </w:tc>
        <w:tc>
          <w:tcPr>
            <w:tcW w:w="112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7 092 000</w:t>
            </w:r>
          </w:p>
        </w:tc>
        <w:tc>
          <w:tcPr>
            <w:tcW w:w="94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rPr>
                <w:rFonts w:ascii="Times New Roman" w:eastAsia="Times New Roman" w:hAnsi="Times New Roman" w:cs="Times New Roman"/>
                <w:sz w:val="18"/>
                <w:szCs w:val="18"/>
                <w:lang w:eastAsia="ru-RU"/>
              </w:rPr>
            </w:pPr>
            <w:r w:rsidRPr="00691B5E">
              <w:rPr>
                <w:rFonts w:ascii="Times New Roman" w:eastAsia="Times New Roman" w:hAnsi="Times New Roman" w:cs="Times New Roman"/>
                <w:sz w:val="18"/>
                <w:szCs w:val="18"/>
                <w:lang w:eastAsia="ru-RU"/>
              </w:rPr>
              <w:t>ЖВ</w:t>
            </w:r>
          </w:p>
        </w:tc>
        <w:tc>
          <w:tcPr>
            <w:tcW w:w="156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rPr>
                <w:rFonts w:ascii="Times New Roman" w:eastAsia="Times New Roman" w:hAnsi="Times New Roman" w:cs="Times New Roman"/>
                <w:sz w:val="18"/>
                <w:szCs w:val="18"/>
                <w:lang w:eastAsia="ru-RU"/>
              </w:rPr>
            </w:pPr>
            <w:r w:rsidRPr="00691B5E">
              <w:rPr>
                <w:rFonts w:ascii="Times New Roman" w:eastAsia="Times New Roman" w:hAnsi="Times New Roman" w:cs="Times New Roman"/>
                <w:sz w:val="18"/>
                <w:szCs w:val="18"/>
                <w:lang w:eastAsia="ru-RU"/>
              </w:rPr>
              <w:t>ЭМУЛЬСИЯ ДЛЯ ИНФУЗИЙ, ~, 7092000 СМ3;МЛ (основной)</w:t>
            </w:r>
          </w:p>
        </w:tc>
        <w:tc>
          <w:tcPr>
            <w:tcW w:w="1360" w:type="dxa"/>
            <w:tcBorders>
              <w:top w:val="nil"/>
              <w:left w:val="nil"/>
              <w:bottom w:val="single" w:sz="4" w:space="0" w:color="auto"/>
              <w:right w:val="single" w:sz="4" w:space="0" w:color="auto"/>
            </w:tcBorders>
            <w:shd w:val="clear" w:color="auto" w:fill="auto"/>
            <w:noWrap/>
            <w:vAlign w:val="bottom"/>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center"/>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right"/>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91B5E" w:rsidRPr="00691B5E" w:rsidRDefault="00691B5E" w:rsidP="00691B5E">
            <w:pPr>
              <w:spacing w:after="0" w:line="240" w:lineRule="auto"/>
              <w:jc w:val="right"/>
              <w:rPr>
                <w:rFonts w:ascii="Times New Roman" w:eastAsia="Times New Roman" w:hAnsi="Times New Roman" w:cs="Times New Roman"/>
                <w:lang w:eastAsia="ru-RU"/>
              </w:rPr>
            </w:pPr>
            <w:r w:rsidRPr="00691B5E">
              <w:rPr>
                <w:rFonts w:ascii="Times New Roman" w:eastAsia="Times New Roman" w:hAnsi="Times New Roman" w:cs="Times New Roman"/>
                <w:lang w:eastAsia="ru-RU"/>
              </w:rPr>
              <w:t> </w:t>
            </w:r>
          </w:p>
        </w:tc>
      </w:tr>
      <w:tr w:rsidR="00691B5E" w:rsidRPr="00691B5E" w:rsidTr="00691B5E">
        <w:trPr>
          <w:trHeight w:val="225"/>
        </w:trPr>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r>
      <w:tr w:rsidR="00691B5E" w:rsidRPr="00691B5E" w:rsidTr="00691B5E">
        <w:trPr>
          <w:trHeight w:val="1965"/>
        </w:trPr>
        <w:tc>
          <w:tcPr>
            <w:tcW w:w="11420" w:type="dxa"/>
            <w:gridSpan w:val="15"/>
            <w:tcBorders>
              <w:top w:val="nil"/>
              <w:left w:val="nil"/>
              <w:bottom w:val="nil"/>
              <w:right w:val="nil"/>
            </w:tcBorders>
            <w:shd w:val="clear" w:color="auto" w:fill="auto"/>
            <w:vAlign w:val="center"/>
            <w:hideMark/>
          </w:tcPr>
          <w:p w:rsidR="00C93321" w:rsidRDefault="00691B5E" w:rsidP="00691B5E">
            <w:pPr>
              <w:spacing w:after="0" w:line="240" w:lineRule="auto"/>
              <w:jc w:val="both"/>
              <w:rPr>
                <w:rFonts w:ascii="Times New Roman" w:eastAsia="Times New Roman" w:hAnsi="Times New Roman" w:cs="Times New Roman"/>
                <w:sz w:val="24"/>
                <w:szCs w:val="24"/>
                <w:lang w:eastAsia="ru-RU"/>
              </w:rPr>
            </w:pPr>
            <w:r w:rsidRPr="00691B5E">
              <w:rPr>
                <w:rFonts w:ascii="Times New Roman" w:eastAsia="Times New Roman" w:hAnsi="Times New Roman" w:cs="Times New Roman"/>
                <w:sz w:val="24"/>
                <w:szCs w:val="24"/>
                <w:lang w:eastAsia="ru-RU"/>
              </w:rPr>
              <w:t>*- первичная упаковка</w:t>
            </w:r>
          </w:p>
          <w:p w:rsidR="00691B5E" w:rsidRPr="00691B5E" w:rsidRDefault="00691B5E" w:rsidP="00691B5E">
            <w:pPr>
              <w:spacing w:after="0" w:line="240" w:lineRule="auto"/>
              <w:jc w:val="both"/>
              <w:rPr>
                <w:rFonts w:ascii="Times New Roman" w:eastAsia="Times New Roman" w:hAnsi="Times New Roman" w:cs="Times New Roman"/>
                <w:sz w:val="24"/>
                <w:szCs w:val="24"/>
                <w:lang w:eastAsia="ru-RU"/>
              </w:rPr>
            </w:pPr>
            <w:r w:rsidRPr="00691B5E">
              <w:rPr>
                <w:rFonts w:ascii="Times New Roman" w:eastAsia="Times New Roman" w:hAnsi="Times New Roman" w:cs="Times New Roman"/>
                <w:sz w:val="24"/>
                <w:szCs w:val="24"/>
                <w:lang w:eastAsia="ru-RU"/>
              </w:rPr>
              <w:t>**- требование к присутствию в составе аминокислот + компонентов соевого масла, среднецепочечных триглицеридов, линоленовой, омега-3 и омега-6, линолевой, эйкозапентаеновой и докозагексаеновой кислот обусловлено необходимостью применения препарата у ослабленных больных в раннем послеоперационном периоде, в том числе у пациентов, получающих курсы неоадъювантной химиотерапии, что сопровождается повышенными требованиями к поступающим питательным веществам в процессе лечения.</w:t>
            </w:r>
          </w:p>
        </w:tc>
      </w:tr>
      <w:tr w:rsidR="00691B5E" w:rsidRPr="00691B5E" w:rsidTr="00691B5E">
        <w:trPr>
          <w:trHeight w:val="1575"/>
        </w:trPr>
        <w:tc>
          <w:tcPr>
            <w:tcW w:w="11420" w:type="dxa"/>
            <w:gridSpan w:val="15"/>
            <w:tcBorders>
              <w:top w:val="nil"/>
              <w:left w:val="nil"/>
              <w:bottom w:val="nil"/>
              <w:right w:val="nil"/>
            </w:tcBorders>
            <w:shd w:val="clear" w:color="auto" w:fill="auto"/>
            <w:vAlign w:val="center"/>
            <w:hideMark/>
          </w:tcPr>
          <w:p w:rsidR="00691B5E" w:rsidRPr="00691B5E" w:rsidRDefault="00691B5E" w:rsidP="00691B5E">
            <w:pPr>
              <w:spacing w:after="0" w:line="240" w:lineRule="auto"/>
              <w:jc w:val="both"/>
              <w:rPr>
                <w:rFonts w:ascii="Times New Roman" w:eastAsia="Times New Roman" w:hAnsi="Times New Roman" w:cs="Times New Roman"/>
                <w:sz w:val="24"/>
                <w:szCs w:val="24"/>
                <w:lang w:eastAsia="ru-RU"/>
              </w:rPr>
            </w:pPr>
            <w:r w:rsidRPr="00691B5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691B5E" w:rsidRPr="00691B5E" w:rsidTr="00691B5E">
        <w:trPr>
          <w:trHeight w:val="315"/>
        </w:trPr>
        <w:tc>
          <w:tcPr>
            <w:tcW w:w="300" w:type="dxa"/>
            <w:tcBorders>
              <w:top w:val="nil"/>
              <w:left w:val="nil"/>
              <w:bottom w:val="nil"/>
              <w:right w:val="nil"/>
            </w:tcBorders>
            <w:shd w:val="clear" w:color="000000" w:fill="FFFF00"/>
            <w:vAlign w:val="bottom"/>
            <w:hideMark/>
          </w:tcPr>
          <w:p w:rsidR="00691B5E" w:rsidRPr="00691B5E" w:rsidRDefault="00691B5E" w:rsidP="00691B5E">
            <w:pPr>
              <w:spacing w:after="0" w:line="240" w:lineRule="auto"/>
              <w:jc w:val="center"/>
              <w:rPr>
                <w:rFonts w:ascii="Times New Roman" w:eastAsia="Times New Roman" w:hAnsi="Times New Roman" w:cs="Times New Roman"/>
                <w:i/>
                <w:iCs/>
                <w:sz w:val="24"/>
                <w:szCs w:val="24"/>
                <w:lang w:eastAsia="ru-RU"/>
              </w:rPr>
            </w:pPr>
            <w:r w:rsidRPr="00691B5E">
              <w:rPr>
                <w:rFonts w:ascii="Times New Roman" w:eastAsia="Times New Roman" w:hAnsi="Times New Roman" w:cs="Times New Roman"/>
                <w:i/>
                <w:iCs/>
                <w:sz w:val="24"/>
                <w:szCs w:val="24"/>
                <w:lang w:eastAsia="ru-RU"/>
              </w:rPr>
              <w:t>*</w:t>
            </w:r>
          </w:p>
        </w:tc>
        <w:tc>
          <w:tcPr>
            <w:tcW w:w="3920" w:type="dxa"/>
            <w:gridSpan w:val="7"/>
            <w:tcBorders>
              <w:top w:val="nil"/>
              <w:left w:val="nil"/>
              <w:bottom w:val="nil"/>
              <w:right w:val="nil"/>
            </w:tcBorders>
            <w:shd w:val="clear" w:color="auto" w:fill="auto"/>
            <w:vAlign w:val="bottom"/>
            <w:hideMark/>
          </w:tcPr>
          <w:p w:rsidR="00691B5E" w:rsidRPr="00691B5E" w:rsidRDefault="00691B5E" w:rsidP="00691B5E">
            <w:pPr>
              <w:spacing w:after="0" w:line="240" w:lineRule="auto"/>
              <w:rPr>
                <w:rFonts w:ascii="Times New Roman" w:eastAsia="Times New Roman" w:hAnsi="Times New Roman" w:cs="Times New Roman"/>
                <w:i/>
                <w:iCs/>
                <w:sz w:val="24"/>
                <w:szCs w:val="24"/>
                <w:lang w:eastAsia="ru-RU"/>
              </w:rPr>
            </w:pPr>
            <w:r w:rsidRPr="00691B5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i/>
                <w:iCs/>
                <w:sz w:val="24"/>
                <w:szCs w:val="24"/>
                <w:lang w:eastAsia="ru-RU"/>
              </w:rPr>
            </w:pPr>
          </w:p>
        </w:tc>
        <w:tc>
          <w:tcPr>
            <w:tcW w:w="15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91B5E" w:rsidRPr="00691B5E" w:rsidRDefault="00691B5E" w:rsidP="00691B5E">
            <w:pPr>
              <w:spacing w:after="0" w:line="240" w:lineRule="auto"/>
              <w:rPr>
                <w:rFonts w:ascii="Times New Roman" w:eastAsia="Times New Roman" w:hAnsi="Times New Roman" w:cs="Times New Roman"/>
                <w:sz w:val="20"/>
                <w:szCs w:val="20"/>
                <w:lang w:eastAsia="ru-RU"/>
              </w:rPr>
            </w:pPr>
          </w:p>
        </w:tc>
      </w:tr>
    </w:tbl>
    <w:p w:rsidR="00170252" w:rsidRDefault="00691B5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DA" w:rsidRDefault="009F25DA">
      <w:pPr>
        <w:spacing w:after="0" w:line="240" w:lineRule="auto"/>
      </w:pPr>
      <w:r>
        <w:separator/>
      </w:r>
    </w:p>
  </w:endnote>
  <w:endnote w:type="continuationSeparator" w:id="0">
    <w:p w:rsidR="009F25DA" w:rsidRDefault="009F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9C5" w:rsidRDefault="00AA49C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49C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A49C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49C5">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49C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9332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49C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9332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DA" w:rsidRDefault="009F25DA">
      <w:pPr>
        <w:spacing w:after="0" w:line="240" w:lineRule="auto"/>
      </w:pPr>
      <w:r>
        <w:separator/>
      </w:r>
    </w:p>
  </w:footnote>
  <w:footnote w:type="continuationSeparator" w:id="0">
    <w:p w:rsidR="009F25DA" w:rsidRDefault="009F25D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9C5" w:rsidRDefault="00AA49C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9C5" w:rsidRDefault="00AA49C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9C5" w:rsidRDefault="00AA49C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1B5E"/>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37E1D"/>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5DA"/>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A49C5"/>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332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66384622">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6CA5-ABE2-44AC-ADA4-AC4DC2C3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2025-02-20T07:29:00Z</dcterms:created>
  <dcterms:modified xsi:type="dcterms:W3CDTF">2025-02-20T07:29:00Z</dcterms:modified>
</cp:coreProperties>
</file>