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21.1-03/234</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E0B5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термобумаги для аппаратов УЗИ</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22.12.2025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осуществляется партиями, по заявкам Заказчика</w:t>
            </w:r>
            <w:r w:rsidRPr="00C15FD9">
              <w:rPr>
                <w:rFonts w:ascii="Times New Roman" w:hAnsi="Times New Roman" w:cs="Times New Roman"/>
                <w:noProof/>
                <w:sz w:val="24"/>
                <w:szCs w:val="24"/>
              </w:rPr>
              <w:br/>
              <w:t>Срок исполнения заявки: в течение 10 (Десяти) рабочих дней с момента получения заявки от Заказчика.</w:t>
            </w:r>
            <w:r w:rsidRPr="00C15FD9">
              <w:rPr>
                <w:rFonts w:ascii="Times New Roman" w:hAnsi="Times New Roman" w:cs="Times New Roman"/>
                <w:noProof/>
                <w:sz w:val="24"/>
                <w:szCs w:val="24"/>
              </w:rPr>
              <w:br/>
              <w:t>Максимальное количество заявок: 20</w:t>
            </w:r>
            <w:r w:rsidRPr="00C15FD9">
              <w:rPr>
                <w:rFonts w:ascii="Times New Roman" w:hAnsi="Times New Roman" w:cs="Times New Roman"/>
                <w:noProof/>
                <w:sz w:val="24"/>
                <w:szCs w:val="24"/>
              </w:rPr>
              <w:br/>
              <w:t>Последняя дата подачи заявки: не позднее 08.12.2025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Действующие Регистрационные Удостоверения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70% от установленного производителем срока годности.</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438"/>
        <w:gridCol w:w="1565"/>
        <w:gridCol w:w="2106"/>
        <w:gridCol w:w="648"/>
        <w:gridCol w:w="2103"/>
        <w:gridCol w:w="648"/>
        <w:gridCol w:w="687"/>
        <w:gridCol w:w="1309"/>
        <w:gridCol w:w="13"/>
        <w:gridCol w:w="904"/>
        <w:gridCol w:w="1380"/>
        <w:gridCol w:w="1377"/>
        <w:gridCol w:w="1374"/>
      </w:tblGrid>
      <w:tr w:rsidR="004D4A98" w:rsidRPr="00BC0292" w:rsidTr="004D4A98">
        <w:tc>
          <w:tcPr>
            <w:tcW w:w="199"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w:t>
            </w:r>
          </w:p>
        </w:tc>
        <w:tc>
          <w:tcPr>
            <w:tcW w:w="444"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Наименование</w:t>
            </w:r>
          </w:p>
        </w:tc>
        <w:tc>
          <w:tcPr>
            <w:tcW w:w="1982" w:type="pct"/>
            <w:gridSpan w:val="4"/>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Технические характеристики</w:t>
            </w: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Ед. изм.</w:t>
            </w:r>
          </w:p>
        </w:tc>
        <w:tc>
          <w:tcPr>
            <w:tcW w:w="212"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Кол-во</w:t>
            </w:r>
          </w:p>
        </w:tc>
        <w:tc>
          <w:tcPr>
            <w:tcW w:w="404" w:type="pct"/>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ОКПД2/</w:t>
            </w:r>
          </w:p>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КТРУ</w:t>
            </w:r>
          </w:p>
        </w:tc>
        <w:tc>
          <w:tcPr>
            <w:tcW w:w="283" w:type="pct"/>
            <w:gridSpan w:val="2"/>
            <w:shd w:val="clear" w:color="auto" w:fill="FFFF00"/>
          </w:tcPr>
          <w:p w:rsidR="004D4A98"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Страна</w:t>
            </w:r>
          </w:p>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26" w:type="pct"/>
            <w:shd w:val="clear" w:color="auto" w:fill="FFFF00"/>
          </w:tcPr>
          <w:p w:rsidR="004D4A98"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НДС</w:t>
            </w:r>
          </w:p>
          <w:p w:rsidR="004D4A98" w:rsidRPr="00BC0292"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w:t>
            </w:r>
          </w:p>
        </w:tc>
        <w:tc>
          <w:tcPr>
            <w:tcW w:w="425" w:type="pct"/>
            <w:shd w:val="clear" w:color="auto" w:fill="FFFF00"/>
          </w:tcPr>
          <w:p w:rsidR="004D4A98"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Цена за ед.</w:t>
            </w:r>
          </w:p>
          <w:p w:rsidR="004D4A98"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Без НДС</w:t>
            </w:r>
          </w:p>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24" w:type="pct"/>
            <w:shd w:val="clear" w:color="auto" w:fill="FFFF00"/>
          </w:tcPr>
          <w:p w:rsidR="004D4A98"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Сумма без НДС</w:t>
            </w:r>
          </w:p>
        </w:tc>
      </w:tr>
      <w:tr w:rsidR="004D4A98" w:rsidRPr="00BC0292" w:rsidTr="004D4A98">
        <w:tc>
          <w:tcPr>
            <w:tcW w:w="199" w:type="pct"/>
            <w:vMerge w:val="restar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c>
          <w:tcPr>
            <w:tcW w:w="444" w:type="pct"/>
            <w:vMerge w:val="restart"/>
            <w:shd w:val="clear" w:color="FFFFFF" w:fill="auto"/>
          </w:tcPr>
          <w:p w:rsidR="004D4A98" w:rsidRPr="00BC0292" w:rsidRDefault="004D4A98" w:rsidP="00B94465">
            <w:pPr>
              <w:spacing w:after="0" w:line="240" w:lineRule="auto"/>
              <w:rPr>
                <w:rFonts w:ascii="Times New Roman" w:eastAsia="Times New Roman" w:hAnsi="Times New Roman" w:cs="Times New Roman"/>
                <w:b/>
                <w:sz w:val="18"/>
                <w:szCs w:val="18"/>
              </w:rPr>
            </w:pPr>
            <w:r w:rsidRPr="00BC0292">
              <w:rPr>
                <w:rFonts w:ascii="Times New Roman" w:eastAsia="Times New Roman" w:hAnsi="Times New Roman" w:cs="Times New Roman"/>
                <w:b/>
                <w:sz w:val="18"/>
                <w:szCs w:val="18"/>
              </w:rPr>
              <w:t>Бумага для медицинского прибора</w:t>
            </w:r>
          </w:p>
        </w:tc>
        <w:tc>
          <w:tcPr>
            <w:tcW w:w="483"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Наименование </w:t>
            </w:r>
          </w:p>
          <w:p w:rsidR="004D4A98" w:rsidRPr="00BC0292"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и</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Значение </w:t>
            </w: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и</w:t>
            </w:r>
          </w:p>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Ед.</w:t>
            </w:r>
          </w:p>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изм.</w:t>
            </w:r>
          </w:p>
        </w:tc>
        <w:tc>
          <w:tcPr>
            <w:tcW w:w="649"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Инструкция по заполнению </w:t>
            </w: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 xml:space="preserve"> в заявке</w:t>
            </w:r>
          </w:p>
        </w:tc>
        <w:tc>
          <w:tcPr>
            <w:tcW w:w="200" w:type="pct"/>
            <w:vMerge w:val="restar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шт</w:t>
            </w:r>
          </w:p>
        </w:tc>
        <w:tc>
          <w:tcPr>
            <w:tcW w:w="212" w:type="pct"/>
            <w:vMerge w:val="restart"/>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570</w:t>
            </w:r>
          </w:p>
        </w:tc>
        <w:tc>
          <w:tcPr>
            <w:tcW w:w="408" w:type="pct"/>
            <w:gridSpan w:val="2"/>
            <w:vMerge w:val="restart"/>
          </w:tcPr>
          <w:p w:rsidR="004D4A98"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32.50.50.190</w:t>
            </w:r>
          </w:p>
          <w:p w:rsidR="004D4A98" w:rsidRPr="00BC0292" w:rsidRDefault="004D4A98" w:rsidP="00B94465">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-00000662*</w:t>
            </w:r>
          </w:p>
        </w:tc>
        <w:tc>
          <w:tcPr>
            <w:tcW w:w="279" w:type="pct"/>
            <w:vMerge w:val="restart"/>
            <w:shd w:val="clear" w:color="auto" w:fill="FFFF00"/>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26" w:type="pct"/>
            <w:vMerge w:val="restart"/>
            <w:shd w:val="clear" w:color="auto" w:fill="FFFF00"/>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25" w:type="pct"/>
            <w:vMerge w:val="restart"/>
            <w:shd w:val="clear" w:color="auto" w:fill="FFFF00"/>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24" w:type="pct"/>
            <w:vMerge w:val="restart"/>
            <w:shd w:val="clear" w:color="auto" w:fill="FFFF00"/>
          </w:tcPr>
          <w:p w:rsidR="004D4A98" w:rsidRPr="00BC0292" w:rsidRDefault="004D4A98" w:rsidP="00B94465">
            <w:pPr>
              <w:spacing w:after="0" w:line="240" w:lineRule="auto"/>
              <w:jc w:val="center"/>
              <w:rPr>
                <w:rFonts w:ascii="Times New Roman" w:eastAsia="Calibri" w:hAnsi="Times New Roman" w:cs="Times New Roman"/>
                <w:b/>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Наименование</w:t>
            </w:r>
          </w:p>
          <w:p w:rsidR="004D4A98" w:rsidRPr="00BC0292" w:rsidRDefault="004D4A98" w:rsidP="00B94465">
            <w:pPr>
              <w:jc w:val="center"/>
              <w:rPr>
                <w:rFonts w:ascii="Times New Roman" w:eastAsia="Calibri" w:hAnsi="Times New Roman" w:cs="Times New Roman"/>
                <w:sz w:val="18"/>
                <w:szCs w:val="18"/>
              </w:rPr>
            </w:pP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Термобум</w:t>
            </w:r>
            <w:r>
              <w:rPr>
                <w:rFonts w:ascii="Times New Roman" w:eastAsia="Calibri" w:hAnsi="Times New Roman" w:cs="Times New Roman"/>
                <w:sz w:val="18"/>
                <w:szCs w:val="18"/>
              </w:rPr>
              <w:t>ага SONY UPP-110S или эквивалент</w:t>
            </w: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Тип бумаги</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Термобумага</w:t>
            </w: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rPr>
          <w:trHeight w:val="311"/>
        </w:trPr>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Назначение</w:t>
            </w:r>
          </w:p>
        </w:tc>
        <w:tc>
          <w:tcPr>
            <w:tcW w:w="650" w:type="pct"/>
            <w:shd w:val="clear" w:color="FFFFFF" w:fill="auto"/>
          </w:tcPr>
          <w:p w:rsidR="004D4A98" w:rsidRPr="00BC0292" w:rsidRDefault="004D4A98" w:rsidP="00B94465">
            <w:pPr>
              <w:spacing w:after="0" w:line="240" w:lineRule="auto"/>
              <w:jc w:val="center"/>
              <w:rPr>
                <w:rFonts w:ascii="Times New Roman" w:hAnsi="Times New Roman"/>
                <w:sz w:val="18"/>
                <w:szCs w:val="18"/>
              </w:rPr>
            </w:pPr>
            <w:r w:rsidRPr="00BC0292">
              <w:rPr>
                <w:rFonts w:ascii="Times New Roman" w:hAnsi="Times New Roman"/>
                <w:sz w:val="18"/>
                <w:szCs w:val="18"/>
              </w:rPr>
              <w:t>Используется для печати данных ультразвуковых обследований, а также в стоматологии и микроскопии</w:t>
            </w:r>
          </w:p>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hAnsi="Times New Roman"/>
                <w:sz w:val="18"/>
                <w:szCs w:val="18"/>
              </w:rPr>
              <w:t>Носитель для печати (тип I), предназначенный для черно-белой печати высокого качества</w:t>
            </w: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Наименование оборудования</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Бумага подходит для использования с цифровыми и видеопринтерами SONY UP-D8xx и UP-8xx серий, имеющимися у Заказчика</w:t>
            </w:r>
          </w:p>
        </w:tc>
        <w:tc>
          <w:tcPr>
            <w:tcW w:w="20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Форма выпуска</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Рулон</w:t>
            </w:r>
          </w:p>
        </w:tc>
        <w:tc>
          <w:tcPr>
            <w:tcW w:w="200"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 xml:space="preserve">Значение характеристики не может изменяться </w:t>
            </w:r>
            <w:r w:rsidRPr="00BC0292">
              <w:rPr>
                <w:rFonts w:ascii="Times New Roman" w:eastAsia="Calibri" w:hAnsi="Times New Roman" w:cs="Times New Roman"/>
                <w:sz w:val="18"/>
                <w:szCs w:val="18"/>
              </w:rPr>
              <w:lastRenderedPageBreak/>
              <w:t>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Ширина ленты</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110 мм</w:t>
            </w:r>
          </w:p>
        </w:tc>
        <w:tc>
          <w:tcPr>
            <w:tcW w:w="200"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Длина намотки</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20 м</w:t>
            </w:r>
          </w:p>
        </w:tc>
        <w:tc>
          <w:tcPr>
            <w:tcW w:w="200"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Упаковка</w:t>
            </w:r>
          </w:p>
        </w:tc>
        <w:tc>
          <w:tcPr>
            <w:tcW w:w="650" w:type="pct"/>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r w:rsidRPr="00BC0292">
              <w:rPr>
                <w:rFonts w:ascii="Times New Roman" w:eastAsia="Calibri" w:hAnsi="Times New Roman" w:cs="Times New Roman"/>
                <w:sz w:val="18"/>
                <w:szCs w:val="18"/>
              </w:rPr>
              <w:t>Каждый рулон, имеет индивидуальную заводскую упаковку</w:t>
            </w:r>
          </w:p>
        </w:tc>
        <w:tc>
          <w:tcPr>
            <w:tcW w:w="200"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B94465">
            <w:pPr>
              <w:spacing w:after="0" w:line="240" w:lineRule="auto"/>
              <w:rPr>
                <w:rFonts w:ascii="Times New Roman" w:eastAsia="Calibri" w:hAnsi="Times New Roman" w:cs="Times New Roman"/>
                <w:sz w:val="18"/>
                <w:szCs w:val="18"/>
              </w:rPr>
            </w:pPr>
            <w:r w:rsidRPr="0077158E">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B94465">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val="restar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p>
        </w:tc>
        <w:tc>
          <w:tcPr>
            <w:tcW w:w="444" w:type="pct"/>
            <w:vMerge w:val="restart"/>
            <w:shd w:val="clear" w:color="FFFFFF" w:fill="auto"/>
          </w:tcPr>
          <w:p w:rsidR="004D4A98" w:rsidRPr="00BC0292" w:rsidRDefault="004D4A98" w:rsidP="00336464">
            <w:pPr>
              <w:spacing w:after="0" w:line="240" w:lineRule="auto"/>
              <w:rPr>
                <w:rFonts w:ascii="Times New Roman" w:eastAsia="Times New Roman" w:hAnsi="Times New Roman" w:cs="Times New Roman"/>
                <w:b/>
                <w:sz w:val="18"/>
                <w:szCs w:val="18"/>
              </w:rPr>
            </w:pPr>
            <w:r w:rsidRPr="00BC0292">
              <w:rPr>
                <w:rFonts w:ascii="Times New Roman" w:eastAsia="Times New Roman" w:hAnsi="Times New Roman" w:cs="Times New Roman"/>
                <w:b/>
                <w:sz w:val="18"/>
                <w:szCs w:val="18"/>
              </w:rPr>
              <w:t>Бумага для медицинского прибора</w:t>
            </w:r>
          </w:p>
        </w:tc>
        <w:tc>
          <w:tcPr>
            <w:tcW w:w="483" w:type="pc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Наименование </w:t>
            </w:r>
          </w:p>
          <w:p w:rsidR="004D4A98" w:rsidRPr="00BC0292" w:rsidRDefault="004D4A98" w:rsidP="00336464">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и</w:t>
            </w:r>
          </w:p>
        </w:tc>
        <w:tc>
          <w:tcPr>
            <w:tcW w:w="650" w:type="pc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Значение </w:t>
            </w: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и</w:t>
            </w:r>
          </w:p>
          <w:p w:rsidR="004D4A98" w:rsidRPr="00BC0292" w:rsidRDefault="004D4A98" w:rsidP="00336464">
            <w:pPr>
              <w:spacing w:after="0" w:line="240" w:lineRule="auto"/>
              <w:jc w:val="center"/>
              <w:rPr>
                <w:rFonts w:ascii="Times New Roman" w:eastAsia="Calibri" w:hAnsi="Times New Roman" w:cs="Times New Roman"/>
                <w:b/>
                <w:sz w:val="18"/>
                <w:szCs w:val="18"/>
              </w:rPr>
            </w:pPr>
          </w:p>
        </w:tc>
        <w:tc>
          <w:tcPr>
            <w:tcW w:w="200" w:type="pc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Ед.</w:t>
            </w:r>
          </w:p>
          <w:p w:rsidR="004D4A98" w:rsidRPr="00BC0292" w:rsidRDefault="004D4A98" w:rsidP="00336464">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изм.</w:t>
            </w:r>
          </w:p>
        </w:tc>
        <w:tc>
          <w:tcPr>
            <w:tcW w:w="649" w:type="pc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sidRPr="00BC0292">
              <w:rPr>
                <w:rFonts w:ascii="Times New Roman" w:eastAsia="Calibri" w:hAnsi="Times New Roman" w:cs="Times New Roman"/>
                <w:b/>
                <w:sz w:val="18"/>
                <w:szCs w:val="18"/>
              </w:rPr>
              <w:t xml:space="preserve">Инструкция по заполнению </w:t>
            </w:r>
            <w:r>
              <w:rPr>
                <w:rFonts w:ascii="Times New Roman" w:eastAsia="Calibri" w:hAnsi="Times New Roman" w:cs="Times New Roman"/>
                <w:b/>
                <w:sz w:val="18"/>
                <w:szCs w:val="18"/>
              </w:rPr>
              <w:t>характеристик</w:t>
            </w:r>
            <w:r w:rsidRPr="00BC0292">
              <w:rPr>
                <w:rFonts w:ascii="Times New Roman" w:eastAsia="Calibri" w:hAnsi="Times New Roman" w:cs="Times New Roman"/>
                <w:b/>
                <w:sz w:val="18"/>
                <w:szCs w:val="18"/>
              </w:rPr>
              <w:t xml:space="preserve"> в заявке</w:t>
            </w:r>
          </w:p>
        </w:tc>
        <w:tc>
          <w:tcPr>
            <w:tcW w:w="200" w:type="pct"/>
            <w:vMerge w:val="restart"/>
            <w:shd w:val="clear" w:color="FFFFFF" w:fill="auto"/>
          </w:tcPr>
          <w:p w:rsidR="004D4A98" w:rsidRPr="00BC0292" w:rsidRDefault="00676284" w:rsidP="00336464">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шт</w:t>
            </w:r>
            <w:bookmarkStart w:id="20" w:name="_GoBack"/>
            <w:bookmarkEnd w:id="20"/>
          </w:p>
        </w:tc>
        <w:tc>
          <w:tcPr>
            <w:tcW w:w="212" w:type="pct"/>
            <w:vMerge w:val="restart"/>
            <w:shd w:val="clear" w:color="FFFFFF" w:fill="auto"/>
          </w:tcPr>
          <w:p w:rsidR="004D4A98" w:rsidRPr="00BC0292" w:rsidRDefault="004D4A98" w:rsidP="00336464">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w:t>
            </w:r>
            <w:r w:rsidR="00394BCA">
              <w:rPr>
                <w:rFonts w:ascii="Times New Roman" w:eastAsia="Calibri" w:hAnsi="Times New Roman" w:cs="Times New Roman"/>
                <w:b/>
                <w:sz w:val="18"/>
                <w:szCs w:val="18"/>
              </w:rPr>
              <w:t>0</w:t>
            </w:r>
          </w:p>
        </w:tc>
        <w:tc>
          <w:tcPr>
            <w:tcW w:w="408" w:type="pct"/>
            <w:gridSpan w:val="2"/>
            <w:vMerge w:val="restart"/>
          </w:tcPr>
          <w:p w:rsidR="00394BCA" w:rsidRPr="00394BCA" w:rsidRDefault="00394BCA" w:rsidP="00394BCA">
            <w:pPr>
              <w:spacing w:after="0" w:line="240" w:lineRule="auto"/>
              <w:jc w:val="center"/>
              <w:rPr>
                <w:rFonts w:ascii="Times New Roman" w:eastAsia="Calibri" w:hAnsi="Times New Roman" w:cs="Times New Roman"/>
                <w:b/>
                <w:sz w:val="18"/>
                <w:szCs w:val="18"/>
              </w:rPr>
            </w:pPr>
            <w:r w:rsidRPr="00394BCA">
              <w:rPr>
                <w:rFonts w:ascii="Times New Roman" w:eastAsia="Calibri" w:hAnsi="Times New Roman" w:cs="Times New Roman"/>
                <w:b/>
                <w:sz w:val="18"/>
                <w:szCs w:val="18"/>
              </w:rPr>
              <w:t>32.50.50.190</w:t>
            </w:r>
          </w:p>
          <w:p w:rsidR="004D4A98" w:rsidRPr="00BC0292" w:rsidRDefault="00394BCA" w:rsidP="00394BCA">
            <w:pPr>
              <w:spacing w:after="0" w:line="240" w:lineRule="auto"/>
              <w:jc w:val="center"/>
              <w:rPr>
                <w:rFonts w:ascii="Times New Roman" w:eastAsia="Calibri" w:hAnsi="Times New Roman" w:cs="Times New Roman"/>
                <w:b/>
                <w:sz w:val="18"/>
                <w:szCs w:val="18"/>
              </w:rPr>
            </w:pPr>
            <w:r w:rsidRPr="00394BCA">
              <w:rPr>
                <w:rFonts w:ascii="Times New Roman" w:eastAsia="Calibri" w:hAnsi="Times New Roman" w:cs="Times New Roman"/>
                <w:b/>
                <w:sz w:val="18"/>
                <w:szCs w:val="18"/>
              </w:rPr>
              <w:t>-00000662*</w:t>
            </w:r>
          </w:p>
        </w:tc>
        <w:tc>
          <w:tcPr>
            <w:tcW w:w="279" w:type="pct"/>
            <w:vMerge w:val="restart"/>
            <w:shd w:val="clear" w:color="auto" w:fill="FFFF00"/>
          </w:tcPr>
          <w:p w:rsidR="004D4A98" w:rsidRPr="00BC0292" w:rsidRDefault="004D4A98" w:rsidP="00336464">
            <w:pPr>
              <w:spacing w:after="0" w:line="240" w:lineRule="auto"/>
              <w:jc w:val="center"/>
              <w:rPr>
                <w:rFonts w:ascii="Times New Roman" w:eastAsia="Calibri" w:hAnsi="Times New Roman" w:cs="Times New Roman"/>
                <w:b/>
                <w:sz w:val="18"/>
                <w:szCs w:val="18"/>
              </w:rPr>
            </w:pPr>
          </w:p>
        </w:tc>
        <w:tc>
          <w:tcPr>
            <w:tcW w:w="426" w:type="pct"/>
            <w:vMerge w:val="restart"/>
            <w:shd w:val="clear" w:color="auto" w:fill="FFFF00"/>
          </w:tcPr>
          <w:p w:rsidR="004D4A98" w:rsidRPr="00BC0292" w:rsidRDefault="004D4A98" w:rsidP="00336464">
            <w:pPr>
              <w:spacing w:after="0" w:line="240" w:lineRule="auto"/>
              <w:jc w:val="center"/>
              <w:rPr>
                <w:rFonts w:ascii="Times New Roman" w:eastAsia="Calibri" w:hAnsi="Times New Roman" w:cs="Times New Roman"/>
                <w:b/>
                <w:sz w:val="18"/>
                <w:szCs w:val="18"/>
              </w:rPr>
            </w:pPr>
          </w:p>
        </w:tc>
        <w:tc>
          <w:tcPr>
            <w:tcW w:w="425" w:type="pct"/>
            <w:vMerge w:val="restart"/>
            <w:shd w:val="clear" w:color="auto" w:fill="FFFF00"/>
          </w:tcPr>
          <w:p w:rsidR="004D4A98" w:rsidRPr="00BC0292" w:rsidRDefault="004D4A98" w:rsidP="00336464">
            <w:pPr>
              <w:spacing w:after="0" w:line="240" w:lineRule="auto"/>
              <w:jc w:val="center"/>
              <w:rPr>
                <w:rFonts w:ascii="Times New Roman" w:eastAsia="Calibri" w:hAnsi="Times New Roman" w:cs="Times New Roman"/>
                <w:b/>
                <w:sz w:val="18"/>
                <w:szCs w:val="18"/>
              </w:rPr>
            </w:pPr>
          </w:p>
        </w:tc>
        <w:tc>
          <w:tcPr>
            <w:tcW w:w="424" w:type="pct"/>
            <w:vMerge w:val="restart"/>
            <w:shd w:val="clear" w:color="auto" w:fill="FFFF00"/>
          </w:tcPr>
          <w:p w:rsidR="004D4A98" w:rsidRPr="00BC0292" w:rsidRDefault="004D4A98" w:rsidP="00336464">
            <w:pPr>
              <w:spacing w:after="0" w:line="240" w:lineRule="auto"/>
              <w:jc w:val="center"/>
              <w:rPr>
                <w:rFonts w:ascii="Times New Roman" w:eastAsia="Calibri" w:hAnsi="Times New Roman" w:cs="Times New Roman"/>
                <w:b/>
                <w:sz w:val="18"/>
                <w:szCs w:val="18"/>
              </w:rPr>
            </w:pPr>
          </w:p>
        </w:tc>
      </w:tr>
      <w:tr w:rsidR="004D4A98" w:rsidRPr="00BC0292" w:rsidTr="004D4A98">
        <w:trPr>
          <w:trHeight w:val="252"/>
        </w:trPr>
        <w:tc>
          <w:tcPr>
            <w:tcW w:w="199" w:type="pct"/>
            <w:vMerge/>
            <w:shd w:val="clear" w:color="FFFFFF" w:fill="auto"/>
          </w:tcPr>
          <w:p w:rsidR="004D4A98" w:rsidRPr="00BC0292" w:rsidRDefault="004D4A98" w:rsidP="002E2B5C">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2E2B5C">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2E2B5C">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Наименование</w:t>
            </w:r>
          </w:p>
        </w:tc>
        <w:tc>
          <w:tcPr>
            <w:tcW w:w="650" w:type="pct"/>
            <w:shd w:val="clear" w:color="FFFFFF" w:fill="auto"/>
          </w:tcPr>
          <w:p w:rsidR="004D4A98" w:rsidRPr="00BC0292" w:rsidRDefault="004D4A98" w:rsidP="002E2B5C">
            <w:pPr>
              <w:spacing w:after="0" w:line="240" w:lineRule="auto"/>
              <w:jc w:val="center"/>
              <w:rPr>
                <w:rFonts w:ascii="Times New Roman" w:eastAsia="Calibri" w:hAnsi="Times New Roman" w:cs="Times New Roman"/>
                <w:sz w:val="18"/>
                <w:szCs w:val="18"/>
              </w:rPr>
            </w:pPr>
            <w:r w:rsidRPr="002E2B5C">
              <w:rPr>
                <w:rFonts w:ascii="Times New Roman" w:eastAsia="Calibri" w:hAnsi="Times New Roman" w:cs="Times New Roman"/>
                <w:sz w:val="18"/>
                <w:szCs w:val="18"/>
              </w:rPr>
              <w:t>Термобумаг</w:t>
            </w:r>
            <w:r>
              <w:rPr>
                <w:rFonts w:ascii="Times New Roman" w:eastAsia="Calibri" w:hAnsi="Times New Roman" w:cs="Times New Roman"/>
                <w:sz w:val="18"/>
                <w:szCs w:val="18"/>
              </w:rPr>
              <w:t>а SONY UPP-110HG или эквивалент</w:t>
            </w:r>
          </w:p>
        </w:tc>
        <w:tc>
          <w:tcPr>
            <w:tcW w:w="200" w:type="pct"/>
            <w:shd w:val="clear" w:color="FFFFFF" w:fill="auto"/>
          </w:tcPr>
          <w:p w:rsidR="004D4A98" w:rsidRPr="00BC0292" w:rsidRDefault="004D4A98" w:rsidP="002E2B5C">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77158E" w:rsidRDefault="004D4A98" w:rsidP="002E2B5C">
            <w:pPr>
              <w:spacing w:after="0" w:line="240" w:lineRule="auto"/>
              <w:rPr>
                <w:rFonts w:ascii="Times New Roman" w:eastAsia="Calibri" w:hAnsi="Times New Roman" w:cs="Times New Roman"/>
                <w:sz w:val="18"/>
                <w:szCs w:val="18"/>
              </w:rPr>
            </w:pPr>
            <w:r w:rsidRPr="002E2B5C">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00" w:type="pct"/>
            <w:vMerge/>
            <w:shd w:val="clear" w:color="FFFFFF" w:fill="auto"/>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2E2B5C">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2E2B5C">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Тип бумаги</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sidRPr="002E2B5C">
              <w:rPr>
                <w:rFonts w:ascii="Times New Roman" w:eastAsia="Calibri" w:hAnsi="Times New Roman" w:cs="Times New Roman"/>
                <w:sz w:val="18"/>
                <w:szCs w:val="18"/>
              </w:rPr>
              <w:t>Термобумага</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Назначение</w:t>
            </w:r>
          </w:p>
        </w:tc>
        <w:tc>
          <w:tcPr>
            <w:tcW w:w="650" w:type="pct"/>
            <w:shd w:val="clear" w:color="FFFFFF" w:fill="auto"/>
          </w:tcPr>
          <w:p w:rsidR="004D4A98" w:rsidRPr="002E2B5C" w:rsidRDefault="004D4A98" w:rsidP="00720A8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Используется</w:t>
            </w:r>
            <w:r w:rsidRPr="002E2B5C">
              <w:rPr>
                <w:rFonts w:ascii="Times New Roman" w:eastAsia="Calibri" w:hAnsi="Times New Roman" w:cs="Times New Roman"/>
                <w:sz w:val="18"/>
                <w:szCs w:val="18"/>
              </w:rPr>
              <w:t xml:space="preserve"> для печати (тип V), предназначенный для черно-белой печати высокого качества.</w:t>
            </w:r>
          </w:p>
          <w:p w:rsidR="004D4A98" w:rsidRPr="00BC0292" w:rsidRDefault="004D4A98" w:rsidP="00720A8E">
            <w:pPr>
              <w:spacing w:after="0" w:line="240" w:lineRule="auto"/>
              <w:jc w:val="center"/>
              <w:rPr>
                <w:rFonts w:ascii="Times New Roman" w:eastAsia="Calibri" w:hAnsi="Times New Roman" w:cs="Times New Roman"/>
                <w:sz w:val="18"/>
                <w:szCs w:val="18"/>
              </w:rPr>
            </w:pPr>
            <w:r w:rsidRPr="002E2B5C">
              <w:rPr>
                <w:rFonts w:ascii="Times New Roman" w:eastAsia="Calibri" w:hAnsi="Times New Roman" w:cs="Times New Roman"/>
                <w:sz w:val="18"/>
                <w:szCs w:val="18"/>
              </w:rPr>
              <w:t>Используется для печати данных ультразвуковых обследований, а также</w:t>
            </w:r>
            <w:r>
              <w:rPr>
                <w:rFonts w:ascii="Times New Roman" w:eastAsia="Calibri" w:hAnsi="Times New Roman" w:cs="Times New Roman"/>
                <w:sz w:val="18"/>
                <w:szCs w:val="18"/>
              </w:rPr>
              <w:t xml:space="preserve"> в стоматологии и микроскопии.</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tabs>
                <w:tab w:val="left" w:pos="1236"/>
              </w:tabs>
              <w:spacing w:after="0" w:line="240" w:lineRule="auto"/>
              <w:jc w:val="both"/>
              <w:rPr>
                <w:rFonts w:ascii="Times New Roman" w:eastAsia="Calibri" w:hAnsi="Times New Roman" w:cs="Times New Roman"/>
                <w:sz w:val="18"/>
                <w:szCs w:val="18"/>
              </w:rPr>
            </w:pPr>
            <w:r w:rsidRPr="00BC0292">
              <w:rPr>
                <w:rFonts w:ascii="Times New Roman" w:eastAsia="Calibri" w:hAnsi="Times New Roman" w:cs="Times New Roman"/>
                <w:sz w:val="18"/>
                <w:szCs w:val="18"/>
              </w:rPr>
              <w:t>Наименование оборудования</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sidRPr="002E2B5C">
              <w:rPr>
                <w:rFonts w:ascii="Times New Roman" w:eastAsia="Calibri" w:hAnsi="Times New Roman" w:cs="Times New Roman"/>
                <w:sz w:val="18"/>
                <w:szCs w:val="18"/>
              </w:rPr>
              <w:t>Бумага подходит для использования с цифровыми и видеопритерами SONY UP-D8xx и UP-8xx серий, имеющимися у Заказчика.</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Форма выпуска</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Рулон</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77158E" w:rsidRDefault="004D4A98" w:rsidP="00720A8E">
            <w:pPr>
              <w:spacing w:after="0" w:line="240" w:lineRule="auto"/>
              <w:rPr>
                <w:rFonts w:ascii="Times New Roman" w:eastAsia="Calibri" w:hAnsi="Times New Roman" w:cs="Times New Roman"/>
                <w:sz w:val="18"/>
                <w:szCs w:val="18"/>
              </w:rPr>
            </w:pP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Ширина ленты</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110 мм</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Длина намотки</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 м</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r w:rsidR="004D4A98" w:rsidRPr="00BC0292" w:rsidTr="004D4A98">
        <w:tc>
          <w:tcPr>
            <w:tcW w:w="199"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b/>
                <w:sz w:val="18"/>
                <w:szCs w:val="18"/>
              </w:rPr>
            </w:pPr>
          </w:p>
        </w:tc>
        <w:tc>
          <w:tcPr>
            <w:tcW w:w="444" w:type="pct"/>
            <w:vMerge/>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483"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Индивидуальная упаковка</w:t>
            </w:r>
          </w:p>
        </w:tc>
        <w:tc>
          <w:tcPr>
            <w:tcW w:w="650" w:type="pct"/>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Каждый рулон имеет индивидуальную упаковку</w:t>
            </w:r>
          </w:p>
        </w:tc>
        <w:tc>
          <w:tcPr>
            <w:tcW w:w="200"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p>
        </w:tc>
        <w:tc>
          <w:tcPr>
            <w:tcW w:w="649" w:type="pct"/>
            <w:shd w:val="clear" w:color="FFFFFF" w:fill="auto"/>
          </w:tcPr>
          <w:p w:rsidR="004D4A98" w:rsidRPr="00BC0292" w:rsidRDefault="004D4A98" w:rsidP="00720A8E">
            <w:pPr>
              <w:spacing w:after="0" w:line="240" w:lineRule="auto"/>
              <w:rPr>
                <w:rFonts w:ascii="Times New Roman" w:eastAsia="Calibri" w:hAnsi="Times New Roman" w:cs="Times New Roman"/>
                <w:sz w:val="18"/>
                <w:szCs w:val="18"/>
              </w:rPr>
            </w:pPr>
            <w:r w:rsidRPr="00BC0292">
              <w:rPr>
                <w:rFonts w:ascii="Times New Roman" w:eastAsia="Calibri" w:hAnsi="Times New Roman" w:cs="Times New Roman"/>
                <w:sz w:val="18"/>
                <w:szCs w:val="18"/>
              </w:rPr>
              <w:t>Значение характеристики не может изменяться участником закупки</w:t>
            </w:r>
          </w:p>
        </w:tc>
        <w:tc>
          <w:tcPr>
            <w:tcW w:w="200"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12" w:type="pct"/>
            <w:vMerge/>
            <w:shd w:val="clear" w:color="FFFFFF" w:fill="auto"/>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08" w:type="pct"/>
            <w:gridSpan w:val="2"/>
            <w:vMerge/>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279"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6"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5"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c>
          <w:tcPr>
            <w:tcW w:w="424" w:type="pct"/>
            <w:vMerge/>
            <w:shd w:val="clear" w:color="auto" w:fill="FFFF00"/>
          </w:tcPr>
          <w:p w:rsidR="004D4A98" w:rsidRPr="00BC0292" w:rsidRDefault="004D4A98" w:rsidP="00720A8E">
            <w:pPr>
              <w:spacing w:after="0" w:line="240" w:lineRule="auto"/>
              <w:jc w:val="center"/>
              <w:rPr>
                <w:rFonts w:ascii="Times New Roman" w:eastAsia="Calibri" w:hAnsi="Times New Roman" w:cs="Times New Roman"/>
                <w:sz w:val="18"/>
                <w:szCs w:val="18"/>
              </w:rPr>
            </w:pPr>
          </w:p>
        </w:tc>
      </w:tr>
    </w:tbl>
    <w:p w:rsidR="00720A8E" w:rsidRDefault="00720A8E" w:rsidP="00E46B6E">
      <w:pPr>
        <w:jc w:val="both"/>
        <w:rPr>
          <w:rFonts w:ascii="Times New Roman" w:hAnsi="Times New Roman" w:cs="Times New Roman"/>
          <w:b/>
          <w:sz w:val="28"/>
          <w:szCs w:val="28"/>
        </w:rPr>
      </w:pPr>
      <w:r w:rsidRPr="00E35C56">
        <w:rPr>
          <w:rFonts w:ascii="Times New Roman" w:hAnsi="Times New Roman" w:cs="Times New Roman"/>
          <w:b/>
          <w:sz w:val="28"/>
          <w:szCs w:val="28"/>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2E2B5C">
      <w:headerReference w:type="first" r:id="rId16"/>
      <w:footerReference w:type="first" r:id="rId17"/>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80" w:rsidRDefault="00FF4280">
      <w:pPr>
        <w:spacing w:after="0" w:line="240" w:lineRule="auto"/>
      </w:pPr>
      <w:r>
        <w:separator/>
      </w:r>
    </w:p>
  </w:endnote>
  <w:endnote w:type="continuationSeparator" w:id="0">
    <w:p w:rsidR="00FF4280" w:rsidRDefault="00FF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B" w:rsidRDefault="00BE0B5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BE0B5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76284">
          <w:rPr>
            <w:noProof/>
          </w:rPr>
          <w:t>4</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FF428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FF4280">
    <w:pPr>
      <w:pStyle w:val="ab"/>
      <w:jc w:val="right"/>
    </w:pPr>
    <w:sdt>
      <w:sdtPr>
        <w:id w:val="-1632323636"/>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76284">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80" w:rsidRDefault="00FF4280">
      <w:pPr>
        <w:spacing w:after="0" w:line="240" w:lineRule="auto"/>
      </w:pPr>
      <w:r>
        <w:separator/>
      </w:r>
    </w:p>
  </w:footnote>
  <w:footnote w:type="continuationSeparator" w:id="0">
    <w:p w:rsidR="00FF4280" w:rsidRDefault="00FF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B" w:rsidRDefault="00BE0B5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B" w:rsidRDefault="00BE0B5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B" w:rsidRDefault="00BE0B5B">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1B56"/>
    <w:rsid w:val="00076D17"/>
    <w:rsid w:val="000820E3"/>
    <w:rsid w:val="00087E95"/>
    <w:rsid w:val="00095015"/>
    <w:rsid w:val="0009727D"/>
    <w:rsid w:val="000A054C"/>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2B5C"/>
    <w:rsid w:val="002E6D4A"/>
    <w:rsid w:val="002F1377"/>
    <w:rsid w:val="002F29AE"/>
    <w:rsid w:val="002F2BED"/>
    <w:rsid w:val="002F5BC1"/>
    <w:rsid w:val="002F6D7C"/>
    <w:rsid w:val="003103C5"/>
    <w:rsid w:val="0031098C"/>
    <w:rsid w:val="00317DBA"/>
    <w:rsid w:val="00322D0D"/>
    <w:rsid w:val="00324FCD"/>
    <w:rsid w:val="00336464"/>
    <w:rsid w:val="00341AFA"/>
    <w:rsid w:val="00343ED9"/>
    <w:rsid w:val="00344402"/>
    <w:rsid w:val="00347F84"/>
    <w:rsid w:val="00352B8D"/>
    <w:rsid w:val="00361CB0"/>
    <w:rsid w:val="00367146"/>
    <w:rsid w:val="003671D1"/>
    <w:rsid w:val="0037099D"/>
    <w:rsid w:val="003747A7"/>
    <w:rsid w:val="00381F8E"/>
    <w:rsid w:val="00391C92"/>
    <w:rsid w:val="0039429B"/>
    <w:rsid w:val="00394BCA"/>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4A98"/>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976A3"/>
    <w:rsid w:val="005A566A"/>
    <w:rsid w:val="005B1AF4"/>
    <w:rsid w:val="005B710E"/>
    <w:rsid w:val="005F153F"/>
    <w:rsid w:val="00603DF0"/>
    <w:rsid w:val="00623487"/>
    <w:rsid w:val="00632D4D"/>
    <w:rsid w:val="00637F5D"/>
    <w:rsid w:val="006420B2"/>
    <w:rsid w:val="00642D06"/>
    <w:rsid w:val="006474B5"/>
    <w:rsid w:val="00650AB9"/>
    <w:rsid w:val="00676284"/>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20A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E389A"/>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53F5"/>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0B5B"/>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6B6E"/>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 w:val="00FF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C73BB"/>
  <w15:docId w15:val="{F6A8110A-B5C5-4F02-BAFA-008B59FE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3469-0BF4-405B-9F8D-9FAF8325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Чугуев Владимир Владимирович</cp:lastModifiedBy>
  <cp:revision>9</cp:revision>
  <cp:lastPrinted>2018-01-19T15:25:00Z</cp:lastPrinted>
  <dcterms:created xsi:type="dcterms:W3CDTF">2025-02-17T08:27:00Z</dcterms:created>
  <dcterms:modified xsi:type="dcterms:W3CDTF">2025-02-21T04:47:00Z</dcterms:modified>
</cp:coreProperties>
</file>