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10.10.2024 № 05-07/1580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16.10.2024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7519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403"/>
        <w:gridCol w:w="40"/>
        <w:gridCol w:w="2722"/>
        <w:gridCol w:w="67"/>
        <w:gridCol w:w="5116"/>
        <w:gridCol w:w="15"/>
        <w:gridCol w:w="1073"/>
        <w:gridCol w:w="29"/>
        <w:gridCol w:w="904"/>
        <w:gridCol w:w="42"/>
        <w:gridCol w:w="1514"/>
        <w:gridCol w:w="219"/>
        <w:gridCol w:w="1180"/>
        <w:gridCol w:w="83"/>
        <w:gridCol w:w="696"/>
        <w:gridCol w:w="92"/>
        <w:gridCol w:w="992"/>
        <w:gridCol w:w="107"/>
        <w:gridCol w:w="996"/>
        <w:gridCol w:w="121"/>
      </w:tblGrid>
      <w:tr w:rsidR="00EA4E88" w:rsidRPr="00EA4E88" w:rsidTr="00C4192C">
        <w:trPr>
          <w:gridAfter w:val="1"/>
          <w:wAfter w:w="119" w:type="dxa"/>
          <w:trHeight w:val="20"/>
          <w:jc w:val="center"/>
        </w:trPr>
        <w:tc>
          <w:tcPr>
            <w:tcW w:w="460" w:type="dxa"/>
            <w:gridSpan w:val="3"/>
            <w:vAlign w:val="center"/>
            <w:hideMark/>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 п/п</w:t>
            </w:r>
          </w:p>
        </w:tc>
        <w:tc>
          <w:tcPr>
            <w:tcW w:w="2749" w:type="dxa"/>
            <w:gridSpan w:val="2"/>
            <w:vAlign w:val="center"/>
            <w:hideMark/>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 xml:space="preserve">Наименование товара </w:t>
            </w:r>
          </w:p>
        </w:tc>
        <w:tc>
          <w:tcPr>
            <w:tcW w:w="5043" w:type="dxa"/>
            <w:vAlign w:val="center"/>
            <w:hideMark/>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1073" w:type="dxa"/>
            <w:gridSpan w:val="2"/>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Кол-во</w:t>
            </w:r>
          </w:p>
        </w:tc>
        <w:tc>
          <w:tcPr>
            <w:tcW w:w="920" w:type="dxa"/>
            <w:gridSpan w:val="2"/>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Ед. изм.</w:t>
            </w:r>
          </w:p>
        </w:tc>
        <w:tc>
          <w:tcPr>
            <w:tcW w:w="1533" w:type="dxa"/>
            <w:gridSpan w:val="2"/>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ОКПД2/ КТРУ</w:t>
            </w:r>
          </w:p>
        </w:tc>
        <w:tc>
          <w:tcPr>
            <w:tcW w:w="1379" w:type="dxa"/>
            <w:gridSpan w:val="2"/>
            <w:shd w:val="clear" w:color="auto" w:fill="FFFFCC"/>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Страна происхождения</w:t>
            </w:r>
          </w:p>
        </w:tc>
        <w:tc>
          <w:tcPr>
            <w:tcW w:w="768" w:type="dxa"/>
            <w:gridSpan w:val="2"/>
            <w:shd w:val="clear" w:color="auto" w:fill="FFFFCC"/>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НДС %</w:t>
            </w:r>
          </w:p>
        </w:tc>
        <w:tc>
          <w:tcPr>
            <w:tcW w:w="1069" w:type="dxa"/>
            <w:gridSpan w:val="2"/>
            <w:shd w:val="clear" w:color="auto" w:fill="FFFFCC"/>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Цена за ед. без НДС (руб.)</w:t>
            </w:r>
          </w:p>
        </w:tc>
        <w:tc>
          <w:tcPr>
            <w:tcW w:w="1087" w:type="dxa"/>
            <w:gridSpan w:val="2"/>
            <w:shd w:val="clear" w:color="auto" w:fill="FFFFCC"/>
            <w:vAlign w:val="center"/>
          </w:tcPr>
          <w:p w:rsidR="00EA4E88" w:rsidRPr="00EA4E88" w:rsidRDefault="00EA4E88" w:rsidP="00EA4E88">
            <w:pPr>
              <w:spacing w:after="0" w:line="240" w:lineRule="auto"/>
              <w:jc w:val="center"/>
              <w:rPr>
                <w:rFonts w:ascii="Times New Roman" w:eastAsia="Times New Roman" w:hAnsi="Times New Roman" w:cs="Times New Roman"/>
                <w:b/>
                <w:lang w:eastAsia="ru-RU"/>
              </w:rPr>
            </w:pPr>
            <w:r w:rsidRPr="00EA4E88">
              <w:rPr>
                <w:rFonts w:ascii="Times New Roman" w:eastAsia="Times New Roman" w:hAnsi="Times New Roman" w:cs="Times New Roman"/>
                <w:b/>
                <w:lang w:eastAsia="ru-RU"/>
              </w:rPr>
              <w:t>Сумма без НДС (руб.)</w:t>
            </w:r>
          </w:p>
        </w:tc>
      </w:tr>
      <w:tr w:rsidR="00EA4E88" w:rsidRPr="00EA4E88" w:rsidTr="00C4192C">
        <w:trPr>
          <w:gridAfter w:val="1"/>
          <w:wAfter w:w="119" w:type="dxa"/>
          <w:trHeight w:val="20"/>
          <w:jc w:val="center"/>
        </w:trPr>
        <w:tc>
          <w:tcPr>
            <w:tcW w:w="460" w:type="dxa"/>
            <w:gridSpan w:val="3"/>
          </w:tcPr>
          <w:p w:rsidR="00EA4E88" w:rsidRPr="00EA4E88" w:rsidRDefault="00EA4E88" w:rsidP="00EA4E88">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749" w:type="dxa"/>
            <w:gridSpan w:val="2"/>
          </w:tcPr>
          <w:p w:rsidR="00EA4E88" w:rsidRPr="00EA4E88" w:rsidRDefault="00EA4E88" w:rsidP="00EA4E88">
            <w:pPr>
              <w:spacing w:after="0" w:line="240" w:lineRule="auto"/>
              <w:jc w:val="center"/>
              <w:rPr>
                <w:rFonts w:ascii="Times New Roman" w:hAnsi="Times New Roman" w:cs="Times New Roman"/>
                <w:shd w:val="clear" w:color="auto" w:fill="FFFFFF"/>
              </w:rPr>
            </w:pPr>
            <w:r w:rsidRPr="00EA4E88">
              <w:rPr>
                <w:rFonts w:ascii="Times New Roman" w:hAnsi="Times New Roman" w:cs="Times New Roman"/>
                <w:shd w:val="clear" w:color="auto" w:fill="FFFFFF"/>
              </w:rPr>
              <w:t>Индикатор химический/физический для контроля стерилизации</w:t>
            </w:r>
          </w:p>
        </w:tc>
        <w:tc>
          <w:tcPr>
            <w:tcW w:w="5043" w:type="dxa"/>
          </w:tcPr>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Индикаторы должны быть предназначены для контроля процессов паровой стерилизации, обеззараживания и воздушной стерилизации, а также соответствовать не менее 5 классу по ГОСТ ISO 11140-1-2011, выполнен на бумажной основе с наличием не менее двух меток: индикаторной и эталонной того цвета, который должна приобретать индикаторная при соблюдении параметров стерилизации.  Один индикатор должен позволять контролировать следующие режимы стерилизации: «120°С/45минут», «121°С/20минут», «126°С/10минут», «132°С/20минут»,  «134°С/5минут», «134°С/7минут»,  «126°С/30 минут», «160°С/150минут», «180°С/60минут», «200°С/30минут», «180°С/30минут», «120°С /120 минут», «132°С /90 минут» в паровых и воздушных  стерилизаторах, при размещении его как внутри упаковок со стерилизуемыми изделиями, так и снаружи. Лицевая сторона индикатора должна быть покрыта защитным слоем для защиты индикаторной композиции, а на обратной стороне, должен присутствовать липкий слой, закрытый защитной бумагой, для крепления индикатора в процессе стерилизации и в документации. Индикаторы в листах, разделены точечной перфорацией для удобного отрыва, должны поставляться в комплекте с журналом ф.257/у. На упаковке должна быть нанесена информация о наименовании, количестве, способе стерилизации и контролируемых режимах, условиях хранения, дате изготовления, сроке годности. В упаковке не менее 1000 шт.</w:t>
            </w:r>
          </w:p>
        </w:tc>
        <w:tc>
          <w:tcPr>
            <w:tcW w:w="1073"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20 000</w:t>
            </w:r>
          </w:p>
        </w:tc>
        <w:tc>
          <w:tcPr>
            <w:tcW w:w="920"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шт</w:t>
            </w:r>
          </w:p>
        </w:tc>
        <w:tc>
          <w:tcPr>
            <w:tcW w:w="1533" w:type="dxa"/>
            <w:gridSpan w:val="2"/>
          </w:tcPr>
          <w:p w:rsidR="00EA4E88" w:rsidRPr="00EA4E88" w:rsidRDefault="00EA4E88" w:rsidP="00EA4E88">
            <w:pPr>
              <w:jc w:val="center"/>
              <w:rPr>
                <w:rFonts w:ascii="Times New Roman" w:hAnsi="Times New Roman" w:cs="Times New Roman"/>
              </w:rPr>
            </w:pPr>
            <w:r w:rsidRPr="00EA4E88">
              <w:rPr>
                <w:rFonts w:ascii="Times New Roman" w:hAnsi="Times New Roman" w:cs="Times New Roman"/>
              </w:rPr>
              <w:t>32.50.50.190-00000915*</w:t>
            </w:r>
          </w:p>
        </w:tc>
        <w:tc>
          <w:tcPr>
            <w:tcW w:w="1379"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768"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69"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87"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r>
      <w:tr w:rsidR="00EA4E88" w:rsidRPr="00EA4E88" w:rsidTr="00C4192C">
        <w:trPr>
          <w:gridAfter w:val="1"/>
          <w:wAfter w:w="119" w:type="dxa"/>
          <w:trHeight w:val="20"/>
          <w:jc w:val="center"/>
        </w:trPr>
        <w:tc>
          <w:tcPr>
            <w:tcW w:w="460" w:type="dxa"/>
            <w:gridSpan w:val="3"/>
          </w:tcPr>
          <w:p w:rsidR="00EA4E88" w:rsidRPr="00EA4E88" w:rsidRDefault="00EA4E88" w:rsidP="00EA4E88">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749" w:type="dxa"/>
            <w:gridSpan w:val="2"/>
          </w:tcPr>
          <w:p w:rsidR="00EA4E88" w:rsidRPr="00EA4E88" w:rsidRDefault="00EA4E88" w:rsidP="00EA4E88">
            <w:pPr>
              <w:spacing w:after="0" w:line="240" w:lineRule="auto"/>
              <w:jc w:val="center"/>
              <w:rPr>
                <w:rFonts w:ascii="Times New Roman" w:hAnsi="Times New Roman" w:cs="Times New Roman"/>
                <w:shd w:val="clear" w:color="auto" w:fill="FFFFFF"/>
              </w:rPr>
            </w:pPr>
            <w:r w:rsidRPr="00EA4E88">
              <w:rPr>
                <w:rFonts w:ascii="Times New Roman" w:hAnsi="Times New Roman" w:cs="Times New Roman"/>
                <w:shd w:val="clear" w:color="auto" w:fill="FFFFFF"/>
              </w:rPr>
              <w:t>Индикатор химический/физический для контроля стерилизации</w:t>
            </w:r>
          </w:p>
        </w:tc>
        <w:tc>
          <w:tcPr>
            <w:tcW w:w="5043" w:type="dxa"/>
          </w:tcPr>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Индикатор паровой стерилизации химический одноразовый, класс не ниже 4 по ГОСТ ISO 11140-1-2011, на бумажной основе с наличием двух меток: индикаторной и эталонной того цвета, который должна приобретать при соблюдении параметров стерилизации. Предназначены для оперативного визуального контроля соблюдения критических параметров – температуры, времени стерилизационной выдержки и наличия насыщенного водяного пара в стерилизационной камере и внутри изделий и упаковок. Применяются в паровых стерилизаторах с форвакуумным методом удаления воздуха из стерилизационной камеры. Один индикатор должен быть предназначен для контроля цикла стерилизации по режиму: 134°С±1/ 7 минут / давление пара 0,20±0,011 МПа в паровых стерилизаторах. Липкий слой на обратной стороне, для закрепления на стерилизуемой упаковке, закрыт защитной бумагой.  Лицевая сторона индикатора должна быть покрыта паропроницаемым водозащитным слоем (ламинирование) для изоляции индикаторной композиции. Индикаторы в листах в комплекте с журналами ф.257/у. Индикаторы разделены точечной перфорацией для удобного отрыва. На упаковке должна быть нанесена информация об условиях хранения, дате изготовления, методе стерилизации в соответствии с ГОСТ ISO 11140-1-2011, стране производства. Информация об изготовителе (производителе) нанесенная на упаковку должна полностью совпадать с информацией, указанной в РУ. В комплект поставки входит многоразовая бирка стерилизационная, для маркировки и прикрепления индикаторов в процессе стерилизации. Гарантийный срок хранения не менее 36 месяцев. В упаковке не менее 1000 шт.</w:t>
            </w:r>
          </w:p>
        </w:tc>
        <w:tc>
          <w:tcPr>
            <w:tcW w:w="1073"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94000</w:t>
            </w:r>
          </w:p>
        </w:tc>
        <w:tc>
          <w:tcPr>
            <w:tcW w:w="920"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шт</w:t>
            </w:r>
          </w:p>
        </w:tc>
        <w:tc>
          <w:tcPr>
            <w:tcW w:w="1533" w:type="dxa"/>
            <w:gridSpan w:val="2"/>
          </w:tcPr>
          <w:p w:rsidR="00EA4E88" w:rsidRPr="00EA4E88" w:rsidRDefault="00EA4E88" w:rsidP="00EA4E88">
            <w:pPr>
              <w:jc w:val="center"/>
              <w:rPr>
                <w:rFonts w:ascii="Times New Roman" w:hAnsi="Times New Roman" w:cs="Times New Roman"/>
              </w:rPr>
            </w:pPr>
            <w:r w:rsidRPr="00EA4E88">
              <w:rPr>
                <w:rFonts w:ascii="Times New Roman" w:hAnsi="Times New Roman" w:cs="Times New Roman"/>
              </w:rPr>
              <w:t>32.50.50.190-00000915*</w:t>
            </w:r>
          </w:p>
        </w:tc>
        <w:tc>
          <w:tcPr>
            <w:tcW w:w="1379"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768"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69"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87"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r>
      <w:tr w:rsidR="00EA4E88" w:rsidRPr="00EA4E88" w:rsidTr="00C4192C">
        <w:trPr>
          <w:gridAfter w:val="1"/>
          <w:wAfter w:w="119" w:type="dxa"/>
          <w:trHeight w:val="20"/>
          <w:jc w:val="center"/>
        </w:trPr>
        <w:tc>
          <w:tcPr>
            <w:tcW w:w="460" w:type="dxa"/>
            <w:gridSpan w:val="3"/>
          </w:tcPr>
          <w:p w:rsidR="00EA4E88" w:rsidRPr="00EA4E88" w:rsidRDefault="00EA4E88" w:rsidP="00EA4E88">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749" w:type="dxa"/>
            <w:gridSpan w:val="2"/>
          </w:tcPr>
          <w:p w:rsidR="00EA4E88" w:rsidRPr="00EA4E88" w:rsidRDefault="00EA4E88" w:rsidP="00EA4E88">
            <w:pPr>
              <w:spacing w:after="0" w:line="240" w:lineRule="auto"/>
              <w:jc w:val="center"/>
              <w:rPr>
                <w:rFonts w:ascii="Times New Roman" w:hAnsi="Times New Roman" w:cs="Times New Roman"/>
                <w:shd w:val="clear" w:color="auto" w:fill="FFFFFF"/>
              </w:rPr>
            </w:pPr>
            <w:r w:rsidRPr="00EA4E88">
              <w:rPr>
                <w:rFonts w:ascii="Times New Roman" w:hAnsi="Times New Roman" w:cs="Times New Roman"/>
                <w:shd w:val="clear" w:color="auto" w:fill="FFFFFF"/>
              </w:rPr>
              <w:t>Индикатор химический/физический для контроля стерилизации</w:t>
            </w:r>
          </w:p>
        </w:tc>
        <w:tc>
          <w:tcPr>
            <w:tcW w:w="5043" w:type="dxa"/>
          </w:tcPr>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Индикатор химический для контроля стерилизации. Предназначен для одновременного упаковывания, герметизации пакетов, упаковок, укладок и контроля (отличия простерилизованных изделий от не подвергавшихся стерилизации) при паровой стерилизации, по классу не менее 1 ГОСТ ISO 11140-1-2011 (индикатор процесса). Должен обладать высокой устойчивостью к "чужому" стерилизующему агенту, механической прочностью, минимальной усадкой. Размер не менее 19мм*50 м. Гарантийный срок хранения – не менее 5 лет.</w:t>
            </w:r>
          </w:p>
        </w:tc>
        <w:tc>
          <w:tcPr>
            <w:tcW w:w="1073"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40</w:t>
            </w:r>
          </w:p>
        </w:tc>
        <w:tc>
          <w:tcPr>
            <w:tcW w:w="920"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шт</w:t>
            </w:r>
          </w:p>
        </w:tc>
        <w:tc>
          <w:tcPr>
            <w:tcW w:w="1533" w:type="dxa"/>
            <w:gridSpan w:val="2"/>
          </w:tcPr>
          <w:p w:rsidR="00EA4E88" w:rsidRPr="00EA4E88" w:rsidRDefault="00EA4E88" w:rsidP="00EA4E88">
            <w:pPr>
              <w:jc w:val="center"/>
              <w:rPr>
                <w:rFonts w:ascii="Times New Roman" w:hAnsi="Times New Roman" w:cs="Times New Roman"/>
              </w:rPr>
            </w:pPr>
            <w:r w:rsidRPr="00EA4E88">
              <w:rPr>
                <w:rFonts w:ascii="Times New Roman" w:hAnsi="Times New Roman" w:cs="Times New Roman"/>
              </w:rPr>
              <w:t>32.50.50.190-00000915*</w:t>
            </w:r>
          </w:p>
        </w:tc>
        <w:tc>
          <w:tcPr>
            <w:tcW w:w="1379"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768"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69"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87"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r>
      <w:tr w:rsidR="00EA4E88" w:rsidRPr="00EA4E88" w:rsidTr="00C4192C">
        <w:trPr>
          <w:gridBefore w:val="1"/>
          <w:wBefore w:w="24" w:type="dxa"/>
          <w:trHeight w:val="20"/>
          <w:jc w:val="center"/>
        </w:trPr>
        <w:tc>
          <w:tcPr>
            <w:tcW w:w="397" w:type="dxa"/>
          </w:tcPr>
          <w:p w:rsidR="00EA4E88" w:rsidRPr="00EA4E88" w:rsidRDefault="00EA4E88" w:rsidP="00EA4E88">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722" w:type="dxa"/>
            <w:gridSpan w:val="2"/>
          </w:tcPr>
          <w:p w:rsidR="00EA4E88" w:rsidRPr="00EA4E88" w:rsidRDefault="00EA4E88" w:rsidP="00EA4E88">
            <w:pPr>
              <w:spacing w:after="0" w:line="240" w:lineRule="auto"/>
              <w:jc w:val="center"/>
              <w:rPr>
                <w:rFonts w:ascii="Times New Roman" w:hAnsi="Times New Roman" w:cs="Times New Roman"/>
                <w:shd w:val="clear" w:color="auto" w:fill="FFFFFF"/>
              </w:rPr>
            </w:pPr>
            <w:r w:rsidRPr="00EA4E88">
              <w:rPr>
                <w:rFonts w:ascii="Times New Roman" w:hAnsi="Times New Roman" w:cs="Times New Roman"/>
                <w:shd w:val="clear" w:color="auto" w:fill="FFFFFF"/>
              </w:rPr>
              <w:t>Упаковка для стерилизации, одноразового использования</w:t>
            </w:r>
          </w:p>
        </w:tc>
        <w:tc>
          <w:tcPr>
            <w:tcW w:w="5124" w:type="dxa"/>
            <w:gridSpan w:val="3"/>
          </w:tcPr>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Пакеты комбинированные (комбинация пленка-бумага) самоклеящиеся для воздушной, паровой и газовой стерилизаций. Прозрачная сторона –   изготовлены из пленки с высоким барьером от влаги, кислородным барьером, устойчивостью к высокой температуре не менее 180°С в течение не менее 60 минут.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На пакете должны быть нанесены следующие обозначения: товарный знак и/или наименование предприятия-изготовителя; размер пакета (Ш*Д, мм); предупреждение о запрещение использовать в случае повреждения пакета; индикаторы первого класса для паровой и воздушной стерилизации, описание конечного цвет индикатора на метод стерилизации; Окна для записи: "Содержимое пакета", "Дата стерилизации, подпись", Дата, вскрытия ,подпись", указан срок сохранения стерильности. Наименование на изделии должно совпадать с наименованием в регистрационном удостоверении. В месте сгиба клапана выполнена сквозная перфорация, позволяющая обеспечить надежную герметизацию пакета. Пакеты должны быть упакованы в транспортную коробку, которая должна иметь маркировку на русском языке, на которой должно быть указано: Наименование товара, размер, наименование производителя, номер партии, дата выпуска, дата окончания срока годности, срок годности, номер регистрационного удостоверения и срок его действия.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В упаковке не менее 100 шт.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Размер: 150*400мм±5 мм.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Срок сохранения стерильности в упаковке не менее 4 лет.</w:t>
            </w:r>
          </w:p>
        </w:tc>
        <w:tc>
          <w:tcPr>
            <w:tcW w:w="1087"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10000</w:t>
            </w:r>
          </w:p>
        </w:tc>
        <w:tc>
          <w:tcPr>
            <w:tcW w:w="932"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шт</w:t>
            </w:r>
          </w:p>
        </w:tc>
        <w:tc>
          <w:tcPr>
            <w:tcW w:w="1708" w:type="dxa"/>
            <w:gridSpan w:val="2"/>
          </w:tcPr>
          <w:p w:rsidR="00EA4E88" w:rsidRPr="00EA4E88" w:rsidRDefault="00EA4E88" w:rsidP="00EA4E88">
            <w:pPr>
              <w:spacing w:after="0" w:line="240" w:lineRule="auto"/>
              <w:jc w:val="center"/>
              <w:rPr>
                <w:rFonts w:ascii="Times New Roman" w:eastAsia="Times New Roman" w:hAnsi="Times New Roman" w:cs="Times New Roman"/>
                <w:lang w:eastAsia="ru-RU"/>
              </w:rPr>
            </w:pPr>
            <w:r w:rsidRPr="00EA4E88">
              <w:rPr>
                <w:rFonts w:ascii="Times New Roman" w:eastAsia="Times New Roman" w:hAnsi="Times New Roman" w:cs="Times New Roman"/>
                <w:lang w:eastAsia="ru-RU"/>
              </w:rPr>
              <w:t>32.50.50.190-</w:t>
            </w:r>
          </w:p>
          <w:p w:rsidR="00EA4E88" w:rsidRPr="00EA4E88" w:rsidRDefault="00EA4E88" w:rsidP="00EA4E88">
            <w:pPr>
              <w:spacing w:after="0" w:line="240" w:lineRule="auto"/>
              <w:jc w:val="center"/>
              <w:rPr>
                <w:rFonts w:ascii="Calibri" w:eastAsia="Times New Roman" w:hAnsi="Calibri" w:cs="Times New Roman"/>
                <w:lang w:eastAsia="ru-RU"/>
              </w:rPr>
            </w:pPr>
            <w:r w:rsidRPr="00EA4E88">
              <w:rPr>
                <w:rFonts w:ascii="Times New Roman" w:eastAsia="Times New Roman" w:hAnsi="Times New Roman" w:cs="Times New Roman"/>
                <w:lang w:eastAsia="ru-RU"/>
              </w:rPr>
              <w:t>00000337*</w:t>
            </w:r>
          </w:p>
        </w:tc>
        <w:tc>
          <w:tcPr>
            <w:tcW w:w="1245"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777"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83"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101"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r>
      <w:tr w:rsidR="00EA4E88" w:rsidRPr="00EA4E88" w:rsidTr="00C4192C">
        <w:trPr>
          <w:gridBefore w:val="1"/>
          <w:wBefore w:w="24" w:type="dxa"/>
          <w:trHeight w:val="20"/>
          <w:jc w:val="center"/>
        </w:trPr>
        <w:tc>
          <w:tcPr>
            <w:tcW w:w="397" w:type="dxa"/>
          </w:tcPr>
          <w:p w:rsidR="00EA4E88" w:rsidRPr="00EA4E88" w:rsidRDefault="00EA4E88" w:rsidP="00EA4E88">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722" w:type="dxa"/>
            <w:gridSpan w:val="2"/>
          </w:tcPr>
          <w:p w:rsidR="00EA4E88" w:rsidRPr="00EA4E88" w:rsidRDefault="00EA4E88" w:rsidP="00EA4E88">
            <w:pPr>
              <w:spacing w:after="0" w:line="240" w:lineRule="auto"/>
              <w:jc w:val="center"/>
              <w:rPr>
                <w:rFonts w:ascii="Times New Roman" w:hAnsi="Times New Roman" w:cs="Times New Roman"/>
                <w:shd w:val="clear" w:color="auto" w:fill="FFFFFF"/>
              </w:rPr>
            </w:pPr>
            <w:r w:rsidRPr="00EA4E88">
              <w:rPr>
                <w:rFonts w:ascii="Times New Roman" w:hAnsi="Times New Roman" w:cs="Times New Roman"/>
                <w:shd w:val="clear" w:color="auto" w:fill="FFFFFF"/>
              </w:rPr>
              <w:t>Упаковка для стерилизации, одноразового использования</w:t>
            </w:r>
          </w:p>
        </w:tc>
        <w:tc>
          <w:tcPr>
            <w:tcW w:w="5124" w:type="dxa"/>
            <w:gridSpan w:val="3"/>
          </w:tcPr>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Пакеты комбинированные (комбинация пленка-бумага) самоклеящиеся для воздушной, паровой и газовой стерилизаций. Прозрачная сторона –   изготовлены из пленки с высоким барьером от влаги, кислородным барьером, устойчивостью к высокой температуре не менее 180°С в течение не менее 60 минут.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На пакете должны быть нанесены следующие обозначения: товарный знак и/или наименование предприятия-изготовителя; размер пакета (Ш*Д, мм); предупреждение о запрещение использовать в случае повреждения пакета; индикаторы первого класса для паровой и воздушной стерилизации, описание конечного цвет индикатора на метод стерилизации; Окна для записи: "Содержимое пакета", "Дата стерилизации, подпись" , Дата , вскрытия ,подпись", указан срок сохранения стерильности. Наименование на изделии должно совпадать с наименованием в регистрационном удостоверении. В месте сгиба клапана выполнена сквозная перфорация, позволяющая обеспечить надежную герметизацию пакета. Пакеты должны быть упакованы в транспортную коробку, которая должна иметь маркировку на русском языке, на которой должно быть указано: Наименование товара, размер, наименование производителя, номер партии, дата выпуска, дата окончания срока годности, срок годности, номер регистрационного удостоверения и срок его действия.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В упаковке не менее 100 шт.</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Размер: 200*400мм±5 мм.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Срок сохранения стерильности в упаковке не менее 4 лет.</w:t>
            </w:r>
          </w:p>
        </w:tc>
        <w:tc>
          <w:tcPr>
            <w:tcW w:w="1087"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10000</w:t>
            </w:r>
          </w:p>
        </w:tc>
        <w:tc>
          <w:tcPr>
            <w:tcW w:w="932" w:type="dxa"/>
            <w:gridSpan w:val="2"/>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шт</w:t>
            </w:r>
          </w:p>
        </w:tc>
        <w:tc>
          <w:tcPr>
            <w:tcW w:w="1708" w:type="dxa"/>
            <w:gridSpan w:val="2"/>
          </w:tcPr>
          <w:p w:rsidR="00EA4E88" w:rsidRPr="00EA4E88" w:rsidRDefault="00EA4E88" w:rsidP="00EA4E88">
            <w:pPr>
              <w:spacing w:after="0" w:line="240" w:lineRule="auto"/>
              <w:jc w:val="center"/>
              <w:rPr>
                <w:rFonts w:ascii="Times New Roman" w:eastAsia="Times New Roman" w:hAnsi="Times New Roman" w:cs="Times New Roman"/>
                <w:lang w:eastAsia="ru-RU"/>
              </w:rPr>
            </w:pPr>
            <w:r w:rsidRPr="00EA4E88">
              <w:rPr>
                <w:rFonts w:ascii="Times New Roman" w:eastAsia="Times New Roman" w:hAnsi="Times New Roman" w:cs="Times New Roman"/>
                <w:lang w:eastAsia="ru-RU"/>
              </w:rPr>
              <w:t>32.50.50.190-</w:t>
            </w:r>
          </w:p>
          <w:p w:rsidR="00EA4E88" w:rsidRPr="00EA4E88" w:rsidRDefault="00EA4E88" w:rsidP="00EA4E88">
            <w:pPr>
              <w:spacing w:after="0" w:line="240" w:lineRule="auto"/>
              <w:jc w:val="center"/>
              <w:rPr>
                <w:rFonts w:ascii="Calibri" w:eastAsia="Times New Roman" w:hAnsi="Calibri" w:cs="Times New Roman"/>
                <w:lang w:eastAsia="ru-RU"/>
              </w:rPr>
            </w:pPr>
            <w:r w:rsidRPr="00EA4E88">
              <w:rPr>
                <w:rFonts w:ascii="Times New Roman" w:eastAsia="Times New Roman" w:hAnsi="Times New Roman" w:cs="Times New Roman"/>
                <w:lang w:eastAsia="ru-RU"/>
              </w:rPr>
              <w:t>00000337*</w:t>
            </w:r>
          </w:p>
        </w:tc>
        <w:tc>
          <w:tcPr>
            <w:tcW w:w="1245"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777"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83"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101" w:type="dxa"/>
            <w:gridSpan w:val="2"/>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r>
      <w:tr w:rsidR="00EA4E88" w:rsidRPr="00EA4E88" w:rsidTr="00C4192C">
        <w:trPr>
          <w:gridBefore w:val="1"/>
          <w:wBefore w:w="24" w:type="dxa"/>
          <w:trHeight w:val="20"/>
          <w:jc w:val="center"/>
        </w:trPr>
        <w:tc>
          <w:tcPr>
            <w:tcW w:w="397" w:type="dxa"/>
            <w:tcBorders>
              <w:top w:val="single" w:sz="4" w:space="0" w:color="auto"/>
              <w:left w:val="single" w:sz="4" w:space="0" w:color="auto"/>
              <w:bottom w:val="single" w:sz="4" w:space="0" w:color="auto"/>
              <w:right w:val="single" w:sz="4" w:space="0" w:color="auto"/>
            </w:tcBorders>
          </w:tcPr>
          <w:p w:rsidR="00EA4E88" w:rsidRPr="00EA4E88" w:rsidRDefault="00EA4E88" w:rsidP="00EA4E88">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722" w:type="dxa"/>
            <w:gridSpan w:val="2"/>
            <w:tcBorders>
              <w:top w:val="single" w:sz="4" w:space="0" w:color="auto"/>
              <w:left w:val="single" w:sz="4" w:space="0" w:color="auto"/>
              <w:bottom w:val="single" w:sz="4" w:space="0" w:color="auto"/>
              <w:right w:val="single" w:sz="4" w:space="0" w:color="auto"/>
            </w:tcBorders>
          </w:tcPr>
          <w:p w:rsidR="00EA4E88" w:rsidRPr="00EA4E88" w:rsidRDefault="00EA4E88" w:rsidP="00EA4E88">
            <w:pPr>
              <w:spacing w:after="0" w:line="240" w:lineRule="auto"/>
              <w:jc w:val="center"/>
              <w:rPr>
                <w:rFonts w:ascii="Times New Roman" w:hAnsi="Times New Roman" w:cs="Times New Roman"/>
                <w:shd w:val="clear" w:color="auto" w:fill="FFFFFF"/>
              </w:rPr>
            </w:pPr>
            <w:r w:rsidRPr="00EA4E88">
              <w:rPr>
                <w:rFonts w:ascii="Times New Roman" w:hAnsi="Times New Roman" w:cs="Times New Roman"/>
                <w:shd w:val="clear" w:color="auto" w:fill="FFFFFF"/>
              </w:rPr>
              <w:t>Индикатор химический/физический для контроля стерилизации</w:t>
            </w:r>
          </w:p>
        </w:tc>
        <w:tc>
          <w:tcPr>
            <w:tcW w:w="5124" w:type="dxa"/>
            <w:gridSpan w:val="3"/>
            <w:tcBorders>
              <w:top w:val="single" w:sz="4" w:space="0" w:color="auto"/>
              <w:left w:val="single" w:sz="4" w:space="0" w:color="auto"/>
              <w:bottom w:val="single" w:sz="4" w:space="0" w:color="auto"/>
              <w:right w:val="single" w:sz="4" w:space="0" w:color="auto"/>
            </w:tcBorders>
            <w:shd w:val="clear" w:color="auto" w:fill="auto"/>
          </w:tcPr>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Индикатор химический 5 класса по </w:t>
            </w:r>
            <w:r w:rsidR="0040280D" w:rsidRPr="00EA4E88">
              <w:rPr>
                <w:rFonts w:ascii="Times New Roman" w:eastAsia="Times New Roman" w:hAnsi="Times New Roman" w:cs="Times New Roman"/>
                <w:color w:val="000000"/>
              </w:rPr>
              <w:t xml:space="preserve">ISO 11140-1-2011 </w:t>
            </w:r>
            <w:r w:rsidRPr="00EA4E88">
              <w:rPr>
                <w:rFonts w:ascii="Times New Roman" w:eastAsia="Times New Roman" w:hAnsi="Times New Roman" w:cs="Times New Roman"/>
                <w:color w:val="000000"/>
              </w:rPr>
              <w:t>одноразового применения для контроля процессов пероксидной (плазменной) стерилизации.</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Индикаторы предназначены для оперативного визуального контроля соблюдения критических переменных пероксидной (плазменной) стерилизации (время, температура, концентрация перекиси водорода и плазма) при любых режимах.</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Индикаторы применяются в каждом цикле обработки и размещаются снаружи и внутри изделий и/или упаковок.</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Индикаторы представляют собой инертный носитель на клеевом основании с защитной подложкой, на лицевой поверхности которого нанесены маркировка, метка сравнения и индикаторная метка. Индикаторы выпускаются в виде блоков индикаторов в листовом исполнении. Индикаторы отделены друг от друга посредством перфорации между индикаторами.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 xml:space="preserve">Индикаторная метка после завершения цикла стерилизации, параметры которого соответствовали требуемым, должна необратимо менять цвет на цвет метки сравнения. </w:t>
            </w:r>
          </w:p>
          <w:p w:rsidR="00EA4E88" w:rsidRPr="00EA4E88" w:rsidRDefault="00EA4E88" w:rsidP="00EA4E88">
            <w:pPr>
              <w:spacing w:after="0" w:line="240" w:lineRule="auto"/>
              <w:rPr>
                <w:rFonts w:ascii="Times New Roman" w:eastAsia="Times New Roman" w:hAnsi="Times New Roman" w:cs="Times New Roman"/>
                <w:color w:val="000000"/>
              </w:rPr>
            </w:pPr>
            <w:r w:rsidRPr="00EA4E88">
              <w:rPr>
                <w:rFonts w:ascii="Times New Roman" w:eastAsia="Times New Roman" w:hAnsi="Times New Roman" w:cs="Times New Roman"/>
                <w:color w:val="000000"/>
              </w:rPr>
              <w:t>В комплекте не менее 500 шт. индикаторов и журнал контроля работы пероксидного (плазменного) стерилизатора. Гарантийный срок хранения не менее 72 месяцев.</w:t>
            </w:r>
          </w:p>
        </w:tc>
        <w:tc>
          <w:tcPr>
            <w:tcW w:w="1087" w:type="dxa"/>
            <w:gridSpan w:val="2"/>
            <w:tcBorders>
              <w:top w:val="single" w:sz="4" w:space="0" w:color="auto"/>
              <w:left w:val="single" w:sz="4" w:space="0" w:color="auto"/>
              <w:bottom w:val="single" w:sz="4" w:space="0" w:color="auto"/>
              <w:right w:val="single" w:sz="4" w:space="0" w:color="auto"/>
            </w:tcBorders>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40000</w:t>
            </w:r>
          </w:p>
        </w:tc>
        <w:tc>
          <w:tcPr>
            <w:tcW w:w="932" w:type="dxa"/>
            <w:gridSpan w:val="2"/>
            <w:tcBorders>
              <w:top w:val="single" w:sz="4" w:space="0" w:color="auto"/>
              <w:left w:val="single" w:sz="4" w:space="0" w:color="auto"/>
              <w:bottom w:val="single" w:sz="4" w:space="0" w:color="auto"/>
              <w:right w:val="single" w:sz="4" w:space="0" w:color="auto"/>
            </w:tcBorders>
          </w:tcPr>
          <w:p w:rsidR="00EA4E88" w:rsidRPr="00EA4E88" w:rsidRDefault="00EA4E88" w:rsidP="00EA4E88">
            <w:pPr>
              <w:spacing w:after="0" w:line="240" w:lineRule="auto"/>
              <w:jc w:val="center"/>
              <w:rPr>
                <w:rFonts w:ascii="Times New Roman" w:hAnsi="Times New Roman" w:cs="Times New Roman"/>
                <w:lang w:eastAsia="ru-RU"/>
              </w:rPr>
            </w:pPr>
            <w:r w:rsidRPr="00EA4E88">
              <w:rPr>
                <w:rFonts w:ascii="Times New Roman" w:hAnsi="Times New Roman" w:cs="Times New Roman"/>
                <w:lang w:eastAsia="ru-RU"/>
              </w:rPr>
              <w:t>шт</w:t>
            </w:r>
          </w:p>
        </w:tc>
        <w:tc>
          <w:tcPr>
            <w:tcW w:w="1708" w:type="dxa"/>
            <w:gridSpan w:val="2"/>
            <w:tcBorders>
              <w:top w:val="single" w:sz="4" w:space="0" w:color="auto"/>
              <w:left w:val="single" w:sz="4" w:space="0" w:color="auto"/>
              <w:bottom w:val="single" w:sz="4" w:space="0" w:color="auto"/>
              <w:right w:val="single" w:sz="4" w:space="0" w:color="auto"/>
            </w:tcBorders>
          </w:tcPr>
          <w:p w:rsidR="00EA4E88" w:rsidRPr="00EA4E88" w:rsidRDefault="00EA4E88" w:rsidP="00EA4E88">
            <w:pPr>
              <w:spacing w:after="0" w:line="240" w:lineRule="auto"/>
              <w:rPr>
                <w:rFonts w:ascii="Times New Roman" w:eastAsia="Times New Roman" w:hAnsi="Times New Roman" w:cs="Times New Roman"/>
                <w:lang w:eastAsia="ru-RU"/>
              </w:rPr>
            </w:pPr>
            <w:r w:rsidRPr="00EA4E88">
              <w:rPr>
                <w:rFonts w:ascii="Times New Roman" w:eastAsia="Times New Roman" w:hAnsi="Times New Roman" w:cs="Times New Roman"/>
                <w:lang w:eastAsia="ru-RU"/>
              </w:rPr>
              <w:t>32.50.50.190-00000915*</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FFFFCC"/>
          </w:tcPr>
          <w:p w:rsidR="00EA4E88" w:rsidRPr="00EA4E88" w:rsidRDefault="00EA4E88" w:rsidP="00EA4E88">
            <w:pPr>
              <w:spacing w:after="0" w:line="240" w:lineRule="auto"/>
              <w:jc w:val="center"/>
              <w:rPr>
                <w:rFonts w:ascii="Times New Roman" w:eastAsia="Times New Roman" w:hAnsi="Times New Roman" w:cs="Times New Roman"/>
                <w:lang w:eastAsia="ru-RU"/>
              </w:rPr>
            </w:pPr>
          </w:p>
        </w:tc>
      </w:tr>
    </w:tbl>
    <w:p w:rsidR="00EA4E88" w:rsidRPr="00EA4E88" w:rsidRDefault="00EA4E88" w:rsidP="00EA4E88">
      <w:pPr>
        <w:rPr>
          <w:rFonts w:ascii="Times New Roman" w:hAnsi="Times New Roman" w:cs="Times New Roman"/>
          <w:b/>
          <w:bCs/>
          <w:i/>
        </w:rPr>
      </w:pPr>
      <w:r w:rsidRPr="00EA4E88">
        <w:rPr>
          <w:rFonts w:ascii="Times New Roman" w:hAnsi="Times New Roman" w:cs="Times New Roman"/>
          <w:b/>
          <w:bCs/>
          <w:i/>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EA4E8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6A" w:rsidRDefault="0010616A">
      <w:pPr>
        <w:spacing w:after="0" w:line="240" w:lineRule="auto"/>
      </w:pPr>
      <w:r>
        <w:separator/>
      </w:r>
    </w:p>
  </w:endnote>
  <w:endnote w:type="continuationSeparator" w:id="0">
    <w:p w:rsidR="0010616A" w:rsidRDefault="0010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7519D" w:rsidRDefault="00F7519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7519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7519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7519D">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7519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0280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7519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0280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6A" w:rsidRDefault="0010616A">
      <w:pPr>
        <w:spacing w:after="0" w:line="240" w:lineRule="auto"/>
      </w:pPr>
      <w:r>
        <w:separator/>
      </w:r>
    </w:p>
  </w:footnote>
  <w:footnote w:type="continuationSeparator" w:id="0">
    <w:p w:rsidR="0010616A" w:rsidRDefault="0010616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7519D" w:rsidRDefault="00F7519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7519D" w:rsidRDefault="00F7519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7519D" w:rsidRDefault="00F7519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0616A"/>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280D"/>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A4E88"/>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7519D"/>
    <w:rsid w:val="00F84F75"/>
    <w:rsid w:val="00F904BD"/>
    <w:rsid w:val="00F92171"/>
    <w:rsid w:val="00FA29E8"/>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BBD0-2C42-4B48-9AED-27A77B15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2024-10-10T07:09:00Z</dcterms:created>
  <dcterms:modified xsi:type="dcterms:W3CDTF">2024-10-10T07:09:00Z</dcterms:modified>
</cp:coreProperties>
</file>