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05-07/252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D521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8C3D7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(реестровая запись)</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8C3D7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8C3D7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55" w:type="pct"/>
        <w:tblInd w:w="-176" w:type="dxa"/>
        <w:tblLayout w:type="fixed"/>
        <w:tblLook w:val="04A0" w:firstRow="1" w:lastRow="0" w:firstColumn="1" w:lastColumn="0" w:noHBand="0" w:noVBand="1"/>
      </w:tblPr>
      <w:tblGrid>
        <w:gridCol w:w="427"/>
        <w:gridCol w:w="1429"/>
        <w:gridCol w:w="1126"/>
        <w:gridCol w:w="1557"/>
        <w:gridCol w:w="1416"/>
        <w:gridCol w:w="993"/>
        <w:gridCol w:w="1557"/>
        <w:gridCol w:w="2131"/>
        <w:gridCol w:w="1135"/>
        <w:gridCol w:w="990"/>
        <w:gridCol w:w="993"/>
        <w:gridCol w:w="851"/>
        <w:gridCol w:w="709"/>
        <w:gridCol w:w="809"/>
      </w:tblGrid>
      <w:tr w:rsidR="007B694C" w:rsidRPr="008C3D79" w:rsidTr="007B694C">
        <w:trPr>
          <w:trHeight w:val="300"/>
        </w:trPr>
        <w:tc>
          <w:tcPr>
            <w:tcW w:w="132" w:type="pct"/>
            <w:vMerge w:val="restart"/>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 пп</w:t>
            </w:r>
          </w:p>
        </w:tc>
        <w:tc>
          <w:tcPr>
            <w:tcW w:w="443" w:type="pct"/>
            <w:vMerge w:val="restart"/>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Наименование товара, работы, услуги</w:t>
            </w:r>
          </w:p>
        </w:tc>
        <w:tc>
          <w:tcPr>
            <w:tcW w:w="349" w:type="pct"/>
            <w:vMerge w:val="restart"/>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Код позиции</w:t>
            </w:r>
          </w:p>
        </w:tc>
        <w:tc>
          <w:tcPr>
            <w:tcW w:w="1713" w:type="pct"/>
            <w:gridSpan w:val="4"/>
            <w:tcBorders>
              <w:top w:val="single" w:sz="8" w:space="0" w:color="000000"/>
              <w:left w:val="nil"/>
              <w:bottom w:val="single" w:sz="8" w:space="0" w:color="auto"/>
              <w:right w:val="single" w:sz="8" w:space="0" w:color="000000"/>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Характеристики товара, работы, услуги</w:t>
            </w:r>
          </w:p>
        </w:tc>
        <w:tc>
          <w:tcPr>
            <w:tcW w:w="661" w:type="pct"/>
            <w:vMerge w:val="restart"/>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Обоснование характеристик</w:t>
            </w:r>
          </w:p>
        </w:tc>
        <w:tc>
          <w:tcPr>
            <w:tcW w:w="352" w:type="pct"/>
            <w:vMerge w:val="restart"/>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Количество (объем работы, услуги)</w:t>
            </w:r>
          </w:p>
        </w:tc>
        <w:tc>
          <w:tcPr>
            <w:tcW w:w="307" w:type="pct"/>
            <w:vMerge w:val="restart"/>
            <w:tcBorders>
              <w:top w:val="single" w:sz="8" w:space="0" w:color="000000"/>
              <w:left w:val="single" w:sz="8" w:space="0" w:color="auto"/>
              <w:bottom w:val="single" w:sz="8" w:space="0" w:color="000000"/>
              <w:right w:val="nil"/>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Единица измерения</w:t>
            </w:r>
          </w:p>
        </w:tc>
        <w:tc>
          <w:tcPr>
            <w:tcW w:w="308" w:type="pct"/>
            <w:vMerge w:val="restart"/>
            <w:tcBorders>
              <w:top w:val="single" w:sz="4" w:space="0" w:color="auto"/>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b/>
                <w:color w:val="000000"/>
                <w:sz w:val="16"/>
                <w:szCs w:val="16"/>
                <w:lang w:eastAsia="ru-RU"/>
              </w:rPr>
            </w:pPr>
            <w:r w:rsidRPr="008C3D79">
              <w:rPr>
                <w:rFonts w:ascii="Times New Roman" w:eastAsia="Times New Roman" w:hAnsi="Times New Roman" w:cs="Times New Roman"/>
                <w:b/>
                <w:color w:val="000000"/>
                <w:sz w:val="16"/>
                <w:szCs w:val="16"/>
                <w:lang w:eastAsia="ru-RU"/>
              </w:rPr>
              <w:t>Страна происхождения Товара</w:t>
            </w:r>
          </w:p>
        </w:tc>
        <w:tc>
          <w:tcPr>
            <w:tcW w:w="264" w:type="pct"/>
            <w:vMerge w:val="restart"/>
            <w:tcBorders>
              <w:top w:val="single" w:sz="4" w:space="0" w:color="auto"/>
              <w:left w:val="single" w:sz="4" w:space="0" w:color="auto"/>
              <w:bottom w:val="single" w:sz="4" w:space="0" w:color="auto"/>
              <w:right w:val="single" w:sz="4" w:space="0" w:color="auto"/>
            </w:tcBorders>
            <w:noWrap/>
            <w:vAlign w:val="bottom"/>
            <w:hideMark/>
          </w:tcPr>
          <w:p w:rsidR="008C3D79" w:rsidRDefault="008C3D79" w:rsidP="00E85B63">
            <w:pPr>
              <w:spacing w:after="0" w:line="240" w:lineRule="auto"/>
              <w:jc w:val="center"/>
              <w:rPr>
                <w:rFonts w:ascii="Times New Roman" w:eastAsia="Times New Roman" w:hAnsi="Times New Roman" w:cs="Times New Roman"/>
                <w:b/>
                <w:color w:val="000000"/>
                <w:sz w:val="16"/>
                <w:szCs w:val="16"/>
                <w:lang w:eastAsia="ru-RU"/>
              </w:rPr>
            </w:pPr>
            <w:r w:rsidRPr="008C3D79">
              <w:rPr>
                <w:rFonts w:ascii="Times New Roman" w:eastAsia="Times New Roman" w:hAnsi="Times New Roman" w:cs="Times New Roman"/>
                <w:b/>
                <w:color w:val="000000"/>
                <w:sz w:val="16"/>
                <w:szCs w:val="16"/>
                <w:lang w:eastAsia="ru-RU"/>
              </w:rPr>
              <w:t>Ставка НДС%</w:t>
            </w:r>
          </w:p>
          <w:p w:rsidR="007B694C" w:rsidRDefault="007B694C" w:rsidP="00E85B63">
            <w:pPr>
              <w:spacing w:after="0" w:line="240" w:lineRule="auto"/>
              <w:jc w:val="center"/>
              <w:rPr>
                <w:rFonts w:ascii="Times New Roman" w:eastAsia="Times New Roman" w:hAnsi="Times New Roman" w:cs="Times New Roman"/>
                <w:b/>
                <w:color w:val="000000"/>
                <w:sz w:val="16"/>
                <w:szCs w:val="16"/>
                <w:lang w:eastAsia="ru-RU"/>
              </w:rPr>
            </w:pPr>
          </w:p>
          <w:p w:rsidR="007B694C" w:rsidRPr="008C3D79" w:rsidRDefault="007B694C" w:rsidP="00E85B63">
            <w:pPr>
              <w:spacing w:after="0" w:line="240" w:lineRule="auto"/>
              <w:jc w:val="center"/>
              <w:rPr>
                <w:rFonts w:ascii="Times New Roman" w:eastAsia="Times New Roman" w:hAnsi="Times New Roman" w:cs="Times New Roman"/>
                <w:b/>
                <w:color w:val="000000"/>
                <w:sz w:val="16"/>
                <w:szCs w:val="16"/>
                <w:lang w:eastAsia="ru-RU"/>
              </w:rPr>
            </w:pPr>
          </w:p>
        </w:tc>
        <w:tc>
          <w:tcPr>
            <w:tcW w:w="220" w:type="pct"/>
            <w:vMerge w:val="restart"/>
            <w:tcBorders>
              <w:top w:val="single" w:sz="4" w:space="0" w:color="auto"/>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b/>
                <w:color w:val="000000"/>
                <w:sz w:val="16"/>
                <w:szCs w:val="16"/>
                <w:lang w:eastAsia="ru-RU"/>
              </w:rPr>
            </w:pPr>
            <w:r w:rsidRPr="008C3D79">
              <w:rPr>
                <w:rFonts w:ascii="Times New Roman" w:eastAsia="Times New Roman" w:hAnsi="Times New Roman" w:cs="Times New Roman"/>
                <w:b/>
                <w:color w:val="000000"/>
                <w:sz w:val="16"/>
                <w:szCs w:val="16"/>
                <w:lang w:eastAsia="ru-RU"/>
              </w:rPr>
              <w:t>Цена за ед. без НДС</w:t>
            </w:r>
          </w:p>
        </w:tc>
        <w:tc>
          <w:tcPr>
            <w:tcW w:w="251" w:type="pct"/>
            <w:vMerge w:val="restart"/>
            <w:tcBorders>
              <w:top w:val="single" w:sz="4" w:space="0" w:color="auto"/>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b/>
                <w:color w:val="000000"/>
                <w:sz w:val="16"/>
                <w:szCs w:val="16"/>
                <w:lang w:eastAsia="ru-RU"/>
              </w:rPr>
            </w:pPr>
            <w:r w:rsidRPr="008C3D79">
              <w:rPr>
                <w:rFonts w:ascii="Times New Roman" w:eastAsia="Times New Roman" w:hAnsi="Times New Roman" w:cs="Times New Roman"/>
                <w:b/>
                <w:color w:val="000000"/>
                <w:sz w:val="16"/>
                <w:szCs w:val="16"/>
                <w:lang w:eastAsia="ru-RU"/>
              </w:rPr>
              <w:t>Сумма без НДС</w:t>
            </w:r>
          </w:p>
        </w:tc>
      </w:tr>
      <w:tr w:rsidR="007B694C" w:rsidRPr="008C3D79" w:rsidTr="007B694C">
        <w:trPr>
          <w:trHeight w:val="300"/>
        </w:trPr>
        <w:tc>
          <w:tcPr>
            <w:tcW w:w="132" w:type="pct"/>
            <w:vMerge/>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443" w:type="pct"/>
            <w:vMerge/>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349" w:type="pct"/>
            <w:vMerge/>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483"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Наименование характеристики</w:t>
            </w:r>
          </w:p>
        </w:tc>
        <w:tc>
          <w:tcPr>
            <w:tcW w:w="439"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Значение характеристики</w:t>
            </w:r>
          </w:p>
        </w:tc>
        <w:tc>
          <w:tcPr>
            <w:tcW w:w="308"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Единица измерения характеристики</w:t>
            </w:r>
          </w:p>
        </w:tc>
        <w:tc>
          <w:tcPr>
            <w:tcW w:w="483"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b/>
                <w:bCs/>
                <w:color w:val="000000"/>
                <w:sz w:val="16"/>
                <w:szCs w:val="16"/>
                <w:lang w:eastAsia="ru-RU"/>
              </w:rPr>
            </w:pPr>
            <w:r w:rsidRPr="008C3D79">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661" w:type="pct"/>
            <w:vMerge/>
            <w:tcBorders>
              <w:top w:val="single" w:sz="8" w:space="0" w:color="000000"/>
              <w:left w:val="single" w:sz="8" w:space="0" w:color="auto"/>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352" w:type="pct"/>
            <w:vMerge/>
            <w:tcBorders>
              <w:top w:val="single" w:sz="8" w:space="0" w:color="000000"/>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307" w:type="pct"/>
            <w:vMerge/>
            <w:tcBorders>
              <w:top w:val="single" w:sz="8" w:space="0" w:color="000000"/>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b/>
                <w:bCs/>
                <w:color w:val="000000"/>
                <w:sz w:val="16"/>
                <w:szCs w:val="16"/>
                <w:lang w:eastAsia="ru-RU"/>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2464"/>
        </w:trPr>
        <w:tc>
          <w:tcPr>
            <w:tcW w:w="132"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w:t>
            </w:r>
          </w:p>
        </w:tc>
        <w:tc>
          <w:tcPr>
            <w:tcW w:w="443"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белья для осмотра/хирургических процедур, нестерильный, одноразового использования</w:t>
            </w:r>
          </w:p>
        </w:tc>
        <w:tc>
          <w:tcPr>
            <w:tcW w:w="349" w:type="pct"/>
            <w:vMerge w:val="restart"/>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14.12.30.190-00000019*</w:t>
            </w:r>
            <w:r w:rsidR="009F3A4C">
              <w:rPr>
                <w:rFonts w:ascii="Times New Roman" w:eastAsia="Times New Roman" w:hAnsi="Times New Roman" w:cs="Times New Roman"/>
                <w:color w:val="000000"/>
                <w:sz w:val="16"/>
                <w:szCs w:val="16"/>
                <w:lang w:eastAsia="ru-RU"/>
              </w:rPr>
              <w:t>*</w:t>
            </w: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одноразовый в составе:  простыня хирургическая общего назначения, одноразового использования, нестерильная</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val="restart"/>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24 830</w:t>
            </w:r>
          </w:p>
        </w:tc>
        <w:tc>
          <w:tcPr>
            <w:tcW w:w="307" w:type="pct"/>
            <w:vMerge w:val="restart"/>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штука</w:t>
            </w:r>
          </w:p>
        </w:tc>
        <w:tc>
          <w:tcPr>
            <w:tcW w:w="308"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20"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51"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Размер простыни (ш х дл)</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140х200</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 определенным видом операции и манипуляций.</w:t>
            </w:r>
          </w:p>
        </w:tc>
        <w:tc>
          <w:tcPr>
            <w:tcW w:w="352" w:type="pct"/>
            <w:vMerge/>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Изготовлена из нетканого полипропиленового 4-х слойного материала технологии </w:t>
            </w:r>
          </w:p>
        </w:tc>
        <w:tc>
          <w:tcPr>
            <w:tcW w:w="439"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спанбонд-мельтблаун-мельтблаун-спанбонд (или эквивалент)</w:t>
            </w:r>
          </w:p>
        </w:tc>
        <w:tc>
          <w:tcPr>
            <w:tcW w:w="308"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технологии спанбонд-мельтблаун-мельтблаун-спанбонд (или эквивалент)  - обладает водоотталкивающими свойствами, воздухопроницаемостью и пониженным ворсоотделением</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Плотность материала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≥42</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Обусловлена полной влагонепроницаемостью, хорошей влаговпитываемостью, отсутствием ворсоотделения, отсутствием статики, низким коэффициентом упругости (очень хорошей драпируемостью).</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мягкий, легкий, не раздражает кожных покровов</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Упаковка обладает высокими барьерными свойствами. На упаковке нанесена информация, содержащая артикул производителя и номер партии, срок годности, данные о производителе</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сохранения чистоты, а также для защиты от внешних повреждений при хранении и транспортировки,  информация на упаковке, - необходима  для идентификации медицинского изделия.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Количество в упаковке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5</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Характеристика, необходимая для эффективной подготовки к процедуре  и для логистики внутри учреждения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2464"/>
        </w:trPr>
        <w:tc>
          <w:tcPr>
            <w:tcW w:w="132" w:type="pct"/>
            <w:vMerge w:val="restart"/>
            <w:tcBorders>
              <w:top w:val="nil"/>
              <w:left w:val="single" w:sz="8" w:space="0" w:color="auto"/>
              <w:bottom w:val="nil"/>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2</w:t>
            </w:r>
          </w:p>
        </w:tc>
        <w:tc>
          <w:tcPr>
            <w:tcW w:w="443" w:type="pct"/>
            <w:vMerge w:val="restart"/>
            <w:tcBorders>
              <w:top w:val="nil"/>
              <w:left w:val="single" w:sz="8" w:space="0" w:color="auto"/>
              <w:bottom w:val="nil"/>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белья для осмотра/хирургических процедур, нестерильный, одноразового использования</w:t>
            </w:r>
          </w:p>
        </w:tc>
        <w:tc>
          <w:tcPr>
            <w:tcW w:w="349" w:type="pct"/>
            <w:vMerge w:val="restart"/>
            <w:tcBorders>
              <w:top w:val="nil"/>
              <w:left w:val="single" w:sz="8" w:space="0" w:color="auto"/>
              <w:bottom w:val="nil"/>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14.12.30.190-00000019*</w:t>
            </w:r>
            <w:r w:rsidR="009F3A4C">
              <w:rPr>
                <w:rFonts w:ascii="Times New Roman" w:eastAsia="Times New Roman" w:hAnsi="Times New Roman" w:cs="Times New Roman"/>
                <w:color w:val="000000"/>
                <w:sz w:val="16"/>
                <w:szCs w:val="16"/>
                <w:lang w:eastAsia="ru-RU"/>
              </w:rPr>
              <w:t>*</w:t>
            </w: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одноразовый в составе:  простыня хирургическая общего назначения, одноразового использования, нестерильная</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val="restart"/>
            <w:tcBorders>
              <w:top w:val="nil"/>
              <w:left w:val="single" w:sz="8" w:space="0" w:color="auto"/>
              <w:bottom w:val="nil"/>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12 760</w:t>
            </w:r>
          </w:p>
        </w:tc>
        <w:tc>
          <w:tcPr>
            <w:tcW w:w="307" w:type="pct"/>
            <w:vMerge w:val="restart"/>
            <w:tcBorders>
              <w:top w:val="nil"/>
              <w:left w:val="single" w:sz="8" w:space="0" w:color="auto"/>
              <w:bottom w:val="nil"/>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штука</w:t>
            </w:r>
          </w:p>
        </w:tc>
        <w:tc>
          <w:tcPr>
            <w:tcW w:w="308" w:type="pct"/>
            <w:vMerge w:val="restart"/>
            <w:tcBorders>
              <w:top w:val="nil"/>
              <w:left w:val="single" w:sz="4" w:space="0" w:color="auto"/>
              <w:bottom w:val="nil"/>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val="restart"/>
            <w:tcBorders>
              <w:top w:val="nil"/>
              <w:left w:val="single" w:sz="4" w:space="0" w:color="auto"/>
              <w:bottom w:val="nil"/>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val="restart"/>
            <w:tcBorders>
              <w:top w:val="nil"/>
              <w:left w:val="single" w:sz="4" w:space="0" w:color="auto"/>
              <w:bottom w:val="nil"/>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val="restart"/>
            <w:tcBorders>
              <w:top w:val="nil"/>
              <w:left w:val="single" w:sz="4" w:space="0" w:color="auto"/>
              <w:bottom w:val="nil"/>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Размер простыни (ш х дл)</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80 х100</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 определенным видом операции и манипуляций.</w:t>
            </w:r>
          </w:p>
        </w:tc>
        <w:tc>
          <w:tcPr>
            <w:tcW w:w="35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Изготовлена из нетканого полипропиленового 4-х слойного материала технологии </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спанбонд-мельтблаун-мельтблаун-спанбонд (или эквивалент)</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технологии спанбонд-мельтблаун-мельтблаун-спанбонд (или эквивалент)  - обладает водоотталкивающими свойствами, воздухопроницаемостью и пониженным ворсоотделением</w:t>
            </w:r>
          </w:p>
        </w:tc>
        <w:tc>
          <w:tcPr>
            <w:tcW w:w="35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Плотность материала </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≥42</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nil"/>
              <w:left w:val="nil"/>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Обусловлена полной влагонепроницаемостью, хорошей влаговпитываемостью, отсутствием ворсоотделения, отсутствием статики, низким коэффициентом упругости (очень хорошей драпируемостью).</w:t>
            </w:r>
          </w:p>
        </w:tc>
        <w:tc>
          <w:tcPr>
            <w:tcW w:w="35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мягкий, легкий, не раздражает кожных покровов</w:t>
            </w:r>
          </w:p>
        </w:tc>
        <w:tc>
          <w:tcPr>
            <w:tcW w:w="439"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tcBorders>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Упаковка обладает высокими барьерными свойствами. На упаковке нанесена информация, содержащая артикул производителя и номер партии, срок годности, данные о производителе</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сохранения чистоты, а также для защиты от внешних повреждений при хранении и транспортировки,  информация на упаковке, - необходима  для идентификации медицинского изделия.</w:t>
            </w:r>
          </w:p>
        </w:tc>
        <w:tc>
          <w:tcPr>
            <w:tcW w:w="352" w:type="pct"/>
            <w:vMerge/>
            <w:tcBorders>
              <w:left w:val="single" w:sz="8" w:space="0" w:color="auto"/>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443" w:type="pct"/>
            <w:vMerge/>
            <w:tcBorders>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Количество в упаковке </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20</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w:t>
            </w: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Характеристика, необходимая для эффективной подготовки к процедуре  и для логистики внутри учреждения</w:t>
            </w:r>
          </w:p>
        </w:tc>
        <w:tc>
          <w:tcPr>
            <w:tcW w:w="352" w:type="pct"/>
            <w:vMerge/>
            <w:tcBorders>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8" w:space="0" w:color="auto"/>
              <w:bottom w:val="single" w:sz="8" w:space="0" w:color="000000"/>
              <w:right w:val="nil"/>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308" w:type="pct"/>
            <w:vMerge/>
            <w:tcBorders>
              <w:left w:val="single" w:sz="4" w:space="0" w:color="auto"/>
              <w:bottom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tcBorders>
              <w:left w:val="single" w:sz="4" w:space="0" w:color="auto"/>
              <w:bottom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20" w:type="pct"/>
            <w:vMerge/>
            <w:tcBorders>
              <w:left w:val="single" w:sz="4" w:space="0" w:color="auto"/>
              <w:bottom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noWrap/>
            <w:vAlign w:val="bottom"/>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p>
        </w:tc>
      </w:tr>
      <w:tr w:rsidR="007B694C" w:rsidRPr="008C3D79" w:rsidTr="007B694C">
        <w:trPr>
          <w:trHeight w:val="1843"/>
        </w:trPr>
        <w:tc>
          <w:tcPr>
            <w:tcW w:w="132"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3</w:t>
            </w:r>
          </w:p>
        </w:tc>
        <w:tc>
          <w:tcPr>
            <w:tcW w:w="443"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белья для осмотра/хирургических процедур, нестерильный, одноразового использования</w:t>
            </w:r>
          </w:p>
        </w:tc>
        <w:tc>
          <w:tcPr>
            <w:tcW w:w="349" w:type="pct"/>
            <w:vMerge w:val="restart"/>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14.12.30.190-00000019*</w:t>
            </w:r>
            <w:r w:rsidR="009F3A4C">
              <w:rPr>
                <w:rFonts w:ascii="Times New Roman" w:eastAsia="Times New Roman" w:hAnsi="Times New Roman" w:cs="Times New Roman"/>
                <w:color w:val="000000"/>
                <w:sz w:val="16"/>
                <w:szCs w:val="16"/>
                <w:lang w:eastAsia="ru-RU"/>
              </w:rPr>
              <w:t>*</w:t>
            </w: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одноразовый в составе: трусы нетканые (для колоноскопии)</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val="restart"/>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6 745</w:t>
            </w:r>
          </w:p>
        </w:tc>
        <w:tc>
          <w:tcPr>
            <w:tcW w:w="307" w:type="pct"/>
            <w:vMerge w:val="restart"/>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штука</w:t>
            </w:r>
          </w:p>
        </w:tc>
        <w:tc>
          <w:tcPr>
            <w:tcW w:w="308"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20"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51"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Изготовлена из нетканого полипропиленового 4-х слойного материала технологии </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спанбонд-мельтблаун-мельтблаун-спанбонд (или эквивалент)</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технологии спанбонд-мельтблаун-мельтблаун-спанбонд (или эквивалент)  - обладает водоотталкивающими свойствами, воздухопроницаемостью и пониженным ворсоотделением</w:t>
            </w:r>
          </w:p>
        </w:tc>
        <w:tc>
          <w:tcPr>
            <w:tcW w:w="352" w:type="pct"/>
            <w:vMerge/>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Плотность материала </w:t>
            </w:r>
          </w:p>
        </w:tc>
        <w:tc>
          <w:tcPr>
            <w:tcW w:w="439"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≥42</w:t>
            </w:r>
          </w:p>
        </w:tc>
        <w:tc>
          <w:tcPr>
            <w:tcW w:w="308"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single" w:sz="4" w:space="0" w:color="auto"/>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материала необходимая характеристика  для длительных медицинских манипуляций</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Материал мягкий, легкий, не раздражает кожных покровов.</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Длина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≥46</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Размер универсальный,   обусловлено потребностью ЛПУ</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Объем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120</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По линии талии пришита резинка.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быстроты и удобства использования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По шву сидения имеется отверстие размером 14±0,5</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проведения необходимых манипуляций.</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Упаковка обладает высокими барьерными свойствами. На этикетке, вложенной в упаковку нанесена информация, содержащая артикул производителя и номер партии, срок годности, данные о производителе.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сохранения чистоты, а также для защиты от внешних повреждений при хранении и транспортировки,  информация на упаковке, - необходима  для идентификации медицинского изделия.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Количество в упаковке </w:t>
            </w:r>
          </w:p>
        </w:tc>
        <w:tc>
          <w:tcPr>
            <w:tcW w:w="439"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10</w:t>
            </w:r>
          </w:p>
        </w:tc>
        <w:tc>
          <w:tcPr>
            <w:tcW w:w="308"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w:t>
            </w:r>
          </w:p>
        </w:tc>
        <w:tc>
          <w:tcPr>
            <w:tcW w:w="483"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Характеристика, необходимая для эффективной подготовки к процедуре  и для логистики внутри учреждения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1843"/>
        </w:trPr>
        <w:tc>
          <w:tcPr>
            <w:tcW w:w="132"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w:t>
            </w:r>
          </w:p>
        </w:tc>
        <w:tc>
          <w:tcPr>
            <w:tcW w:w="443" w:type="pct"/>
            <w:vMerge w:val="restart"/>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белья для осмотра/хирургических процедур, нестерильный, одноразового использования</w:t>
            </w:r>
          </w:p>
        </w:tc>
        <w:tc>
          <w:tcPr>
            <w:tcW w:w="349" w:type="pct"/>
            <w:vMerge w:val="restart"/>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14.12.30.190-00000019*</w:t>
            </w:r>
            <w:r w:rsidR="009F3A4C">
              <w:rPr>
                <w:rFonts w:ascii="Times New Roman" w:eastAsia="Times New Roman" w:hAnsi="Times New Roman" w:cs="Times New Roman"/>
                <w:color w:val="000000"/>
                <w:sz w:val="16"/>
                <w:szCs w:val="16"/>
                <w:lang w:eastAsia="ru-RU"/>
              </w:rPr>
              <w:t>*</w:t>
            </w: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одноразовый в составе: фартук  ламинированный</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val="restart"/>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14 020</w:t>
            </w:r>
          </w:p>
        </w:tc>
        <w:tc>
          <w:tcPr>
            <w:tcW w:w="307" w:type="pct"/>
            <w:vMerge w:val="restart"/>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штука</w:t>
            </w:r>
          </w:p>
        </w:tc>
        <w:tc>
          <w:tcPr>
            <w:tcW w:w="308"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20"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c>
          <w:tcPr>
            <w:tcW w:w="251" w:type="pct"/>
            <w:vMerge w:val="restart"/>
            <w:tcBorders>
              <w:top w:val="nil"/>
              <w:left w:val="single" w:sz="4" w:space="0" w:color="auto"/>
              <w:bottom w:val="single" w:sz="4" w:space="0" w:color="auto"/>
              <w:right w:val="single" w:sz="4" w:space="0" w:color="auto"/>
            </w:tcBorders>
            <w:noWrap/>
            <w:vAlign w:val="bottom"/>
            <w:hideMark/>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Изготовлен из 2-х слойного влагонепроницаемого материала  плотностью  </w:t>
            </w:r>
          </w:p>
        </w:tc>
        <w:tc>
          <w:tcPr>
            <w:tcW w:w="439"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≥45</w:t>
            </w:r>
          </w:p>
        </w:tc>
        <w:tc>
          <w:tcPr>
            <w:tcW w:w="308"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материала необходимая характеристика  для длительных медицинских манипуляций</w:t>
            </w:r>
          </w:p>
        </w:tc>
        <w:tc>
          <w:tcPr>
            <w:tcW w:w="352" w:type="pct"/>
            <w:vMerge/>
            <w:tcBorders>
              <w:top w:val="nil"/>
              <w:left w:val="single" w:sz="4"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первого  слоя– влагоотталкивающего спанбонда</w:t>
            </w:r>
          </w:p>
        </w:tc>
        <w:tc>
          <w:tcPr>
            <w:tcW w:w="439"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20</w:t>
            </w:r>
          </w:p>
        </w:tc>
        <w:tc>
          <w:tcPr>
            <w:tcW w:w="308"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top w:val="single" w:sz="4" w:space="0" w:color="auto"/>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второго слоя – полиэтиленовой  плёнки, препятствующей проникновению жидких сред и бактерий</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≥25</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Длина фартука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≥140</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nil"/>
              <w:left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Размер универсальный,   обусловлено потребностью ЛПУ</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Ширина фартука </w:t>
            </w:r>
          </w:p>
        </w:tc>
        <w:tc>
          <w:tcPr>
            <w:tcW w:w="439"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≥75</w:t>
            </w:r>
          </w:p>
        </w:tc>
        <w:tc>
          <w:tcPr>
            <w:tcW w:w="308"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nil"/>
              <w:left w:val="nil"/>
              <w:bottom w:val="single" w:sz="8" w:space="0" w:color="auto"/>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left w:val="single" w:sz="8" w:space="0" w:color="auto"/>
              <w:bottom w:val="single" w:sz="8" w:space="0" w:color="000000"/>
              <w:right w:val="single" w:sz="8"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7B694C" w:rsidP="00E85B6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Фартук с </w:t>
            </w:r>
            <w:r w:rsidR="008C3D79" w:rsidRPr="008C3D79">
              <w:rPr>
                <w:rFonts w:ascii="Times New Roman" w:eastAsia="Times New Roman" w:hAnsi="Times New Roman" w:cs="Times New Roman"/>
                <w:color w:val="000000"/>
                <w:sz w:val="16"/>
                <w:szCs w:val="16"/>
                <w:lang w:eastAsia="ru-RU"/>
              </w:rPr>
              <w:t>широким цельнокроенны</w:t>
            </w:r>
            <w:r w:rsidR="009F3A4C">
              <w:rPr>
                <w:rFonts w:ascii="Times New Roman" w:eastAsia="Times New Roman" w:hAnsi="Times New Roman" w:cs="Times New Roman"/>
                <w:color w:val="000000"/>
                <w:sz w:val="16"/>
                <w:szCs w:val="16"/>
                <w:lang w:eastAsia="ru-RU"/>
              </w:rPr>
              <w:t xml:space="preserve">м отверстием горловины, лямками и завязками </w:t>
            </w:r>
            <w:r w:rsidR="008C3D79" w:rsidRPr="008C3D79">
              <w:rPr>
                <w:rFonts w:ascii="Times New Roman" w:eastAsia="Times New Roman" w:hAnsi="Times New Roman" w:cs="Times New Roman"/>
                <w:color w:val="000000"/>
                <w:sz w:val="16"/>
                <w:szCs w:val="16"/>
                <w:lang w:eastAsia="ru-RU"/>
              </w:rPr>
              <w:t xml:space="preserve">в области талии.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Упаковка обладает высокими барьерными свойствами. На этикетке, вложенной в упаковку нанесена информация, содержащая артикул производителя и номер партии, срок годности, данные о производителе. </w:t>
            </w:r>
          </w:p>
        </w:tc>
        <w:tc>
          <w:tcPr>
            <w:tcW w:w="439"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сохранения чистоты, а также для защиты от внешних повреждений при хранении и транспортировки,  информация на упаковке, - необходима  для идентификации медицинского изделия.</w:t>
            </w:r>
          </w:p>
        </w:tc>
        <w:tc>
          <w:tcPr>
            <w:tcW w:w="352" w:type="pct"/>
            <w:vMerge/>
            <w:tcBorders>
              <w:top w:val="nil"/>
              <w:left w:val="single" w:sz="8" w:space="0" w:color="auto"/>
              <w:bottom w:val="single" w:sz="8" w:space="0" w:color="000000"/>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top w:val="nil"/>
              <w:left w:val="single" w:sz="8" w:space="0" w:color="auto"/>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top w:val="nil"/>
              <w:left w:val="single" w:sz="8" w:space="0" w:color="auto"/>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nil"/>
              <w:left w:val="nil"/>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Количество в упаковке </w:t>
            </w:r>
          </w:p>
        </w:tc>
        <w:tc>
          <w:tcPr>
            <w:tcW w:w="439"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10</w:t>
            </w:r>
          </w:p>
        </w:tc>
        <w:tc>
          <w:tcPr>
            <w:tcW w:w="308"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w:t>
            </w:r>
          </w:p>
        </w:tc>
        <w:tc>
          <w:tcPr>
            <w:tcW w:w="483"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4" w:space="0" w:color="auto"/>
              <w:right w:val="single" w:sz="8" w:space="0" w:color="auto"/>
            </w:tcBorders>
            <w:vAlign w:val="center"/>
            <w:hideMark/>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Обеспечивает равномерное впитывание биологической жидкости по всему изделию.</w:t>
            </w:r>
          </w:p>
        </w:tc>
        <w:tc>
          <w:tcPr>
            <w:tcW w:w="352" w:type="pct"/>
            <w:vMerge/>
            <w:tcBorders>
              <w:top w:val="nil"/>
              <w:left w:val="single" w:sz="8" w:space="0" w:color="auto"/>
              <w:bottom w:val="single" w:sz="4" w:space="0" w:color="auto"/>
              <w:right w:val="single" w:sz="8"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4" w:space="0" w:color="auto"/>
              <w:right w:val="nil"/>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1863"/>
        </w:trPr>
        <w:tc>
          <w:tcPr>
            <w:tcW w:w="132"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5</w:t>
            </w:r>
          </w:p>
        </w:tc>
        <w:tc>
          <w:tcPr>
            <w:tcW w:w="443"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белья для осмотра/хирургических процедур, нестерильный, одноразового использования</w:t>
            </w:r>
          </w:p>
        </w:tc>
        <w:tc>
          <w:tcPr>
            <w:tcW w:w="349"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14.12.30.190-00000019*</w:t>
            </w:r>
            <w:r w:rsidR="009F3A4C">
              <w:rPr>
                <w:rFonts w:ascii="Times New Roman" w:eastAsia="Times New Roman" w:hAnsi="Times New Roman" w:cs="Times New Roman"/>
                <w:color w:val="000000"/>
                <w:sz w:val="16"/>
                <w:szCs w:val="16"/>
                <w:lang w:eastAsia="ru-RU"/>
              </w:rPr>
              <w:t>*</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w:t>
            </w:r>
          </w:p>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Набор одноразовый в составе: фартук  ламинированный</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6000</w:t>
            </w:r>
          </w:p>
        </w:tc>
        <w:tc>
          <w:tcPr>
            <w:tcW w:w="307"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штука</w:t>
            </w:r>
          </w:p>
        </w:tc>
        <w:tc>
          <w:tcPr>
            <w:tcW w:w="308"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val="restart"/>
            <w:tcBorders>
              <w:top w:val="single" w:sz="4" w:space="0" w:color="auto"/>
              <w:left w:val="single" w:sz="4" w:space="0" w:color="auto"/>
              <w:bottom w:val="nil"/>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Изготовлен из 2-х слойного влагонепроницаемого материала  плотностью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≥45</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val="restart"/>
            <w:tcBorders>
              <w:top w:val="single" w:sz="4" w:space="0" w:color="auto"/>
              <w:left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материала необходимая характеристика  для длительных медицинских манипуляций</w:t>
            </w: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первого  слоя– влагоотталкивающего спанбонда</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20</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left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Плотность второго слоя – полиэтиленовой  плёнки, препятствующей проникновению жидких сред и бактерий</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≥25</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г/м²</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Длина фартука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≥125</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single" w:sz="4" w:space="0" w:color="auto"/>
              <w:left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Размер универсальный,   обусловлено потребностью ЛПУ</w:t>
            </w: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Ширина фартука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≥75</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сантиметр</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7B694C" w:rsidP="00E85B6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Фартук с</w:t>
            </w:r>
            <w:r w:rsidR="008C3D79" w:rsidRPr="008C3D79">
              <w:rPr>
                <w:rFonts w:ascii="Times New Roman" w:eastAsia="Times New Roman" w:hAnsi="Times New Roman" w:cs="Times New Roman"/>
                <w:color w:val="000000"/>
                <w:sz w:val="16"/>
                <w:szCs w:val="16"/>
                <w:lang w:eastAsia="ru-RU"/>
              </w:rPr>
              <w:t xml:space="preserve"> широким цельнокроенны</w:t>
            </w:r>
            <w:r>
              <w:rPr>
                <w:rFonts w:ascii="Times New Roman" w:eastAsia="Times New Roman" w:hAnsi="Times New Roman" w:cs="Times New Roman"/>
                <w:color w:val="000000"/>
                <w:sz w:val="16"/>
                <w:szCs w:val="16"/>
                <w:lang w:eastAsia="ru-RU"/>
              </w:rPr>
              <w:t>м отверстием горловины, лямками</w:t>
            </w:r>
            <w:r w:rsidR="009F3A4C">
              <w:rPr>
                <w:rFonts w:ascii="Times New Roman" w:eastAsia="Times New Roman" w:hAnsi="Times New Roman" w:cs="Times New Roman"/>
                <w:color w:val="000000"/>
                <w:sz w:val="16"/>
                <w:szCs w:val="16"/>
                <w:lang w:eastAsia="ru-RU"/>
              </w:rPr>
              <w:t xml:space="preserve"> и завязками</w:t>
            </w:r>
            <w:r w:rsidR="008C3D79" w:rsidRPr="008C3D79">
              <w:rPr>
                <w:rFonts w:ascii="Times New Roman" w:eastAsia="Times New Roman" w:hAnsi="Times New Roman" w:cs="Times New Roman"/>
                <w:color w:val="000000"/>
                <w:sz w:val="16"/>
                <w:szCs w:val="16"/>
                <w:lang w:eastAsia="ru-RU"/>
              </w:rPr>
              <w:t xml:space="preserve"> в области талии.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Обусловлено потребностью ЛПУ</w:t>
            </w: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Упаковка обладает высокими барьерными свойствами. На этикетке, вложенной в упаковку нанесена информация, содержащая артикул производителя и номер партии, срок годности, данные о производителе.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Соответствие</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Для сохранения чистоты, а также для защиты от внешних повреждений при хранении и транспортировки,  информация на упаковке, - необходима  для идентификации медицинского изделия.</w:t>
            </w:r>
          </w:p>
        </w:tc>
        <w:tc>
          <w:tcPr>
            <w:tcW w:w="352"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r w:rsidR="007B694C" w:rsidRPr="008C3D79" w:rsidTr="007B694C">
        <w:trPr>
          <w:trHeight w:val="300"/>
        </w:trPr>
        <w:tc>
          <w:tcPr>
            <w:tcW w:w="132"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43"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49"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xml:space="preserve">Количество в упаковке </w:t>
            </w:r>
          </w:p>
        </w:tc>
        <w:tc>
          <w:tcPr>
            <w:tcW w:w="439"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 10</w:t>
            </w:r>
          </w:p>
        </w:tc>
        <w:tc>
          <w:tcPr>
            <w:tcW w:w="308"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штук.</w:t>
            </w:r>
          </w:p>
        </w:tc>
        <w:tc>
          <w:tcPr>
            <w:tcW w:w="483"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auto"/>
              <w:left w:val="single" w:sz="4" w:space="0" w:color="auto"/>
              <w:bottom w:val="single" w:sz="4" w:space="0" w:color="auto"/>
              <w:right w:val="single" w:sz="4" w:space="0" w:color="auto"/>
            </w:tcBorders>
            <w:vAlign w:val="center"/>
          </w:tcPr>
          <w:p w:rsidR="008C3D79" w:rsidRPr="008C3D79" w:rsidRDefault="008C3D79" w:rsidP="007B694C">
            <w:pPr>
              <w:spacing w:after="0" w:line="240" w:lineRule="auto"/>
              <w:jc w:val="center"/>
              <w:rPr>
                <w:rFonts w:ascii="Times New Roman" w:eastAsia="Times New Roman" w:hAnsi="Times New Roman" w:cs="Times New Roman"/>
                <w:color w:val="000000"/>
                <w:sz w:val="16"/>
                <w:szCs w:val="16"/>
                <w:lang w:eastAsia="ru-RU"/>
              </w:rPr>
            </w:pPr>
            <w:r w:rsidRPr="008C3D79">
              <w:rPr>
                <w:rFonts w:ascii="Times New Roman" w:eastAsia="Times New Roman" w:hAnsi="Times New Roman" w:cs="Times New Roman"/>
                <w:color w:val="000000"/>
                <w:sz w:val="16"/>
                <w:szCs w:val="16"/>
                <w:lang w:eastAsia="ru-RU"/>
              </w:rPr>
              <w:t>Обеспечивает равномерное впитывание биологической жидкости по всему изделию.</w:t>
            </w:r>
          </w:p>
        </w:tc>
        <w:tc>
          <w:tcPr>
            <w:tcW w:w="352"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308"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20"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vAlign w:val="center"/>
          </w:tcPr>
          <w:p w:rsidR="008C3D79" w:rsidRPr="008C3D79" w:rsidRDefault="008C3D79" w:rsidP="00E85B63">
            <w:pPr>
              <w:spacing w:after="0" w:line="240" w:lineRule="auto"/>
              <w:rPr>
                <w:rFonts w:ascii="Times New Roman" w:eastAsia="Times New Roman" w:hAnsi="Times New Roman" w:cs="Times New Roman"/>
                <w:color w:val="000000"/>
                <w:sz w:val="16"/>
                <w:szCs w:val="16"/>
                <w:lang w:eastAsia="ru-RU"/>
              </w:rPr>
            </w:pPr>
          </w:p>
        </w:tc>
      </w:tr>
    </w:tbl>
    <w:p w:rsidR="008C3D79" w:rsidRDefault="008C3D79" w:rsidP="008C3D79">
      <w:pPr>
        <w:rPr>
          <w:rFonts w:ascii="Times New Roman" w:hAnsi="Times New Roman" w:cs="Times New Roman"/>
          <w:b/>
          <w:sz w:val="20"/>
          <w:szCs w:val="20"/>
        </w:rPr>
      </w:pPr>
    </w:p>
    <w:p w:rsidR="008C3D79" w:rsidRPr="008C3D79" w:rsidRDefault="009F3A4C" w:rsidP="008C3D79">
      <w:pPr>
        <w:rPr>
          <w:rFonts w:ascii="Times New Roman" w:hAnsi="Times New Roman" w:cs="Times New Roman"/>
          <w:b/>
          <w:i/>
        </w:rPr>
      </w:pPr>
      <w:r>
        <w:rPr>
          <w:rFonts w:ascii="Times New Roman" w:hAnsi="Times New Roman" w:cs="Times New Roman"/>
          <w:b/>
          <w:i/>
        </w:rPr>
        <w:t>*</w:t>
      </w:r>
      <w:r w:rsidR="008C3D79" w:rsidRPr="008C3D79">
        <w:rPr>
          <w:rFonts w:ascii="Times New Roman" w:hAnsi="Times New Roman" w:cs="Times New Roman"/>
          <w:b/>
          <w:i/>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p w:rsidR="008C3D79" w:rsidRPr="008C3D79" w:rsidRDefault="008C3D79" w:rsidP="008C3D79">
      <w:pPr>
        <w:rPr>
          <w:rFonts w:ascii="Times New Roman" w:hAnsi="Times New Roman" w:cs="Times New Roman"/>
          <w:b/>
          <w:i/>
        </w:rPr>
      </w:pPr>
    </w:p>
    <w:p w:rsidR="008C3D79" w:rsidRPr="000437D6" w:rsidRDefault="008C3D79"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8C3D79">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97" w:rsidRDefault="00C42197">
      <w:pPr>
        <w:spacing w:after="0" w:line="240" w:lineRule="auto"/>
      </w:pPr>
      <w:r>
        <w:separator/>
      </w:r>
    </w:p>
  </w:endnote>
  <w:endnote w:type="continuationSeparator" w:id="0">
    <w:p w:rsidR="00C42197" w:rsidRDefault="00C4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5211" w:rsidRDefault="00FD521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D521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D521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D521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D521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3A4C">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D521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3A4C">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97" w:rsidRDefault="00C42197">
      <w:pPr>
        <w:spacing w:after="0" w:line="240" w:lineRule="auto"/>
      </w:pPr>
      <w:r>
        <w:separator/>
      </w:r>
    </w:p>
  </w:footnote>
  <w:footnote w:type="continuationSeparator" w:id="0">
    <w:p w:rsidR="00C42197" w:rsidRDefault="00C4219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5211" w:rsidRDefault="00FD521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5211" w:rsidRDefault="00FD521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D5211" w:rsidRDefault="00FD521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736"/>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B694C"/>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3D79"/>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9F3A4C"/>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42197"/>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D521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8A6E-19EF-468D-8B9C-FA7CE4AF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2025-02-18T05:53:00Z</dcterms:created>
  <dcterms:modified xsi:type="dcterms:W3CDTF">2025-02-18T05:53:00Z</dcterms:modified>
</cp:coreProperties>
</file>