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6C269971" w14:textId="77777777" w:rsidR="00E768F9" w:rsidRDefault="00603DF0" w:rsidP="007837E5">
      <w:pPr>
        <w:spacing w:after="0" w:line="240" w:lineRule="auto"/>
        <w:ind w:left="-993"/>
        <w:jc w:val="center"/>
      </w:pPr>
      <w:bookmarkStart w:id="0" w:name="УдалитьВТЗ"/>
      <w:r>
        <w:rPr>
          <w:noProof/>
          <w:lang w:eastAsia="ru-RU"/>
        </w:rPr>
        <w:drawing>
          <wp:inline distT="0" distB="0" distL="0" distR="0" wp14:anchorId="65075A1F" wp14:editId="661934B2">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14:paraId="1FD98621" w14:textId="77777777"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14:paraId="24A0B82D" w14:textId="77777777" w:rsidTr="00F01074">
        <w:tc>
          <w:tcPr>
            <w:tcW w:w="10740" w:type="dxa"/>
            <w:tcBorders>
              <w:bottom w:val="single" w:sz="4" w:space="0" w:color="auto"/>
            </w:tcBorders>
            <w:shd w:val="clear" w:color="auto" w:fill="FFFFFF" w:themeFill="background1"/>
            <w:vAlign w:val="bottom"/>
          </w:tcPr>
          <w:p w14:paraId="76FB600D" w14:textId="77777777"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17.01.2025 № 21.1-03/49</w:t>
            </w:r>
            <w:r w:rsidRPr="00E271DF">
              <w:rPr>
                <w:rFonts w:ascii="Times New Roman" w:hAnsi="Times New Roman" w:cs="Times New Roman"/>
                <w:b/>
                <w:sz w:val="24"/>
                <w:szCs w:val="24"/>
              </w:rPr>
              <w:fldChar w:fldCharType="end"/>
            </w:r>
            <w:bookmarkEnd w:id="1"/>
          </w:p>
        </w:tc>
      </w:tr>
      <w:tr w:rsidR="00482743" w:rsidRPr="00EF5DC5" w14:paraId="0B7A36BC" w14:textId="77777777" w:rsidTr="00F01074">
        <w:trPr>
          <w:trHeight w:val="312"/>
        </w:trPr>
        <w:tc>
          <w:tcPr>
            <w:tcW w:w="10740" w:type="dxa"/>
            <w:tcBorders>
              <w:top w:val="single" w:sz="4" w:space="0" w:color="auto"/>
            </w:tcBorders>
            <w:shd w:val="clear" w:color="auto" w:fill="auto"/>
            <w:hideMark/>
          </w:tcPr>
          <w:p w14:paraId="44C66E17" w14:textId="77777777"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14:paraId="5CD419CB" w14:textId="77777777" w:rsidTr="00F01074">
        <w:trPr>
          <w:trHeight w:val="507"/>
        </w:trPr>
        <w:tc>
          <w:tcPr>
            <w:tcW w:w="10740" w:type="dxa"/>
            <w:shd w:val="clear" w:color="auto" w:fill="auto"/>
            <w:hideMark/>
          </w:tcPr>
          <w:p w14:paraId="6A927D9F" w14:textId="77777777"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14:paraId="10EA26DD" w14:textId="77777777"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14:paraId="01E1A78F" w14:textId="77777777"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14:paraId="47792892" w14:textId="77777777" w:rsidTr="00F01074">
              <w:trPr>
                <w:trHeight w:val="337"/>
              </w:trPr>
              <w:tc>
                <w:tcPr>
                  <w:tcW w:w="5138" w:type="dxa"/>
                  <w:tcBorders>
                    <w:top w:val="nil"/>
                    <w:left w:val="nil"/>
                    <w:bottom w:val="nil"/>
                    <w:right w:val="nil"/>
                  </w:tcBorders>
                </w:tcPr>
                <w:p w14:paraId="48E5C010" w14:textId="77777777"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14:paraId="3105F89D" w14:textId="77777777"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14:paraId="4D1F5E80" w14:textId="77777777"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10.02.2025</w:t>
                  </w:r>
                  <w:r w:rsidRPr="00A70444">
                    <w:rPr>
                      <w:rFonts w:ascii="Times New Roman" w:hAnsi="Times New Roman" w:cs="Times New Roman"/>
                      <w:b/>
                      <w:sz w:val="24"/>
                      <w:szCs w:val="24"/>
                      <w:u w:val="single"/>
                    </w:rPr>
                    <w:fldChar w:fldCharType="end"/>
                  </w:r>
                  <w:bookmarkEnd w:id="2"/>
                  <w:r w:rsidR="005948C3">
                    <w:rPr>
                      <w:rFonts w:ascii="Times New Roman" w:hAnsi="Times New Roman" w:cs="Times New Roman"/>
                      <w:b/>
                      <w:sz w:val="24"/>
                      <w:szCs w:val="24"/>
                      <w:u w:val="single"/>
                    </w:rPr>
                    <w:t xml:space="preserve"> </w:t>
                  </w:r>
                </w:p>
              </w:tc>
            </w:tr>
          </w:tbl>
          <w:p w14:paraId="0E163B3D" w14:textId="77777777" w:rsidR="00482743" w:rsidRDefault="00482743" w:rsidP="00637F5D">
            <w:pPr>
              <w:spacing w:after="0"/>
              <w:rPr>
                <w:rFonts w:ascii="Times New Roman" w:hAnsi="Times New Roman" w:cs="Times New Roman"/>
                <w:sz w:val="24"/>
                <w:szCs w:val="24"/>
              </w:rPr>
            </w:pPr>
          </w:p>
          <w:p w14:paraId="05EB509B"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14:paraId="2F7FFBB0"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14:paraId="5BE75D50"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14:paraId="55F39FC0"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14:paraId="7E4472D8"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14:paraId="22F6D077"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14:paraId="71A832C7" w14:textId="77777777"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14:paraId="5CB0FC6B" w14:textId="77777777"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14:paraId="0CD08617"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14:paraId="36B4E571"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14:paraId="54D2E5A9"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14:paraId="39C1546B"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14:paraId="48D06669" w14:textId="77777777"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14:paraId="7DF5A64E" w14:textId="77777777"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14:paraId="53F9E835" w14:textId="77777777"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14:paraId="354E2C6B" w14:textId="77777777"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14:paraId="130AE5AE" w14:textId="77777777" w:rsidR="00DC11FC" w:rsidRPr="00DA2F66" w:rsidRDefault="00DC11FC" w:rsidP="00D36642">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14:paraId="241A11C4" w14:textId="77777777" w:rsidR="00DC11FC" w:rsidRDefault="00DC11FC" w:rsidP="00180633">
            <w:pPr>
              <w:pStyle w:val="a7"/>
              <w:spacing w:after="0" w:line="240" w:lineRule="auto"/>
              <w:ind w:left="0" w:firstLine="567"/>
              <w:jc w:val="both"/>
              <w:rPr>
                <w:rFonts w:ascii="Times New Roman" w:hAnsi="Times New Roman" w:cs="Times New Roman"/>
              </w:rPr>
            </w:pPr>
          </w:p>
          <w:p w14:paraId="17283F9B" w14:textId="77777777" w:rsidR="00DC11FC" w:rsidRDefault="00DC11FC" w:rsidP="00180633">
            <w:pPr>
              <w:pStyle w:val="a7"/>
              <w:spacing w:after="0" w:line="240" w:lineRule="auto"/>
              <w:ind w:left="0" w:firstLine="567"/>
              <w:jc w:val="both"/>
              <w:rPr>
                <w:rFonts w:ascii="Times New Roman" w:hAnsi="Times New Roman" w:cs="Times New Roman"/>
              </w:rPr>
            </w:pPr>
          </w:p>
          <w:p w14:paraId="7E1CE802" w14:textId="77777777" w:rsidR="00DC11FC" w:rsidRPr="00DC11FC" w:rsidRDefault="00DC11FC" w:rsidP="00180633">
            <w:pPr>
              <w:pStyle w:val="a7"/>
              <w:spacing w:after="0" w:line="240" w:lineRule="auto"/>
              <w:ind w:left="0" w:firstLine="567"/>
              <w:jc w:val="both"/>
              <w:rPr>
                <w:rFonts w:ascii="Times New Roman" w:hAnsi="Times New Roman" w:cs="Times New Roman"/>
              </w:rPr>
            </w:pPr>
          </w:p>
          <w:p w14:paraId="35FD989A" w14:textId="77777777"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14:paraId="0A406E30" w14:textId="77777777" w:rsidTr="00F01074">
        <w:trPr>
          <w:trHeight w:val="507"/>
        </w:trPr>
        <w:tc>
          <w:tcPr>
            <w:tcW w:w="10740" w:type="dxa"/>
            <w:shd w:val="clear" w:color="auto" w:fill="auto"/>
          </w:tcPr>
          <w:p w14:paraId="4FEE7662" w14:textId="77777777" w:rsidR="00637F5D" w:rsidRPr="00450429" w:rsidRDefault="00637F5D" w:rsidP="00637F5D">
            <w:pPr>
              <w:spacing w:after="0"/>
              <w:jc w:val="center"/>
              <w:rPr>
                <w:rFonts w:ascii="Times New Roman" w:hAnsi="Times New Roman" w:cs="Times New Roman"/>
                <w:b/>
                <w:caps/>
                <w:sz w:val="28"/>
              </w:rPr>
            </w:pPr>
          </w:p>
        </w:tc>
      </w:tr>
    </w:tbl>
    <w:p w14:paraId="64CFE015" w14:textId="77777777" w:rsidR="001B53BC" w:rsidRPr="00DA2F66" w:rsidRDefault="001B53BC" w:rsidP="00DA2F66">
      <w:pPr>
        <w:rPr>
          <w:rFonts w:ascii="Times New Roman" w:hAnsi="Times New Roman" w:cs="Times New Roman"/>
        </w:rPr>
        <w:sectPr w:rsidR="001B53BC" w:rsidRPr="00DA2F66" w:rsidSect="009526D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14:paraId="1AB43A33" w14:textId="77777777" w:rsidTr="00C14573">
        <w:tc>
          <w:tcPr>
            <w:tcW w:w="0" w:type="auto"/>
          </w:tcPr>
          <w:p w14:paraId="15D46BC2"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14:paraId="1136BB0F"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14:paraId="7BB2F028" w14:textId="77777777"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3"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дозиметра рентгеновского и гамма излучения</w:t>
            </w:r>
            <w:r w:rsidRPr="003D1995">
              <w:rPr>
                <w:rFonts w:ascii="Times New Roman" w:hAnsi="Times New Roman" w:cs="Times New Roman"/>
                <w:b/>
                <w:sz w:val="24"/>
                <w:szCs w:val="24"/>
              </w:rPr>
              <w:fldChar w:fldCharType="end"/>
            </w:r>
            <w:bookmarkEnd w:id="3"/>
          </w:p>
        </w:tc>
      </w:tr>
      <w:tr w:rsidR="00C14573" w:rsidRPr="008252D7" w14:paraId="37DCD1A4" w14:textId="77777777" w:rsidTr="00C14573">
        <w:tc>
          <w:tcPr>
            <w:tcW w:w="0" w:type="auto"/>
          </w:tcPr>
          <w:p w14:paraId="0F29802F"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14:paraId="462753C1"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14:paraId="6DC4F44B"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p>
        </w:tc>
      </w:tr>
      <w:tr w:rsidR="00C14573" w:rsidRPr="008252D7" w14:paraId="53AC1FBA" w14:textId="77777777" w:rsidTr="00C14573">
        <w:tc>
          <w:tcPr>
            <w:tcW w:w="0" w:type="auto"/>
          </w:tcPr>
          <w:p w14:paraId="2D6345BD"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14:paraId="5477303C"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14:paraId="7B82600F" w14:textId="77777777"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p>
        </w:tc>
      </w:tr>
      <w:tr w:rsidR="00C14573" w:rsidRPr="008252D7" w14:paraId="27972E69" w14:textId="77777777" w:rsidTr="00C14573">
        <w:tc>
          <w:tcPr>
            <w:tcW w:w="0" w:type="auto"/>
          </w:tcPr>
          <w:p w14:paraId="0D49FB37"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14:paraId="6A371BE2" w14:textId="77777777"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14:paraId="5F35A210"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6"/>
          </w:p>
        </w:tc>
      </w:tr>
      <w:tr w:rsidR="00C14573" w:rsidRPr="008252D7" w14:paraId="1A7139FE" w14:textId="77777777" w:rsidTr="00D9602E">
        <w:tc>
          <w:tcPr>
            <w:tcW w:w="0" w:type="auto"/>
          </w:tcPr>
          <w:p w14:paraId="6DDC2984"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14:paraId="32318FB6"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shd w:val="clear" w:color="auto" w:fill="A6A6A6" w:themeFill="background1" w:themeFillShade="A6"/>
          </w:tcPr>
          <w:p w14:paraId="3262FC2E" w14:textId="77777777" w:rsidR="00C14573" w:rsidRDefault="00D9602E" w:rsidP="005F1058">
            <w:pPr>
              <w:ind w:right="-1"/>
              <w:jc w:val="both"/>
              <w:rPr>
                <w:rFonts w:ascii="Times New Roman" w:hAnsi="Times New Roman" w:cs="Times New Roman"/>
                <w:noProof/>
                <w:sz w:val="24"/>
                <w:szCs w:val="24"/>
              </w:rPr>
            </w:pPr>
            <w:r w:rsidRPr="00D9602E">
              <w:rPr>
                <w:rFonts w:ascii="Times New Roman" w:hAnsi="Times New Roman" w:cs="Times New Roman"/>
                <w:noProof/>
                <w:sz w:val="24"/>
                <w:szCs w:val="24"/>
              </w:rPr>
              <w:t>В течение 90 календарных дней с момента получения заявки от Покупателя</w:t>
            </w:r>
          </w:p>
        </w:tc>
      </w:tr>
      <w:tr w:rsidR="00C14573" w:rsidRPr="008252D7" w14:paraId="6316FA43" w14:textId="77777777" w:rsidTr="00C14573">
        <w:tc>
          <w:tcPr>
            <w:tcW w:w="0" w:type="auto"/>
          </w:tcPr>
          <w:p w14:paraId="04CA917B"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14:paraId="6A3BC4BE"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14:paraId="11F79B8C"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7"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7"/>
          </w:p>
        </w:tc>
      </w:tr>
      <w:tr w:rsidR="00C14573" w:rsidRPr="008252D7" w14:paraId="1C043DC8" w14:textId="77777777" w:rsidTr="00C14573">
        <w:tc>
          <w:tcPr>
            <w:tcW w:w="0" w:type="auto"/>
          </w:tcPr>
          <w:p w14:paraId="038BC338"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14:paraId="23CCFDE2"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14:paraId="0A3485F8"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8"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w:t>
            </w:r>
            <w:r w:rsidRPr="00C15FD9">
              <w:rPr>
                <w:rFonts w:ascii="Times New Roman" w:hAnsi="Times New Roman" w:cs="Times New Roman"/>
                <w:noProof/>
                <w:sz w:val="24"/>
                <w:szCs w:val="24"/>
              </w:rPr>
              <w:fldChar w:fldCharType="end"/>
            </w:r>
            <w:bookmarkEnd w:id="8"/>
          </w:p>
        </w:tc>
      </w:tr>
      <w:tr w:rsidR="00C14573" w:rsidRPr="008252D7" w14:paraId="3B45D9E0" w14:textId="77777777" w:rsidTr="00C14573">
        <w:tc>
          <w:tcPr>
            <w:tcW w:w="0" w:type="auto"/>
          </w:tcPr>
          <w:p w14:paraId="69C2EE75"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14:paraId="7642DF4F" w14:textId="77777777"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14:paraId="7E7DCD9C"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9"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9"/>
          </w:p>
        </w:tc>
      </w:tr>
      <w:tr w:rsidR="00C14573" w:rsidRPr="008252D7" w14:paraId="4E50B5C7" w14:textId="77777777" w:rsidTr="00C14573">
        <w:tc>
          <w:tcPr>
            <w:tcW w:w="0" w:type="auto"/>
          </w:tcPr>
          <w:p w14:paraId="01C43820" w14:textId="77777777"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14:paraId="5FA9DD9E" w14:textId="77777777"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14:paraId="12A7E6DF" w14:textId="77777777"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0"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размещения в ЕИС подписанного Покупателем УПД</w:t>
            </w:r>
            <w:r w:rsidRPr="00C15FD9">
              <w:rPr>
                <w:rFonts w:ascii="Times New Roman" w:hAnsi="Times New Roman" w:cs="Times New Roman"/>
                <w:noProof/>
                <w:sz w:val="24"/>
                <w:szCs w:val="24"/>
              </w:rPr>
              <w:fldChar w:fldCharType="end"/>
            </w:r>
            <w:bookmarkEnd w:id="10"/>
          </w:p>
        </w:tc>
      </w:tr>
      <w:tr w:rsidR="00C14573" w:rsidRPr="008252D7" w14:paraId="419FBD81" w14:textId="77777777" w:rsidTr="00C14573">
        <w:tc>
          <w:tcPr>
            <w:tcW w:w="0" w:type="auto"/>
          </w:tcPr>
          <w:p w14:paraId="095A790D" w14:textId="77777777"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14:paraId="6EE28E75" w14:textId="77777777"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14:paraId="04801B30"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1"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5%</w:t>
            </w:r>
            <w:r w:rsidRPr="00C15FD9">
              <w:rPr>
                <w:rFonts w:ascii="Times New Roman" w:hAnsi="Times New Roman" w:cs="Times New Roman"/>
                <w:noProof/>
                <w:sz w:val="24"/>
                <w:szCs w:val="24"/>
              </w:rPr>
              <w:fldChar w:fldCharType="end"/>
            </w:r>
            <w:bookmarkEnd w:id="11"/>
          </w:p>
        </w:tc>
      </w:tr>
      <w:tr w:rsidR="00C14573" w:rsidRPr="008252D7" w14:paraId="27C505F8" w14:textId="77777777" w:rsidTr="00C14573">
        <w:tc>
          <w:tcPr>
            <w:tcW w:w="0" w:type="auto"/>
          </w:tcPr>
          <w:p w14:paraId="2835D921"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14:paraId="34D7839B" w14:textId="77777777"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14:paraId="4AE0A920"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2"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2"/>
          </w:p>
        </w:tc>
      </w:tr>
      <w:tr w:rsidR="00C14573" w:rsidRPr="008252D7" w14:paraId="041540B7" w14:textId="77777777" w:rsidTr="00C14573">
        <w:tc>
          <w:tcPr>
            <w:tcW w:w="0" w:type="auto"/>
          </w:tcPr>
          <w:p w14:paraId="4C82D0A9" w14:textId="77777777"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14:paraId="518BCDDE"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14:paraId="7B659BC1"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3"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14:paraId="0BB0359A" w14:textId="77777777" w:rsidTr="00C14573">
        <w:trPr>
          <w:trHeight w:val="848"/>
        </w:trPr>
        <w:tc>
          <w:tcPr>
            <w:tcW w:w="0" w:type="auto"/>
          </w:tcPr>
          <w:p w14:paraId="3E605ADD" w14:textId="77777777"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14:paraId="118A9479"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14:paraId="0C6EA4AD" w14:textId="77777777" w:rsidR="00C14573" w:rsidRPr="00402525" w:rsidRDefault="00387BB3" w:rsidP="002F29A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r w:rsidR="002F29AE"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4" w:name="Доп_07f2a8a6_a"/>
            <w:r w:rsidR="002F29AE" w:rsidRPr="002F29AE">
              <w:rPr>
                <w:rFonts w:ascii="Times New Roman" w:hAnsi="Times New Roman" w:cs="Times New Roman"/>
                <w:noProof/>
                <w:sz w:val="24"/>
                <w:szCs w:val="24"/>
              </w:rPr>
              <w:instrText xml:space="preserve"> FORMTEXT </w:instrText>
            </w:r>
            <w:r w:rsidR="002F29AE" w:rsidRPr="002F29AE">
              <w:rPr>
                <w:rFonts w:ascii="Times New Roman" w:hAnsi="Times New Roman" w:cs="Times New Roman"/>
                <w:noProof/>
                <w:sz w:val="24"/>
                <w:szCs w:val="24"/>
              </w:rPr>
            </w:r>
            <w:r w:rsidR="002F29AE" w:rsidRPr="002F29AE">
              <w:rPr>
                <w:rFonts w:ascii="Times New Roman" w:hAnsi="Times New Roman" w:cs="Times New Roman"/>
                <w:noProof/>
                <w:sz w:val="24"/>
                <w:szCs w:val="24"/>
              </w:rPr>
              <w:fldChar w:fldCharType="separate"/>
            </w:r>
            <w:r w:rsidR="002F29AE" w:rsidRPr="002F29AE">
              <w:rPr>
                <w:rFonts w:ascii="Times New Roman" w:hAnsi="Times New Roman" w:cs="Times New Roman"/>
                <w:noProof/>
                <w:sz w:val="24"/>
                <w:szCs w:val="24"/>
              </w:rPr>
              <w:t> </w:t>
            </w:r>
            <w:r w:rsidR="002F29AE" w:rsidRPr="002F29AE">
              <w:rPr>
                <w:rFonts w:ascii="Times New Roman" w:hAnsi="Times New Roman" w:cs="Times New Roman"/>
                <w:noProof/>
                <w:sz w:val="24"/>
                <w:szCs w:val="24"/>
              </w:rPr>
              <w:fldChar w:fldCharType="end"/>
            </w:r>
            <w:bookmarkEnd w:id="14"/>
          </w:p>
        </w:tc>
      </w:tr>
      <w:tr w:rsidR="00C14573" w:rsidRPr="008252D7" w14:paraId="7CCACFBB" w14:textId="77777777" w:rsidTr="00C14573">
        <w:tc>
          <w:tcPr>
            <w:tcW w:w="0" w:type="auto"/>
          </w:tcPr>
          <w:p w14:paraId="020503A1" w14:textId="77777777"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14:paraId="1568F130" w14:textId="77777777"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14:paraId="75F96CAB"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5"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 </w:t>
            </w:r>
            <w:r w:rsidRPr="00C15FD9">
              <w:rPr>
                <w:rFonts w:ascii="Times New Roman" w:hAnsi="Times New Roman" w:cs="Times New Roman"/>
                <w:noProof/>
                <w:sz w:val="24"/>
                <w:szCs w:val="24"/>
              </w:rPr>
              <w:fldChar w:fldCharType="end"/>
            </w:r>
            <w:bookmarkEnd w:id="15"/>
          </w:p>
        </w:tc>
      </w:tr>
      <w:tr w:rsidR="00C14573" w:rsidRPr="008252D7" w14:paraId="347CF790" w14:textId="77777777" w:rsidTr="00C14573">
        <w:tc>
          <w:tcPr>
            <w:tcW w:w="0" w:type="auto"/>
          </w:tcPr>
          <w:p w14:paraId="0B9043A1" w14:textId="77777777"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14:paraId="387F335B" w14:textId="77777777"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14:paraId="02E208EC" w14:textId="77777777"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6"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6"/>
            <w:r w:rsidR="00387BB3" w:rsidRPr="00387BB3">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r w:rsidR="00387BB3" w:rsidRPr="00387BB3">
              <w:rPr>
                <w:rFonts w:ascii="Times New Roman" w:hAnsi="Times New Roman" w:cs="Times New Roman"/>
                <w:noProof/>
                <w:sz w:val="24"/>
                <w:szCs w:val="24"/>
              </w:rPr>
              <w:instrText xml:space="preserve"> FORMTEXT </w:instrText>
            </w:r>
            <w:r w:rsidR="00387BB3" w:rsidRPr="00387BB3">
              <w:rPr>
                <w:rFonts w:ascii="Times New Roman" w:hAnsi="Times New Roman" w:cs="Times New Roman"/>
                <w:noProof/>
                <w:sz w:val="24"/>
                <w:szCs w:val="24"/>
              </w:rPr>
            </w:r>
            <w:r w:rsidR="00387BB3" w:rsidRPr="00387BB3">
              <w:rPr>
                <w:rFonts w:ascii="Times New Roman" w:hAnsi="Times New Roman" w:cs="Times New Roman"/>
                <w:noProof/>
                <w:sz w:val="24"/>
                <w:szCs w:val="24"/>
              </w:rPr>
              <w:fldChar w:fldCharType="separate"/>
            </w:r>
            <w:r w:rsidR="00387BB3" w:rsidRPr="00387BB3">
              <w:rPr>
                <w:rFonts w:ascii="Times New Roman" w:hAnsi="Times New Roman" w:cs="Times New Roman"/>
                <w:noProof/>
                <w:sz w:val="24"/>
                <w:szCs w:val="24"/>
              </w:rPr>
              <w:t>Не предусмотрено</w:t>
            </w:r>
            <w:r w:rsidR="00387BB3" w:rsidRPr="00387BB3">
              <w:rPr>
                <w:rFonts w:ascii="Times New Roman" w:hAnsi="Times New Roman" w:cs="Times New Roman"/>
                <w:noProof/>
                <w:sz w:val="24"/>
                <w:szCs w:val="24"/>
              </w:rPr>
              <w:fldChar w:fldCharType="end"/>
            </w:r>
          </w:p>
        </w:tc>
      </w:tr>
      <w:tr w:rsidR="00C14573" w:rsidRPr="008252D7" w14:paraId="40FEF81A" w14:textId="77777777" w:rsidTr="00C14573">
        <w:tc>
          <w:tcPr>
            <w:tcW w:w="0" w:type="auto"/>
          </w:tcPr>
          <w:p w14:paraId="39322123" w14:textId="77777777"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14:paraId="532E13AE" w14:textId="77777777"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14:paraId="29B5DD7E" w14:textId="77777777"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7"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Участник указывает в КП</w:t>
            </w:r>
            <w:r w:rsidRPr="00C15FD9">
              <w:rPr>
                <w:rFonts w:ascii="Times New Roman" w:hAnsi="Times New Roman" w:cs="Times New Roman"/>
                <w:noProof/>
                <w:sz w:val="24"/>
                <w:szCs w:val="24"/>
              </w:rPr>
              <w:fldChar w:fldCharType="end"/>
            </w:r>
            <w:bookmarkEnd w:id="17"/>
          </w:p>
        </w:tc>
      </w:tr>
      <w:tr w:rsidR="00C14573" w:rsidRPr="008252D7" w14:paraId="1295BF41" w14:textId="77777777" w:rsidTr="00C14573">
        <w:tc>
          <w:tcPr>
            <w:tcW w:w="0" w:type="auto"/>
          </w:tcPr>
          <w:p w14:paraId="1080C24F" w14:textId="77777777"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14:paraId="36AB0167" w14:textId="77777777"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14:paraId="5961A8CE" w14:textId="77777777"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8"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8"/>
          </w:p>
        </w:tc>
      </w:tr>
    </w:tbl>
    <w:p w14:paraId="15D6E0FB" w14:textId="77777777" w:rsidR="00C14573" w:rsidRDefault="00C14573" w:rsidP="00E961F8">
      <w:pPr>
        <w:ind w:left="-426" w:right="-1" w:firstLine="568"/>
        <w:jc w:val="center"/>
        <w:rPr>
          <w:rFonts w:ascii="Times New Roman" w:hAnsi="Times New Roman" w:cs="Times New Roman"/>
          <w:b/>
          <w:sz w:val="28"/>
          <w:szCs w:val="28"/>
        </w:rPr>
      </w:pPr>
    </w:p>
    <w:p w14:paraId="6F81B1C8" w14:textId="77777777"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14:paraId="5D8E3320" w14:textId="77777777"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Style w:val="ad"/>
        <w:tblW w:w="16029" w:type="dxa"/>
        <w:tblInd w:w="-176" w:type="dxa"/>
        <w:tblLayout w:type="fixed"/>
        <w:tblLook w:val="04A0" w:firstRow="1" w:lastRow="0" w:firstColumn="1" w:lastColumn="0" w:noHBand="0" w:noVBand="1"/>
      </w:tblPr>
      <w:tblGrid>
        <w:gridCol w:w="1418"/>
        <w:gridCol w:w="1134"/>
        <w:gridCol w:w="1276"/>
        <w:gridCol w:w="1560"/>
        <w:gridCol w:w="1842"/>
        <w:gridCol w:w="1559"/>
        <w:gridCol w:w="2420"/>
        <w:gridCol w:w="992"/>
        <w:gridCol w:w="992"/>
        <w:gridCol w:w="850"/>
        <w:gridCol w:w="993"/>
        <w:gridCol w:w="993"/>
      </w:tblGrid>
      <w:tr w:rsidR="0032151C" w:rsidRPr="00AF5ABF" w14:paraId="61A7EFD6" w14:textId="77777777" w:rsidTr="007007B2">
        <w:trPr>
          <w:trHeight w:val="112"/>
        </w:trPr>
        <w:tc>
          <w:tcPr>
            <w:tcW w:w="1418" w:type="dxa"/>
            <w:vMerge w:val="restart"/>
            <w:tcBorders>
              <w:bottom w:val="single" w:sz="4" w:space="0" w:color="auto"/>
            </w:tcBorders>
          </w:tcPr>
          <w:p w14:paraId="334C3B00" w14:textId="77777777" w:rsidR="0032151C" w:rsidRPr="00AF5ABF" w:rsidRDefault="0032151C" w:rsidP="007007B2">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Наименование товара</w:t>
            </w:r>
          </w:p>
        </w:tc>
        <w:tc>
          <w:tcPr>
            <w:tcW w:w="1134" w:type="dxa"/>
            <w:vMerge w:val="restart"/>
            <w:tcBorders>
              <w:bottom w:val="single" w:sz="4" w:space="0" w:color="auto"/>
            </w:tcBorders>
          </w:tcPr>
          <w:p w14:paraId="0E8049D1" w14:textId="77777777" w:rsidR="0032151C" w:rsidRPr="00AF5ABF" w:rsidRDefault="0032151C" w:rsidP="007007B2">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Товарный знак</w:t>
            </w:r>
          </w:p>
        </w:tc>
        <w:tc>
          <w:tcPr>
            <w:tcW w:w="1276" w:type="dxa"/>
            <w:vMerge w:val="restart"/>
            <w:tcBorders>
              <w:bottom w:val="single" w:sz="4" w:space="0" w:color="auto"/>
            </w:tcBorders>
          </w:tcPr>
          <w:p w14:paraId="6A9C9018" w14:textId="77777777" w:rsidR="0032151C" w:rsidRPr="00AF5ABF" w:rsidRDefault="0032151C" w:rsidP="007007B2">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Код ОКПД 2/КТРУ</w:t>
            </w:r>
          </w:p>
        </w:tc>
        <w:tc>
          <w:tcPr>
            <w:tcW w:w="7381" w:type="dxa"/>
            <w:gridSpan w:val="4"/>
            <w:tcBorders>
              <w:bottom w:val="single" w:sz="4" w:space="0" w:color="auto"/>
            </w:tcBorders>
          </w:tcPr>
          <w:p w14:paraId="1350D944" w14:textId="77777777" w:rsidR="0032151C" w:rsidRPr="00AF5ABF" w:rsidRDefault="0032151C" w:rsidP="007007B2">
            <w:pPr>
              <w:widowControl w:val="0"/>
              <w:autoSpaceDE w:val="0"/>
              <w:autoSpaceDN w:val="0"/>
              <w:adjustRightInd w:val="0"/>
              <w:ind w:left="-57"/>
              <w:jc w:val="center"/>
              <w:rPr>
                <w:rFonts w:ascii="Times New Roman" w:eastAsia="Courier New" w:hAnsi="Times New Roman"/>
                <w:b/>
                <w:sz w:val="18"/>
                <w:szCs w:val="18"/>
                <w:lang w:bidi="ru-RU"/>
              </w:rPr>
            </w:pPr>
            <w:r w:rsidRPr="00E62CA8">
              <w:rPr>
                <w:rFonts w:ascii="Times New Roman" w:hAnsi="Times New Roman"/>
                <w:b/>
                <w:bCs/>
                <w:color w:val="000000"/>
                <w:sz w:val="16"/>
                <w:szCs w:val="16"/>
                <w:lang w:eastAsia="ru-RU"/>
              </w:rPr>
              <w:t>Характеристики товара, работы, услуги</w:t>
            </w:r>
          </w:p>
        </w:tc>
        <w:tc>
          <w:tcPr>
            <w:tcW w:w="992" w:type="dxa"/>
            <w:vMerge w:val="restart"/>
          </w:tcPr>
          <w:p w14:paraId="1FABB270" w14:textId="77777777" w:rsidR="0032151C" w:rsidRPr="0033179E" w:rsidRDefault="0032151C" w:rsidP="007007B2">
            <w:pPr>
              <w:jc w:val="center"/>
              <w:rPr>
                <w:rFonts w:ascii="Times New Roman" w:hAnsi="Times New Roman"/>
                <w:b/>
                <w:bCs/>
                <w:color w:val="000000"/>
                <w:sz w:val="16"/>
                <w:szCs w:val="16"/>
                <w:lang w:eastAsia="ru-RU"/>
              </w:rPr>
            </w:pPr>
            <w:r w:rsidRPr="0033179E">
              <w:rPr>
                <w:rFonts w:ascii="Times New Roman" w:hAnsi="Times New Roman"/>
                <w:b/>
                <w:bCs/>
                <w:color w:val="000000"/>
                <w:sz w:val="16"/>
                <w:szCs w:val="16"/>
                <w:lang w:eastAsia="ru-RU"/>
              </w:rPr>
              <w:t>Количество</w:t>
            </w:r>
          </w:p>
          <w:p w14:paraId="18E93706" w14:textId="77777777" w:rsidR="0032151C" w:rsidRPr="00E62CA8" w:rsidRDefault="0032151C" w:rsidP="007007B2">
            <w:pPr>
              <w:jc w:val="center"/>
              <w:rPr>
                <w:rFonts w:ascii="Times New Roman" w:hAnsi="Times New Roman"/>
                <w:b/>
                <w:bCs/>
                <w:color w:val="000000"/>
                <w:sz w:val="16"/>
                <w:szCs w:val="16"/>
                <w:lang w:eastAsia="ru-RU"/>
              </w:rPr>
            </w:pPr>
            <w:r w:rsidRPr="0033179E">
              <w:rPr>
                <w:rFonts w:ascii="Times New Roman" w:hAnsi="Times New Roman"/>
                <w:b/>
                <w:bCs/>
                <w:color w:val="000000"/>
                <w:sz w:val="16"/>
                <w:szCs w:val="16"/>
                <w:lang w:eastAsia="ru-RU"/>
              </w:rPr>
              <w:t>(объем работы, услуги)</w:t>
            </w:r>
          </w:p>
        </w:tc>
        <w:tc>
          <w:tcPr>
            <w:tcW w:w="992" w:type="dxa"/>
            <w:vMerge w:val="restart"/>
          </w:tcPr>
          <w:p w14:paraId="45F0ADD5" w14:textId="77777777" w:rsidR="0032151C" w:rsidRPr="00AF5ABF" w:rsidRDefault="0032151C" w:rsidP="007007B2">
            <w:pPr>
              <w:jc w:val="center"/>
              <w:rPr>
                <w:rFonts w:ascii="Times New Roman" w:eastAsia="Courier New" w:hAnsi="Times New Roman"/>
                <w:b/>
                <w:sz w:val="18"/>
                <w:szCs w:val="18"/>
                <w:lang w:bidi="ru-RU"/>
              </w:rPr>
            </w:pPr>
            <w:r w:rsidRPr="00E62CA8">
              <w:rPr>
                <w:rFonts w:ascii="Times New Roman" w:hAnsi="Times New Roman"/>
                <w:b/>
                <w:bCs/>
                <w:color w:val="000000"/>
                <w:sz w:val="16"/>
                <w:szCs w:val="16"/>
                <w:lang w:eastAsia="ru-RU"/>
              </w:rPr>
              <w:t>Единица измерения</w:t>
            </w:r>
          </w:p>
        </w:tc>
        <w:tc>
          <w:tcPr>
            <w:tcW w:w="850" w:type="dxa"/>
            <w:vMerge w:val="restart"/>
            <w:shd w:val="clear" w:color="auto" w:fill="FFFF00"/>
          </w:tcPr>
          <w:p w14:paraId="3D499740" w14:textId="77777777" w:rsidR="0032151C" w:rsidRPr="00AF5ABF" w:rsidRDefault="0032151C" w:rsidP="007007B2">
            <w:pPr>
              <w:ind w:right="-12"/>
              <w:jc w:val="center"/>
              <w:rPr>
                <w:rFonts w:ascii="Times New Roman" w:eastAsia="Courier New" w:hAnsi="Times New Roman"/>
                <w:b/>
                <w:sz w:val="18"/>
                <w:szCs w:val="18"/>
                <w:lang w:bidi="ru-RU"/>
              </w:rPr>
            </w:pPr>
            <w:r>
              <w:rPr>
                <w:rFonts w:ascii="Times New Roman" w:hAnsi="Times New Roman"/>
                <w:b/>
                <w:bCs/>
                <w:color w:val="000000"/>
                <w:sz w:val="16"/>
                <w:szCs w:val="16"/>
                <w:lang w:eastAsia="ru-RU"/>
              </w:rPr>
              <w:t>Ставка НДС</w:t>
            </w:r>
            <w:r>
              <w:rPr>
                <w:rFonts w:ascii="Times New Roman" w:hAnsi="Times New Roman"/>
                <w:b/>
                <w:bCs/>
                <w:color w:val="000000"/>
                <w:sz w:val="16"/>
                <w:szCs w:val="16"/>
                <w:lang w:val="en-US" w:eastAsia="ru-RU"/>
              </w:rPr>
              <w:t xml:space="preserve"> (</w:t>
            </w:r>
            <w:r>
              <w:rPr>
                <w:rFonts w:ascii="Times New Roman" w:hAnsi="Times New Roman"/>
                <w:b/>
                <w:bCs/>
                <w:color w:val="000000"/>
                <w:sz w:val="16"/>
                <w:szCs w:val="16"/>
                <w:lang w:eastAsia="ru-RU"/>
              </w:rPr>
              <w:t>%</w:t>
            </w:r>
            <w:r>
              <w:rPr>
                <w:rFonts w:ascii="Times New Roman" w:hAnsi="Times New Roman"/>
                <w:b/>
                <w:bCs/>
                <w:color w:val="000000"/>
                <w:sz w:val="16"/>
                <w:szCs w:val="16"/>
                <w:lang w:val="en-US" w:eastAsia="ru-RU"/>
              </w:rPr>
              <w:t>)</w:t>
            </w:r>
          </w:p>
        </w:tc>
        <w:tc>
          <w:tcPr>
            <w:tcW w:w="993" w:type="dxa"/>
            <w:vMerge w:val="restart"/>
            <w:tcBorders>
              <w:top w:val="single" w:sz="4" w:space="0" w:color="auto"/>
              <w:left w:val="single" w:sz="4" w:space="0" w:color="auto"/>
              <w:right w:val="single" w:sz="4" w:space="0" w:color="auto"/>
            </w:tcBorders>
            <w:shd w:val="clear" w:color="auto" w:fill="FFFF00"/>
          </w:tcPr>
          <w:p w14:paraId="4B3C480B" w14:textId="77777777" w:rsidR="0032151C" w:rsidRPr="00A00729" w:rsidRDefault="0032151C" w:rsidP="007007B2">
            <w:pPr>
              <w:jc w:val="center"/>
              <w:rPr>
                <w:rFonts w:ascii="Times New Roman" w:eastAsia="Calibri" w:hAnsi="Times New Roman" w:cs="Times New Roman"/>
                <w:b/>
                <w:bCs/>
                <w:color w:val="000000"/>
                <w:sz w:val="16"/>
                <w:szCs w:val="16"/>
                <w:lang w:eastAsia="ru-RU"/>
              </w:rPr>
            </w:pPr>
            <w:r w:rsidRPr="00A00729">
              <w:rPr>
                <w:rFonts w:ascii="Times New Roman" w:eastAsia="Calibri" w:hAnsi="Times New Roman" w:cs="Times New Roman"/>
                <w:b/>
                <w:bCs/>
                <w:color w:val="000000"/>
                <w:sz w:val="16"/>
                <w:szCs w:val="16"/>
                <w:lang w:eastAsia="ru-RU"/>
              </w:rPr>
              <w:t>Цена за ед. (руб.)</w:t>
            </w:r>
          </w:p>
        </w:tc>
        <w:tc>
          <w:tcPr>
            <w:tcW w:w="993" w:type="dxa"/>
            <w:vMerge w:val="restart"/>
            <w:shd w:val="clear" w:color="auto" w:fill="FFFF00"/>
          </w:tcPr>
          <w:p w14:paraId="62A4A702" w14:textId="77777777" w:rsidR="0032151C" w:rsidRPr="00AF5ABF" w:rsidRDefault="0032151C" w:rsidP="007007B2">
            <w:pPr>
              <w:ind w:left="142"/>
              <w:jc w:val="center"/>
              <w:rPr>
                <w:rFonts w:ascii="Times New Roman" w:eastAsia="Courier New" w:hAnsi="Times New Roman"/>
                <w:b/>
                <w:sz w:val="18"/>
                <w:szCs w:val="18"/>
                <w:lang w:bidi="ru-RU"/>
              </w:rPr>
            </w:pPr>
            <w:r>
              <w:rPr>
                <w:rFonts w:ascii="Times New Roman" w:hAnsi="Times New Roman"/>
                <w:b/>
                <w:bCs/>
                <w:color w:val="000000"/>
                <w:sz w:val="16"/>
                <w:szCs w:val="16"/>
                <w:lang w:eastAsia="ru-RU"/>
              </w:rPr>
              <w:t>Сумма (руб.)</w:t>
            </w:r>
          </w:p>
        </w:tc>
      </w:tr>
      <w:tr w:rsidR="0032151C" w:rsidRPr="00AF5ABF" w14:paraId="771528A4" w14:textId="77777777" w:rsidTr="007007B2">
        <w:trPr>
          <w:trHeight w:val="854"/>
        </w:trPr>
        <w:tc>
          <w:tcPr>
            <w:tcW w:w="1418" w:type="dxa"/>
            <w:vMerge/>
          </w:tcPr>
          <w:p w14:paraId="02A8C51B" w14:textId="77777777" w:rsidR="0032151C" w:rsidRPr="00AF5ABF" w:rsidRDefault="0032151C" w:rsidP="007007B2">
            <w:pPr>
              <w:widowControl w:val="0"/>
              <w:autoSpaceDE w:val="0"/>
              <w:autoSpaceDN w:val="0"/>
              <w:adjustRightInd w:val="0"/>
              <w:ind w:left="-57"/>
              <w:jc w:val="center"/>
              <w:rPr>
                <w:rFonts w:ascii="Times New Roman" w:eastAsia="Courier New" w:hAnsi="Times New Roman"/>
                <w:b/>
                <w:sz w:val="18"/>
                <w:szCs w:val="18"/>
                <w:lang w:bidi="ru-RU"/>
              </w:rPr>
            </w:pPr>
          </w:p>
        </w:tc>
        <w:tc>
          <w:tcPr>
            <w:tcW w:w="1134" w:type="dxa"/>
            <w:vMerge/>
          </w:tcPr>
          <w:p w14:paraId="1F9E408D" w14:textId="77777777" w:rsidR="0032151C" w:rsidRPr="00AF5ABF" w:rsidRDefault="0032151C" w:rsidP="007007B2">
            <w:pPr>
              <w:widowControl w:val="0"/>
              <w:autoSpaceDE w:val="0"/>
              <w:autoSpaceDN w:val="0"/>
              <w:adjustRightInd w:val="0"/>
              <w:ind w:left="-57"/>
              <w:jc w:val="center"/>
              <w:rPr>
                <w:rFonts w:ascii="Times New Roman" w:eastAsia="Courier New" w:hAnsi="Times New Roman"/>
                <w:b/>
                <w:sz w:val="18"/>
                <w:szCs w:val="18"/>
                <w:lang w:bidi="ru-RU"/>
              </w:rPr>
            </w:pPr>
          </w:p>
        </w:tc>
        <w:tc>
          <w:tcPr>
            <w:tcW w:w="1276" w:type="dxa"/>
            <w:vMerge/>
          </w:tcPr>
          <w:p w14:paraId="151F2D5B" w14:textId="77777777" w:rsidR="0032151C" w:rsidRPr="00AF5ABF" w:rsidRDefault="0032151C" w:rsidP="007007B2">
            <w:pPr>
              <w:widowControl w:val="0"/>
              <w:autoSpaceDE w:val="0"/>
              <w:autoSpaceDN w:val="0"/>
              <w:adjustRightInd w:val="0"/>
              <w:ind w:left="-57"/>
              <w:jc w:val="center"/>
              <w:rPr>
                <w:rFonts w:ascii="Times New Roman" w:eastAsia="Courier New" w:hAnsi="Times New Roman"/>
                <w:b/>
                <w:sz w:val="18"/>
                <w:szCs w:val="18"/>
                <w:lang w:bidi="ru-RU"/>
              </w:rPr>
            </w:pPr>
          </w:p>
        </w:tc>
        <w:tc>
          <w:tcPr>
            <w:tcW w:w="1560" w:type="dxa"/>
          </w:tcPr>
          <w:p w14:paraId="681BB527" w14:textId="77777777" w:rsidR="0032151C" w:rsidRPr="00AF5ABF" w:rsidRDefault="0032151C" w:rsidP="007007B2">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Наименование</w:t>
            </w:r>
          </w:p>
          <w:p w14:paraId="0A0182BF" w14:textId="77777777" w:rsidR="0032151C" w:rsidRPr="00AF5ABF" w:rsidRDefault="0032151C" w:rsidP="007007B2">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характеристики</w:t>
            </w:r>
          </w:p>
        </w:tc>
        <w:tc>
          <w:tcPr>
            <w:tcW w:w="1842" w:type="dxa"/>
          </w:tcPr>
          <w:p w14:paraId="77018A3D" w14:textId="77777777" w:rsidR="0032151C" w:rsidRPr="00AF5ABF" w:rsidRDefault="0032151C" w:rsidP="007007B2">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Значение характеристики</w:t>
            </w:r>
          </w:p>
        </w:tc>
        <w:tc>
          <w:tcPr>
            <w:tcW w:w="1559" w:type="dxa"/>
          </w:tcPr>
          <w:p w14:paraId="1121307D" w14:textId="77777777" w:rsidR="0032151C" w:rsidRPr="00AF5ABF" w:rsidRDefault="0032151C" w:rsidP="007007B2">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Единица измерения характеристики</w:t>
            </w:r>
          </w:p>
        </w:tc>
        <w:tc>
          <w:tcPr>
            <w:tcW w:w="2420" w:type="dxa"/>
          </w:tcPr>
          <w:p w14:paraId="414DD54C" w14:textId="77777777" w:rsidR="0032151C" w:rsidRPr="00AF5ABF" w:rsidRDefault="0032151C" w:rsidP="007007B2">
            <w:pPr>
              <w:widowControl w:val="0"/>
              <w:autoSpaceDE w:val="0"/>
              <w:autoSpaceDN w:val="0"/>
              <w:adjustRightInd w:val="0"/>
              <w:ind w:left="-57"/>
              <w:jc w:val="center"/>
              <w:rPr>
                <w:rFonts w:ascii="Times New Roman" w:eastAsia="Courier New" w:hAnsi="Times New Roman"/>
                <w:b/>
                <w:sz w:val="18"/>
                <w:szCs w:val="18"/>
                <w:lang w:bidi="ru-RU"/>
              </w:rPr>
            </w:pPr>
            <w:r w:rsidRPr="00AF5ABF">
              <w:rPr>
                <w:rFonts w:ascii="Times New Roman" w:eastAsia="Courier New" w:hAnsi="Times New Roman"/>
                <w:b/>
                <w:sz w:val="18"/>
                <w:szCs w:val="18"/>
                <w:lang w:bidi="ru-RU"/>
              </w:rPr>
              <w:t>Инструкция по заполнению характеристик в заявке</w:t>
            </w:r>
          </w:p>
        </w:tc>
        <w:tc>
          <w:tcPr>
            <w:tcW w:w="992" w:type="dxa"/>
            <w:vMerge/>
            <w:vAlign w:val="center"/>
          </w:tcPr>
          <w:p w14:paraId="61FC8CB0" w14:textId="77777777" w:rsidR="0032151C" w:rsidRPr="00E62CA8" w:rsidRDefault="0032151C" w:rsidP="007007B2">
            <w:pPr>
              <w:ind w:hanging="258"/>
              <w:jc w:val="center"/>
              <w:rPr>
                <w:rFonts w:ascii="Times New Roman" w:hAnsi="Times New Roman"/>
                <w:b/>
                <w:bCs/>
                <w:color w:val="000000"/>
                <w:sz w:val="16"/>
                <w:szCs w:val="16"/>
                <w:lang w:eastAsia="ru-RU"/>
              </w:rPr>
            </w:pPr>
          </w:p>
        </w:tc>
        <w:tc>
          <w:tcPr>
            <w:tcW w:w="992" w:type="dxa"/>
            <w:vMerge/>
            <w:vAlign w:val="center"/>
          </w:tcPr>
          <w:p w14:paraId="30AE321A" w14:textId="77777777" w:rsidR="0032151C" w:rsidRPr="00E62CA8" w:rsidRDefault="0032151C" w:rsidP="007007B2">
            <w:pPr>
              <w:jc w:val="center"/>
              <w:rPr>
                <w:rFonts w:ascii="Times New Roman" w:hAnsi="Times New Roman"/>
                <w:b/>
                <w:bCs/>
                <w:color w:val="000000"/>
                <w:sz w:val="16"/>
                <w:szCs w:val="16"/>
                <w:lang w:eastAsia="ru-RU"/>
              </w:rPr>
            </w:pPr>
          </w:p>
        </w:tc>
        <w:tc>
          <w:tcPr>
            <w:tcW w:w="850" w:type="dxa"/>
            <w:vMerge/>
            <w:tcBorders>
              <w:right w:val="single" w:sz="4" w:space="0" w:color="auto"/>
            </w:tcBorders>
            <w:shd w:val="clear" w:color="auto" w:fill="FFFF00"/>
            <w:vAlign w:val="center"/>
          </w:tcPr>
          <w:p w14:paraId="25C4D415" w14:textId="77777777" w:rsidR="0032151C" w:rsidRPr="00E62CA8" w:rsidRDefault="0032151C" w:rsidP="007007B2">
            <w:pPr>
              <w:ind w:right="-12"/>
              <w:jc w:val="center"/>
              <w:rPr>
                <w:rFonts w:ascii="Times New Roman" w:hAnsi="Times New Roman"/>
                <w:b/>
                <w:bCs/>
                <w:color w:val="000000"/>
                <w:sz w:val="16"/>
                <w:szCs w:val="16"/>
                <w:lang w:eastAsia="ru-RU"/>
              </w:rPr>
            </w:pPr>
          </w:p>
        </w:tc>
        <w:tc>
          <w:tcPr>
            <w:tcW w:w="993" w:type="dxa"/>
            <w:vMerge/>
            <w:tcBorders>
              <w:left w:val="single" w:sz="4" w:space="0" w:color="auto"/>
            </w:tcBorders>
            <w:shd w:val="clear" w:color="auto" w:fill="FFFF00"/>
          </w:tcPr>
          <w:p w14:paraId="0B08EBCB" w14:textId="77777777" w:rsidR="0032151C" w:rsidRPr="00E62CA8" w:rsidRDefault="0032151C" w:rsidP="007007B2">
            <w:pPr>
              <w:ind w:left="142"/>
              <w:jc w:val="center"/>
              <w:rPr>
                <w:rFonts w:ascii="Times New Roman" w:hAnsi="Times New Roman"/>
                <w:b/>
                <w:bCs/>
                <w:color w:val="000000"/>
                <w:sz w:val="16"/>
                <w:szCs w:val="16"/>
                <w:lang w:eastAsia="ru-RU"/>
              </w:rPr>
            </w:pPr>
          </w:p>
        </w:tc>
        <w:tc>
          <w:tcPr>
            <w:tcW w:w="993" w:type="dxa"/>
            <w:vMerge/>
            <w:shd w:val="clear" w:color="auto" w:fill="FFFF00"/>
            <w:vAlign w:val="center"/>
          </w:tcPr>
          <w:p w14:paraId="704A8D21" w14:textId="77777777" w:rsidR="0032151C" w:rsidRPr="00E62CA8" w:rsidRDefault="0032151C" w:rsidP="007007B2">
            <w:pPr>
              <w:ind w:left="142"/>
              <w:jc w:val="center"/>
              <w:rPr>
                <w:rFonts w:ascii="Times New Roman" w:hAnsi="Times New Roman"/>
                <w:b/>
                <w:bCs/>
                <w:color w:val="000000"/>
                <w:sz w:val="16"/>
                <w:szCs w:val="16"/>
                <w:lang w:eastAsia="ru-RU"/>
              </w:rPr>
            </w:pPr>
          </w:p>
        </w:tc>
      </w:tr>
      <w:tr w:rsidR="0032151C" w:rsidRPr="00AF5ABF" w14:paraId="27D1AA96" w14:textId="77777777" w:rsidTr="007007B2">
        <w:trPr>
          <w:trHeight w:val="149"/>
        </w:trPr>
        <w:tc>
          <w:tcPr>
            <w:tcW w:w="1418" w:type="dxa"/>
            <w:vMerge w:val="restart"/>
          </w:tcPr>
          <w:p w14:paraId="01C50CF3"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bCs/>
                <w:color w:val="000000"/>
                <w:sz w:val="18"/>
                <w:szCs w:val="18"/>
                <w:lang w:bidi="ru-RU"/>
              </w:rPr>
              <w:t>Дозиметр</w:t>
            </w:r>
            <w:r>
              <w:rPr>
                <w:rFonts w:ascii="Times New Roman" w:eastAsia="Courier New" w:hAnsi="Times New Roman"/>
                <w:bCs/>
                <w:color w:val="000000"/>
                <w:sz w:val="18"/>
                <w:szCs w:val="18"/>
                <w:lang w:bidi="ru-RU"/>
              </w:rPr>
              <w:t xml:space="preserve"> рентгеновский</w:t>
            </w:r>
            <w:r w:rsidRPr="00AF5ABF">
              <w:rPr>
                <w:rFonts w:ascii="Times New Roman" w:eastAsia="Courier New" w:hAnsi="Times New Roman"/>
                <w:bCs/>
                <w:color w:val="000000"/>
                <w:sz w:val="18"/>
                <w:szCs w:val="18"/>
                <w:lang w:bidi="ru-RU"/>
              </w:rPr>
              <w:t xml:space="preserve"> гамма-излучения </w:t>
            </w:r>
          </w:p>
        </w:tc>
        <w:tc>
          <w:tcPr>
            <w:tcW w:w="1134" w:type="dxa"/>
            <w:vMerge w:val="restart"/>
          </w:tcPr>
          <w:p w14:paraId="7F8E7302"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387BB3">
              <w:rPr>
                <w:rFonts w:ascii="Times New Roman" w:eastAsia="Courier New" w:hAnsi="Times New Roman"/>
                <w:bCs/>
                <w:color w:val="000000"/>
                <w:sz w:val="18"/>
                <w:szCs w:val="18"/>
                <w:lang w:bidi="ru-RU"/>
              </w:rPr>
              <w:t>ДКС-АТ1123</w:t>
            </w:r>
          </w:p>
          <w:p w14:paraId="16DEFE6E"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bCs/>
                <w:color w:val="000000"/>
                <w:sz w:val="18"/>
                <w:szCs w:val="18"/>
                <w:lang w:bidi="ru-RU"/>
              </w:rPr>
              <w:t>(Допускается поставка эквивалента)</w:t>
            </w:r>
          </w:p>
        </w:tc>
        <w:tc>
          <w:tcPr>
            <w:tcW w:w="1276" w:type="dxa"/>
            <w:vMerge w:val="restart"/>
          </w:tcPr>
          <w:p w14:paraId="03D37F55"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bCs/>
                <w:color w:val="000000"/>
                <w:sz w:val="18"/>
                <w:szCs w:val="18"/>
                <w:lang w:bidi="ru-RU"/>
              </w:rPr>
              <w:t>26.51.41.</w:t>
            </w:r>
            <w:r>
              <w:rPr>
                <w:rFonts w:ascii="Times New Roman" w:eastAsia="Courier New" w:hAnsi="Times New Roman"/>
                <w:bCs/>
                <w:color w:val="000000"/>
                <w:sz w:val="18"/>
                <w:szCs w:val="18"/>
                <w:lang w:bidi="ru-RU"/>
              </w:rPr>
              <w:t>140</w:t>
            </w:r>
          </w:p>
        </w:tc>
        <w:tc>
          <w:tcPr>
            <w:tcW w:w="1560" w:type="dxa"/>
          </w:tcPr>
          <w:p w14:paraId="63C88A49"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cs="Courier New"/>
                <w:color w:val="000000"/>
                <w:sz w:val="18"/>
                <w:szCs w:val="18"/>
                <w:lang w:bidi="ru-RU"/>
              </w:rPr>
              <w:t>Назначение</w:t>
            </w:r>
          </w:p>
        </w:tc>
        <w:tc>
          <w:tcPr>
            <w:tcW w:w="1842" w:type="dxa"/>
          </w:tcPr>
          <w:p w14:paraId="1F6E0B62"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cs="Courier New"/>
                <w:color w:val="000000"/>
                <w:sz w:val="18"/>
                <w:szCs w:val="18"/>
                <w:lang w:bidi="ru-RU"/>
              </w:rPr>
              <w:t>Измерение дозы и мощности амбиентного эквивалента дозы непрерывного, кратковременного и импульсного рентгеновского и гамма-излучения</w:t>
            </w:r>
          </w:p>
        </w:tc>
        <w:tc>
          <w:tcPr>
            <w:tcW w:w="1559" w:type="dxa"/>
          </w:tcPr>
          <w:p w14:paraId="5BB7618D"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bCs/>
                <w:color w:val="000000"/>
                <w:sz w:val="18"/>
                <w:szCs w:val="18"/>
                <w:lang w:bidi="ru-RU"/>
              </w:rPr>
              <w:t>-</w:t>
            </w:r>
          </w:p>
        </w:tc>
        <w:tc>
          <w:tcPr>
            <w:tcW w:w="2420" w:type="dxa"/>
          </w:tcPr>
          <w:p w14:paraId="25264BD8"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val="restart"/>
          </w:tcPr>
          <w:p w14:paraId="49386D58"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bCs/>
                <w:color w:val="000000"/>
                <w:sz w:val="18"/>
                <w:szCs w:val="18"/>
                <w:lang w:bidi="ru-RU"/>
              </w:rPr>
              <w:t>1</w:t>
            </w:r>
          </w:p>
        </w:tc>
        <w:tc>
          <w:tcPr>
            <w:tcW w:w="992" w:type="dxa"/>
            <w:vMerge w:val="restart"/>
          </w:tcPr>
          <w:p w14:paraId="14C79493"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bCs/>
                <w:color w:val="000000"/>
                <w:sz w:val="18"/>
                <w:szCs w:val="18"/>
                <w:lang w:bidi="ru-RU"/>
              </w:rPr>
              <w:t>Штука</w:t>
            </w:r>
          </w:p>
        </w:tc>
        <w:tc>
          <w:tcPr>
            <w:tcW w:w="850" w:type="dxa"/>
            <w:vMerge w:val="restart"/>
            <w:shd w:val="clear" w:color="auto" w:fill="FFFF00"/>
          </w:tcPr>
          <w:p w14:paraId="479B8971"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993" w:type="dxa"/>
            <w:vMerge w:val="restart"/>
            <w:shd w:val="clear" w:color="auto" w:fill="FFFF00"/>
          </w:tcPr>
          <w:p w14:paraId="34F49D2D"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993" w:type="dxa"/>
            <w:vMerge w:val="restart"/>
            <w:shd w:val="clear" w:color="auto" w:fill="FFFF00"/>
          </w:tcPr>
          <w:p w14:paraId="273E9B1F"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r>
      <w:tr w:rsidR="0032151C" w:rsidRPr="00AF5ABF" w14:paraId="6565495C" w14:textId="77777777" w:rsidTr="0032151C">
        <w:trPr>
          <w:trHeight w:val="149"/>
        </w:trPr>
        <w:tc>
          <w:tcPr>
            <w:tcW w:w="1418" w:type="dxa"/>
            <w:vMerge/>
          </w:tcPr>
          <w:p w14:paraId="318A0A6B"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17BE811E"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026C1200"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Borders>
              <w:top w:val="nil"/>
              <w:left w:val="nil"/>
              <w:bottom w:val="single" w:sz="4" w:space="0" w:color="auto"/>
              <w:right w:val="single" w:sz="4" w:space="0" w:color="auto"/>
            </w:tcBorders>
            <w:shd w:val="clear" w:color="000000" w:fill="FFFFFF"/>
          </w:tcPr>
          <w:p w14:paraId="06FB4306"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cs="Courier New"/>
                <w:color w:val="000000"/>
                <w:sz w:val="18"/>
                <w:szCs w:val="18"/>
                <w:lang w:bidi="ru-RU"/>
              </w:rPr>
              <w:t>Детектор</w:t>
            </w:r>
          </w:p>
        </w:tc>
        <w:tc>
          <w:tcPr>
            <w:tcW w:w="1842" w:type="dxa"/>
            <w:tcBorders>
              <w:top w:val="nil"/>
              <w:left w:val="nil"/>
              <w:bottom w:val="single" w:sz="4" w:space="0" w:color="auto"/>
              <w:right w:val="single" w:sz="4" w:space="0" w:color="auto"/>
            </w:tcBorders>
            <w:shd w:val="clear" w:color="000000" w:fill="FFFFFF"/>
          </w:tcPr>
          <w:p w14:paraId="7046F96C" w14:textId="77777777" w:rsidR="0032151C" w:rsidRPr="0032151C" w:rsidRDefault="0032151C" w:rsidP="0032151C">
            <w:pPr>
              <w:widowControl w:val="0"/>
              <w:tabs>
                <w:tab w:val="left" w:pos="6039"/>
              </w:tabs>
              <w:rPr>
                <w:rFonts w:ascii="Times New Roman" w:eastAsia="Courier New" w:hAnsi="Times New Roman" w:cs="Courier New"/>
                <w:color w:val="000000"/>
                <w:sz w:val="18"/>
                <w:szCs w:val="18"/>
                <w:lang w:bidi="ru-RU"/>
              </w:rPr>
            </w:pPr>
            <w:r w:rsidRPr="003D455A">
              <w:rPr>
                <w:rFonts w:ascii="Times New Roman" w:eastAsia="Courier New" w:hAnsi="Times New Roman" w:cs="Courier New"/>
                <w:color w:val="000000"/>
                <w:sz w:val="18"/>
                <w:szCs w:val="18"/>
                <w:lang w:bidi="ru-RU"/>
              </w:rPr>
              <w:t>Сцинтилляцион</w:t>
            </w:r>
            <w:r>
              <w:rPr>
                <w:rFonts w:ascii="Times New Roman" w:eastAsia="Courier New" w:hAnsi="Times New Roman" w:cs="Courier New"/>
                <w:color w:val="000000"/>
                <w:sz w:val="18"/>
                <w:szCs w:val="18"/>
                <w:lang w:bidi="ru-RU"/>
              </w:rPr>
              <w:t>ный</w:t>
            </w:r>
          </w:p>
        </w:tc>
        <w:tc>
          <w:tcPr>
            <w:tcW w:w="1559" w:type="dxa"/>
          </w:tcPr>
          <w:p w14:paraId="6DDB9690"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bCs/>
                <w:color w:val="000000"/>
                <w:sz w:val="18"/>
                <w:szCs w:val="18"/>
                <w:lang w:bidi="ru-RU"/>
              </w:rPr>
              <w:t>-</w:t>
            </w:r>
          </w:p>
        </w:tc>
        <w:tc>
          <w:tcPr>
            <w:tcW w:w="2420" w:type="dxa"/>
          </w:tcPr>
          <w:p w14:paraId="1C2C0A6D"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14:paraId="6098B1AA"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5CE4BE31"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4E614C2B"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05B3FCD2"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64F6A6AE"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r w:rsidR="0032151C" w:rsidRPr="00AF5ABF" w14:paraId="5F0F4DDE" w14:textId="77777777" w:rsidTr="007007B2">
        <w:trPr>
          <w:trHeight w:val="149"/>
        </w:trPr>
        <w:tc>
          <w:tcPr>
            <w:tcW w:w="1418" w:type="dxa"/>
            <w:vMerge/>
          </w:tcPr>
          <w:p w14:paraId="79BC3AB1"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45248433"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24F06196"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Borders>
              <w:top w:val="nil"/>
              <w:left w:val="nil"/>
              <w:bottom w:val="single" w:sz="4" w:space="0" w:color="auto"/>
              <w:right w:val="single" w:sz="4" w:space="0" w:color="auto"/>
            </w:tcBorders>
            <w:shd w:val="clear" w:color="000000" w:fill="FFFFFF"/>
          </w:tcPr>
          <w:p w14:paraId="34DC6ECA" w14:textId="77777777" w:rsidR="0032151C" w:rsidRPr="003B3781" w:rsidRDefault="0032151C" w:rsidP="007007B2">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Измерения в широких диапазонах мощностей доз и</w:t>
            </w:r>
          </w:p>
          <w:p w14:paraId="0793172C" w14:textId="77777777" w:rsidR="0032151C" w:rsidRPr="003B3781" w:rsidRDefault="0032151C" w:rsidP="007007B2">
            <w:pPr>
              <w:widowControl w:val="0"/>
              <w:tabs>
                <w:tab w:val="left" w:pos="6039"/>
              </w:tabs>
              <w:jc w:val="center"/>
              <w:rPr>
                <w:rFonts w:ascii="Times New Roman" w:eastAsia="Courier New" w:hAnsi="Times New Roman" w:cs="Courier New"/>
                <w:color w:val="000000"/>
                <w:sz w:val="18"/>
                <w:szCs w:val="18"/>
                <w:lang w:bidi="ru-RU"/>
              </w:rPr>
            </w:pPr>
            <w:r>
              <w:rPr>
                <w:rFonts w:ascii="Times New Roman" w:eastAsia="Courier New" w:hAnsi="Times New Roman" w:cs="Courier New"/>
                <w:color w:val="000000"/>
                <w:sz w:val="18"/>
                <w:szCs w:val="18"/>
                <w:lang w:bidi="ru-RU"/>
              </w:rPr>
              <w:t xml:space="preserve"> энергий</w:t>
            </w:r>
          </w:p>
        </w:tc>
        <w:tc>
          <w:tcPr>
            <w:tcW w:w="1842" w:type="dxa"/>
            <w:tcBorders>
              <w:top w:val="nil"/>
              <w:left w:val="nil"/>
              <w:bottom w:val="single" w:sz="4" w:space="0" w:color="auto"/>
              <w:right w:val="single" w:sz="4" w:space="0" w:color="auto"/>
            </w:tcBorders>
            <w:shd w:val="clear" w:color="000000" w:fill="FFFFFF"/>
          </w:tcPr>
          <w:p w14:paraId="30ECBA05" w14:textId="77777777" w:rsidR="0032151C" w:rsidRPr="003D455A" w:rsidRDefault="0032151C" w:rsidP="007007B2">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Соответствие</w:t>
            </w:r>
          </w:p>
        </w:tc>
        <w:tc>
          <w:tcPr>
            <w:tcW w:w="1559" w:type="dxa"/>
          </w:tcPr>
          <w:p w14:paraId="04A90CCA"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2420" w:type="dxa"/>
          </w:tcPr>
          <w:p w14:paraId="645C52FC"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r w:rsidRPr="003B3781">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14:paraId="44E870D4"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243D4258"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5D26EED4"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39A51215"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0CB38C05"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r w:rsidR="0032151C" w:rsidRPr="00AF5ABF" w14:paraId="20DDAADA" w14:textId="77777777" w:rsidTr="007007B2">
        <w:trPr>
          <w:trHeight w:val="149"/>
        </w:trPr>
        <w:tc>
          <w:tcPr>
            <w:tcW w:w="1418" w:type="dxa"/>
            <w:vMerge/>
          </w:tcPr>
          <w:p w14:paraId="692B245F"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371F51D7"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47936C36"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Borders>
              <w:top w:val="nil"/>
              <w:left w:val="nil"/>
              <w:bottom w:val="single" w:sz="4" w:space="0" w:color="auto"/>
              <w:right w:val="single" w:sz="4" w:space="0" w:color="auto"/>
            </w:tcBorders>
            <w:shd w:val="clear" w:color="000000" w:fill="FFFFFF"/>
          </w:tcPr>
          <w:p w14:paraId="7DAB3BEA" w14:textId="77777777" w:rsidR="0032151C" w:rsidRPr="003B3781" w:rsidRDefault="0032151C" w:rsidP="007007B2">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Измерение мощности дозы и длительности воздействия во время кратковременного излучения от 0,03 с</w:t>
            </w:r>
          </w:p>
        </w:tc>
        <w:tc>
          <w:tcPr>
            <w:tcW w:w="1842" w:type="dxa"/>
            <w:tcBorders>
              <w:top w:val="nil"/>
              <w:left w:val="nil"/>
              <w:bottom w:val="single" w:sz="4" w:space="0" w:color="auto"/>
              <w:right w:val="single" w:sz="4" w:space="0" w:color="auto"/>
            </w:tcBorders>
            <w:shd w:val="clear" w:color="000000" w:fill="FFFFFF"/>
          </w:tcPr>
          <w:p w14:paraId="2D267A38" w14:textId="77777777" w:rsidR="0032151C" w:rsidRPr="003D455A" w:rsidRDefault="0032151C" w:rsidP="007007B2">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Соответствие</w:t>
            </w:r>
          </w:p>
        </w:tc>
        <w:tc>
          <w:tcPr>
            <w:tcW w:w="1559" w:type="dxa"/>
          </w:tcPr>
          <w:p w14:paraId="382B73B6"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2420" w:type="dxa"/>
          </w:tcPr>
          <w:p w14:paraId="7602DDE3"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r w:rsidRPr="003B3781">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14:paraId="67074652"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1D21B78B"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318B1DB9"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41000DF6"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3A246258"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r w:rsidR="0032151C" w:rsidRPr="00AF5ABF" w14:paraId="340E3371" w14:textId="77777777" w:rsidTr="007007B2">
        <w:trPr>
          <w:trHeight w:val="149"/>
        </w:trPr>
        <w:tc>
          <w:tcPr>
            <w:tcW w:w="1418" w:type="dxa"/>
            <w:vMerge/>
          </w:tcPr>
          <w:p w14:paraId="72F041B6"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0615DF21"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101D99C8"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Borders>
              <w:top w:val="nil"/>
              <w:left w:val="nil"/>
              <w:bottom w:val="single" w:sz="4" w:space="0" w:color="auto"/>
              <w:right w:val="single" w:sz="4" w:space="0" w:color="auto"/>
            </w:tcBorders>
            <w:shd w:val="clear" w:color="000000" w:fill="FFFFFF"/>
          </w:tcPr>
          <w:p w14:paraId="5AA14840" w14:textId="77777777" w:rsidR="0032151C" w:rsidRPr="003B3781" w:rsidRDefault="0032151C" w:rsidP="007007B2">
            <w:pPr>
              <w:widowControl w:val="0"/>
              <w:tabs>
                <w:tab w:val="left" w:pos="398"/>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Измерение средней мощности дозы импульсного излучения при длительности импульсов от 10 нс</w:t>
            </w:r>
          </w:p>
        </w:tc>
        <w:tc>
          <w:tcPr>
            <w:tcW w:w="1842" w:type="dxa"/>
            <w:tcBorders>
              <w:top w:val="nil"/>
              <w:left w:val="nil"/>
              <w:bottom w:val="single" w:sz="4" w:space="0" w:color="auto"/>
              <w:right w:val="single" w:sz="4" w:space="0" w:color="auto"/>
            </w:tcBorders>
            <w:shd w:val="clear" w:color="000000" w:fill="FFFFFF"/>
          </w:tcPr>
          <w:p w14:paraId="785D9ABC" w14:textId="77777777" w:rsidR="0032151C" w:rsidRPr="003D455A" w:rsidRDefault="0032151C" w:rsidP="007007B2">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Соответствие</w:t>
            </w:r>
          </w:p>
        </w:tc>
        <w:tc>
          <w:tcPr>
            <w:tcW w:w="1559" w:type="dxa"/>
          </w:tcPr>
          <w:p w14:paraId="3A06162F"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2420" w:type="dxa"/>
          </w:tcPr>
          <w:p w14:paraId="168DD488"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r w:rsidRPr="003B3781">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14:paraId="5A1F1582"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75890D97"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25DB533E"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6A152EE3"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49B4B19A"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r w:rsidR="0032151C" w:rsidRPr="00AF5ABF" w14:paraId="5EED923C" w14:textId="77777777" w:rsidTr="007007B2">
        <w:trPr>
          <w:trHeight w:val="149"/>
        </w:trPr>
        <w:tc>
          <w:tcPr>
            <w:tcW w:w="1418" w:type="dxa"/>
            <w:vMerge/>
          </w:tcPr>
          <w:p w14:paraId="1FD84F5E"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48699068"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14D5B5A8"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Borders>
              <w:top w:val="nil"/>
              <w:left w:val="nil"/>
              <w:bottom w:val="single" w:sz="4" w:space="0" w:color="auto"/>
              <w:right w:val="single" w:sz="4" w:space="0" w:color="auto"/>
            </w:tcBorders>
            <w:shd w:val="clear" w:color="000000" w:fill="FFFFFF"/>
          </w:tcPr>
          <w:p w14:paraId="65A6B9A2" w14:textId="77777777" w:rsidR="0032151C" w:rsidRPr="003B3781" w:rsidRDefault="0032151C" w:rsidP="007007B2">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t xml:space="preserve">Возможность подключения к ПК для организации системы непрерывного контроля с функцией </w:t>
            </w:r>
            <w:r w:rsidRPr="003B3781">
              <w:rPr>
                <w:rFonts w:ascii="Times New Roman" w:eastAsia="Courier New" w:hAnsi="Times New Roman" w:cs="Courier New"/>
                <w:color w:val="000000"/>
                <w:sz w:val="18"/>
                <w:szCs w:val="18"/>
                <w:lang w:bidi="ru-RU"/>
              </w:rPr>
              <w:lastRenderedPageBreak/>
              <w:t>документирования</w:t>
            </w:r>
          </w:p>
        </w:tc>
        <w:tc>
          <w:tcPr>
            <w:tcW w:w="1842" w:type="dxa"/>
            <w:tcBorders>
              <w:top w:val="nil"/>
              <w:left w:val="nil"/>
              <w:bottom w:val="single" w:sz="4" w:space="0" w:color="auto"/>
              <w:right w:val="single" w:sz="4" w:space="0" w:color="auto"/>
            </w:tcBorders>
            <w:shd w:val="clear" w:color="000000" w:fill="FFFFFF"/>
          </w:tcPr>
          <w:p w14:paraId="482C6041" w14:textId="77777777" w:rsidR="0032151C" w:rsidRPr="003D455A" w:rsidRDefault="0032151C" w:rsidP="007007B2">
            <w:pPr>
              <w:widowControl w:val="0"/>
              <w:tabs>
                <w:tab w:val="left" w:pos="6039"/>
              </w:tabs>
              <w:jc w:val="center"/>
              <w:rPr>
                <w:rFonts w:ascii="Times New Roman" w:eastAsia="Courier New" w:hAnsi="Times New Roman" w:cs="Courier New"/>
                <w:color w:val="000000"/>
                <w:sz w:val="18"/>
                <w:szCs w:val="18"/>
                <w:lang w:bidi="ru-RU"/>
              </w:rPr>
            </w:pPr>
            <w:r w:rsidRPr="003B3781">
              <w:rPr>
                <w:rFonts w:ascii="Times New Roman" w:eastAsia="Courier New" w:hAnsi="Times New Roman" w:cs="Courier New"/>
                <w:color w:val="000000"/>
                <w:sz w:val="18"/>
                <w:szCs w:val="18"/>
                <w:lang w:bidi="ru-RU"/>
              </w:rPr>
              <w:lastRenderedPageBreak/>
              <w:t>Соответствие</w:t>
            </w:r>
          </w:p>
        </w:tc>
        <w:tc>
          <w:tcPr>
            <w:tcW w:w="1559" w:type="dxa"/>
          </w:tcPr>
          <w:p w14:paraId="697586BC"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2420" w:type="dxa"/>
          </w:tcPr>
          <w:p w14:paraId="5CBED46E"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r w:rsidRPr="003B3781">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14:paraId="1FE85CA6"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30371A3B"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4CF61FAD"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192A0C50"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7D271214"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r w:rsidR="0032151C" w:rsidRPr="00AF5ABF" w14:paraId="2D2AA215" w14:textId="77777777" w:rsidTr="007007B2">
        <w:trPr>
          <w:trHeight w:val="149"/>
        </w:trPr>
        <w:tc>
          <w:tcPr>
            <w:tcW w:w="1418" w:type="dxa"/>
            <w:vMerge/>
          </w:tcPr>
          <w:p w14:paraId="5B0FE322"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0B89794E"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33FF52AB"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Pr>
          <w:p w14:paraId="65133FD6"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cs="Courier New"/>
                <w:color w:val="000000"/>
                <w:sz w:val="18"/>
                <w:szCs w:val="18"/>
                <w:lang w:bidi="ru-RU"/>
              </w:rPr>
              <w:t>Диапазон измерений мощности амбиентного эквивалента дозы:  - непрерывного излучения</w:t>
            </w:r>
          </w:p>
        </w:tc>
        <w:tc>
          <w:tcPr>
            <w:tcW w:w="1842" w:type="dxa"/>
          </w:tcPr>
          <w:p w14:paraId="2E84ED27"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r w:rsidRPr="003D455A">
              <w:rPr>
                <w:rFonts w:ascii="Times New Roman" w:eastAsia="Courier New" w:hAnsi="Times New Roman" w:cs="Courier New"/>
                <w:color w:val="000000"/>
                <w:sz w:val="18"/>
                <w:szCs w:val="18"/>
                <w:lang w:bidi="ru-RU"/>
              </w:rPr>
              <w:t>50 - 10</w:t>
            </w:r>
          </w:p>
        </w:tc>
        <w:tc>
          <w:tcPr>
            <w:tcW w:w="1559" w:type="dxa"/>
          </w:tcPr>
          <w:p w14:paraId="3C8AC709" w14:textId="77777777" w:rsidR="0032151C" w:rsidRPr="003D455A" w:rsidRDefault="0032151C" w:rsidP="007007B2">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bCs/>
                <w:color w:val="000000"/>
                <w:sz w:val="18"/>
                <w:szCs w:val="18"/>
                <w:lang w:bidi="ru-RU"/>
              </w:rPr>
              <w:t>(нЗв/ч)-(</w:t>
            </w:r>
            <w:r w:rsidRPr="003D455A">
              <w:rPr>
                <w:rFonts w:ascii="Times New Roman" w:eastAsia="Courier New" w:hAnsi="Times New Roman"/>
                <w:bCs/>
                <w:color w:val="000000"/>
                <w:sz w:val="18"/>
                <w:szCs w:val="18"/>
                <w:lang w:bidi="ru-RU"/>
              </w:rPr>
              <w:t>Зв/ч</w:t>
            </w:r>
            <w:r>
              <w:rPr>
                <w:rFonts w:ascii="Times New Roman" w:eastAsia="Courier New" w:hAnsi="Times New Roman"/>
                <w:bCs/>
                <w:color w:val="000000"/>
                <w:sz w:val="18"/>
                <w:szCs w:val="18"/>
                <w:lang w:bidi="ru-RU"/>
              </w:rPr>
              <w:t>)</w:t>
            </w:r>
          </w:p>
        </w:tc>
        <w:tc>
          <w:tcPr>
            <w:tcW w:w="2420" w:type="dxa"/>
          </w:tcPr>
          <w:p w14:paraId="33028441" w14:textId="77777777" w:rsidR="0032151C" w:rsidRDefault="0032151C" w:rsidP="007007B2">
            <w:pPr>
              <w:jc w:val="center"/>
            </w:pPr>
            <w:r w:rsidRPr="00B9664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14:paraId="02987F3E"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2F5627E5"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174542C7"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571F9AD1"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72832B8D"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r w:rsidR="0032151C" w:rsidRPr="00AF5ABF" w14:paraId="323A0E1C" w14:textId="77777777" w:rsidTr="007007B2">
        <w:trPr>
          <w:trHeight w:val="149"/>
        </w:trPr>
        <w:tc>
          <w:tcPr>
            <w:tcW w:w="1418" w:type="dxa"/>
            <w:vMerge/>
          </w:tcPr>
          <w:p w14:paraId="5798BBCC"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1969557B"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79011763"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Pr>
          <w:p w14:paraId="39EB2AA6"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B11715">
              <w:rPr>
                <w:rFonts w:ascii="Times New Roman" w:eastAsia="Courier New" w:hAnsi="Times New Roman" w:cs="Courier New"/>
                <w:color w:val="000000"/>
                <w:sz w:val="18"/>
                <w:szCs w:val="18"/>
                <w:lang w:bidi="ru-RU"/>
              </w:rPr>
              <w:t>Диапазон измерений мощности амбиентного эквивалента дозы:  - кратковременного излучения</w:t>
            </w:r>
          </w:p>
        </w:tc>
        <w:tc>
          <w:tcPr>
            <w:tcW w:w="1842" w:type="dxa"/>
          </w:tcPr>
          <w:p w14:paraId="0DCFFB8C"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B11715">
              <w:rPr>
                <w:rFonts w:ascii="Times New Roman" w:eastAsia="Courier New" w:hAnsi="Times New Roman" w:cs="Courier New"/>
                <w:color w:val="000000"/>
                <w:sz w:val="18"/>
                <w:szCs w:val="18"/>
                <w:lang w:bidi="ru-RU"/>
              </w:rPr>
              <w:t xml:space="preserve">5 - 10 </w:t>
            </w:r>
          </w:p>
        </w:tc>
        <w:tc>
          <w:tcPr>
            <w:tcW w:w="1559" w:type="dxa"/>
          </w:tcPr>
          <w:p w14:paraId="7EF1EA25"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cs="Courier New"/>
                <w:color w:val="000000"/>
                <w:sz w:val="18"/>
                <w:szCs w:val="18"/>
                <w:lang w:bidi="ru-RU"/>
              </w:rPr>
              <w:t>(мкЗв/ч)-(</w:t>
            </w:r>
            <w:r w:rsidRPr="00B11715">
              <w:rPr>
                <w:rFonts w:ascii="Times New Roman" w:eastAsia="Courier New" w:hAnsi="Times New Roman" w:cs="Courier New"/>
                <w:color w:val="000000"/>
                <w:sz w:val="18"/>
                <w:szCs w:val="18"/>
                <w:lang w:bidi="ru-RU"/>
              </w:rPr>
              <w:t>Зв/ч</w:t>
            </w:r>
            <w:r>
              <w:rPr>
                <w:rFonts w:ascii="Times New Roman" w:eastAsia="Courier New" w:hAnsi="Times New Roman" w:cs="Courier New"/>
                <w:color w:val="000000"/>
                <w:sz w:val="18"/>
                <w:szCs w:val="18"/>
                <w:lang w:bidi="ru-RU"/>
              </w:rPr>
              <w:t>)</w:t>
            </w:r>
          </w:p>
        </w:tc>
        <w:tc>
          <w:tcPr>
            <w:tcW w:w="2420" w:type="dxa"/>
          </w:tcPr>
          <w:p w14:paraId="21B087CD" w14:textId="77777777" w:rsidR="0032151C" w:rsidRDefault="0032151C" w:rsidP="007007B2">
            <w:pPr>
              <w:jc w:val="center"/>
            </w:pPr>
            <w:r w:rsidRPr="00B9664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14:paraId="0C568EC7"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6FB030D2"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554DE1E6"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27E006E7"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5875974B"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r w:rsidR="0032151C" w:rsidRPr="00AF5ABF" w14:paraId="3C455F8F" w14:textId="77777777" w:rsidTr="007007B2">
        <w:trPr>
          <w:trHeight w:val="149"/>
        </w:trPr>
        <w:tc>
          <w:tcPr>
            <w:tcW w:w="1418" w:type="dxa"/>
            <w:vMerge/>
          </w:tcPr>
          <w:p w14:paraId="783C174B"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34569142"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780F51F0"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Pr>
          <w:p w14:paraId="7EC75088"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8E0B4E">
              <w:rPr>
                <w:rFonts w:ascii="Times New Roman" w:eastAsia="Courier New" w:hAnsi="Times New Roman" w:cs="Courier New"/>
                <w:color w:val="000000"/>
                <w:sz w:val="18"/>
                <w:szCs w:val="18"/>
                <w:lang w:bidi="ru-RU"/>
              </w:rPr>
              <w:t xml:space="preserve">Диапазон измерений </w:t>
            </w:r>
            <w:r>
              <w:rPr>
                <w:rFonts w:ascii="Times New Roman" w:eastAsia="Courier New" w:hAnsi="Times New Roman" w:cs="Courier New"/>
                <w:color w:val="000000"/>
                <w:sz w:val="18"/>
                <w:szCs w:val="18"/>
                <w:lang w:bidi="ru-RU"/>
              </w:rPr>
              <w:t xml:space="preserve">средней </w:t>
            </w:r>
            <w:r w:rsidRPr="008E0B4E">
              <w:rPr>
                <w:rFonts w:ascii="Times New Roman" w:eastAsia="Courier New" w:hAnsi="Times New Roman" w:cs="Courier New"/>
                <w:color w:val="000000"/>
                <w:sz w:val="18"/>
                <w:szCs w:val="18"/>
                <w:lang w:bidi="ru-RU"/>
              </w:rPr>
              <w:t>мощности амбиентного эквивалента дозы:  - импульсного излучения</w:t>
            </w:r>
          </w:p>
        </w:tc>
        <w:tc>
          <w:tcPr>
            <w:tcW w:w="1842" w:type="dxa"/>
          </w:tcPr>
          <w:p w14:paraId="3F69646C"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8E0B4E">
              <w:rPr>
                <w:rFonts w:ascii="Times New Roman" w:eastAsia="Courier New" w:hAnsi="Times New Roman" w:cs="Courier New"/>
                <w:color w:val="000000"/>
                <w:sz w:val="18"/>
                <w:szCs w:val="18"/>
                <w:lang w:bidi="ru-RU"/>
              </w:rPr>
              <w:t xml:space="preserve">0,1 - 10 </w:t>
            </w:r>
          </w:p>
        </w:tc>
        <w:tc>
          <w:tcPr>
            <w:tcW w:w="1559" w:type="dxa"/>
          </w:tcPr>
          <w:p w14:paraId="493E562E"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cs="Courier New"/>
                <w:color w:val="000000"/>
                <w:sz w:val="18"/>
                <w:szCs w:val="18"/>
                <w:lang w:bidi="ru-RU"/>
              </w:rPr>
              <w:t>мкЗв/ч</w:t>
            </w:r>
          </w:p>
        </w:tc>
        <w:tc>
          <w:tcPr>
            <w:tcW w:w="2420" w:type="dxa"/>
          </w:tcPr>
          <w:p w14:paraId="777CFF78" w14:textId="77777777" w:rsidR="0032151C" w:rsidRDefault="0032151C" w:rsidP="007007B2">
            <w:pPr>
              <w:jc w:val="center"/>
            </w:pPr>
            <w:r w:rsidRPr="00B9664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14:paraId="116199DB"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68581264"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15C66A23"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77E27217"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453FD118"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r w:rsidR="0032151C" w:rsidRPr="00AF5ABF" w14:paraId="662DAE55" w14:textId="77777777" w:rsidTr="007007B2">
        <w:trPr>
          <w:trHeight w:val="149"/>
        </w:trPr>
        <w:tc>
          <w:tcPr>
            <w:tcW w:w="1418" w:type="dxa"/>
            <w:vMerge/>
          </w:tcPr>
          <w:p w14:paraId="4C6FC29F"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768A2726"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2D0CD165"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Pr>
          <w:p w14:paraId="5FC9DB71" w14:textId="77777777" w:rsidR="0032151C" w:rsidRPr="0067648F" w:rsidRDefault="0032151C" w:rsidP="007007B2">
            <w:pPr>
              <w:widowControl w:val="0"/>
              <w:tabs>
                <w:tab w:val="left" w:pos="6039"/>
              </w:tabs>
              <w:jc w:val="center"/>
              <w:rPr>
                <w:rFonts w:ascii="Times New Roman" w:eastAsia="Courier New" w:hAnsi="Times New Roman" w:cs="Courier New"/>
                <w:color w:val="000000"/>
                <w:sz w:val="18"/>
                <w:szCs w:val="18"/>
                <w:lang w:bidi="ru-RU"/>
              </w:rPr>
            </w:pPr>
            <w:r w:rsidRPr="0067648F">
              <w:rPr>
                <w:rFonts w:ascii="Times New Roman" w:eastAsia="Courier New" w:hAnsi="Times New Roman" w:cs="Courier New"/>
                <w:color w:val="000000"/>
                <w:sz w:val="18"/>
                <w:szCs w:val="18"/>
                <w:lang w:bidi="ru-RU"/>
              </w:rPr>
              <w:t>Диапазон измерений амбиентного</w:t>
            </w:r>
          </w:p>
          <w:p w14:paraId="5DF47064"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67648F">
              <w:rPr>
                <w:rFonts w:ascii="Times New Roman" w:eastAsia="Courier New" w:hAnsi="Times New Roman" w:cs="Courier New"/>
                <w:color w:val="000000"/>
                <w:sz w:val="18"/>
                <w:szCs w:val="18"/>
                <w:lang w:bidi="ru-RU"/>
              </w:rPr>
              <w:t>эквивалента дозы</w:t>
            </w:r>
          </w:p>
        </w:tc>
        <w:tc>
          <w:tcPr>
            <w:tcW w:w="1842" w:type="dxa"/>
          </w:tcPr>
          <w:p w14:paraId="05888D37"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cs="Courier New"/>
                <w:color w:val="000000"/>
                <w:sz w:val="18"/>
                <w:szCs w:val="18"/>
                <w:lang w:bidi="ru-RU"/>
              </w:rPr>
              <w:t xml:space="preserve">0,1  - 100 </w:t>
            </w:r>
          </w:p>
        </w:tc>
        <w:tc>
          <w:tcPr>
            <w:tcW w:w="1559" w:type="dxa"/>
          </w:tcPr>
          <w:p w14:paraId="629E2522"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cs="Courier New"/>
                <w:color w:val="000000"/>
                <w:sz w:val="18"/>
                <w:szCs w:val="18"/>
                <w:lang w:bidi="ru-RU"/>
              </w:rPr>
              <w:t>нЗв/Зв</w:t>
            </w:r>
          </w:p>
        </w:tc>
        <w:tc>
          <w:tcPr>
            <w:tcW w:w="2420" w:type="dxa"/>
          </w:tcPr>
          <w:p w14:paraId="6803855B" w14:textId="77777777" w:rsidR="0032151C" w:rsidRDefault="0032151C" w:rsidP="007007B2">
            <w:pPr>
              <w:jc w:val="center"/>
            </w:pPr>
            <w:r w:rsidRPr="00B9664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14:paraId="6A1FE57F"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64B4397D"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710E5004"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4D20A0F7"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77CBF2C7"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r w:rsidR="0032151C" w:rsidRPr="00AF5ABF" w14:paraId="629C41CA" w14:textId="77777777" w:rsidTr="007007B2">
        <w:trPr>
          <w:trHeight w:val="149"/>
        </w:trPr>
        <w:tc>
          <w:tcPr>
            <w:tcW w:w="1418" w:type="dxa"/>
            <w:vMerge/>
          </w:tcPr>
          <w:p w14:paraId="0185DE68"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07B1E200"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4E37BF8A"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Pr>
          <w:p w14:paraId="4BBBF68C" w14:textId="77777777" w:rsidR="0032151C" w:rsidRPr="0067648F" w:rsidRDefault="0032151C" w:rsidP="007007B2">
            <w:pPr>
              <w:widowControl w:val="0"/>
              <w:tabs>
                <w:tab w:val="left" w:pos="6039"/>
              </w:tabs>
              <w:jc w:val="center"/>
              <w:rPr>
                <w:rFonts w:ascii="Times New Roman" w:eastAsia="Courier New" w:hAnsi="Times New Roman" w:cs="Courier New"/>
                <w:color w:val="000000"/>
                <w:sz w:val="18"/>
                <w:szCs w:val="18"/>
                <w:lang w:bidi="ru-RU"/>
              </w:rPr>
            </w:pPr>
            <w:r w:rsidRPr="0067648F">
              <w:rPr>
                <w:rFonts w:ascii="Times New Roman" w:eastAsia="Courier New" w:hAnsi="Times New Roman" w:cs="Courier New"/>
                <w:color w:val="000000"/>
                <w:sz w:val="18"/>
                <w:szCs w:val="18"/>
                <w:lang w:bidi="ru-RU"/>
              </w:rPr>
              <w:t>Диапазон энергий:</w:t>
            </w:r>
          </w:p>
          <w:p w14:paraId="04EE401D" w14:textId="77777777" w:rsidR="0032151C" w:rsidRPr="0067648F" w:rsidRDefault="0032151C" w:rsidP="007007B2">
            <w:pPr>
              <w:widowControl w:val="0"/>
              <w:tabs>
                <w:tab w:val="left" w:pos="6039"/>
              </w:tabs>
              <w:jc w:val="center"/>
              <w:rPr>
                <w:rFonts w:ascii="Times New Roman" w:eastAsia="Courier New" w:hAnsi="Times New Roman" w:cs="Courier New"/>
                <w:color w:val="000000"/>
                <w:sz w:val="18"/>
                <w:szCs w:val="18"/>
                <w:lang w:bidi="ru-RU"/>
              </w:rPr>
            </w:pPr>
            <w:r w:rsidRPr="0067648F">
              <w:rPr>
                <w:rFonts w:ascii="Times New Roman" w:eastAsia="Courier New" w:hAnsi="Times New Roman" w:cs="Courier New"/>
                <w:color w:val="000000"/>
                <w:sz w:val="18"/>
                <w:szCs w:val="18"/>
                <w:lang w:bidi="ru-RU"/>
              </w:rPr>
              <w:t>- непрерывного и</w:t>
            </w:r>
          </w:p>
          <w:p w14:paraId="431E578D"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67648F">
              <w:rPr>
                <w:rFonts w:ascii="Times New Roman" w:eastAsia="Courier New" w:hAnsi="Times New Roman" w:cs="Courier New"/>
                <w:color w:val="000000"/>
                <w:sz w:val="18"/>
                <w:szCs w:val="18"/>
                <w:lang w:bidi="ru-RU"/>
              </w:rPr>
              <w:t xml:space="preserve"> кратковременного излучения</w:t>
            </w:r>
          </w:p>
        </w:tc>
        <w:tc>
          <w:tcPr>
            <w:tcW w:w="1842" w:type="dxa"/>
          </w:tcPr>
          <w:p w14:paraId="7E118CD8"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cs="Courier New"/>
                <w:color w:val="000000"/>
                <w:sz w:val="18"/>
                <w:szCs w:val="18"/>
                <w:lang w:bidi="ru-RU"/>
              </w:rPr>
              <w:t xml:space="preserve">15 - 3 </w:t>
            </w:r>
          </w:p>
        </w:tc>
        <w:tc>
          <w:tcPr>
            <w:tcW w:w="1559" w:type="dxa"/>
          </w:tcPr>
          <w:p w14:paraId="02552565"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cs="Courier New"/>
                <w:color w:val="000000"/>
                <w:sz w:val="18"/>
                <w:szCs w:val="18"/>
                <w:lang w:bidi="ru-RU"/>
              </w:rPr>
              <w:t>кэВ /</w:t>
            </w:r>
            <w:r w:rsidRPr="0067648F">
              <w:rPr>
                <w:rFonts w:ascii="Times New Roman" w:eastAsia="Courier New" w:hAnsi="Times New Roman" w:cs="Courier New"/>
                <w:color w:val="000000"/>
                <w:sz w:val="18"/>
                <w:szCs w:val="18"/>
                <w:lang w:bidi="ru-RU"/>
              </w:rPr>
              <w:t>М</w:t>
            </w:r>
            <w:r>
              <w:rPr>
                <w:rFonts w:ascii="Times New Roman" w:eastAsia="Courier New" w:hAnsi="Times New Roman" w:cs="Courier New"/>
                <w:color w:val="000000"/>
                <w:sz w:val="18"/>
                <w:szCs w:val="18"/>
                <w:lang w:bidi="ru-RU"/>
              </w:rPr>
              <w:t>эВ</w:t>
            </w:r>
          </w:p>
        </w:tc>
        <w:tc>
          <w:tcPr>
            <w:tcW w:w="2420" w:type="dxa"/>
          </w:tcPr>
          <w:p w14:paraId="17884EF6" w14:textId="77777777" w:rsidR="0032151C" w:rsidRDefault="0032151C" w:rsidP="007007B2">
            <w:pPr>
              <w:jc w:val="center"/>
            </w:pPr>
            <w:r w:rsidRPr="00B9664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14:paraId="634A00D8"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290F4845"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4A5444D3"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1DE1309D"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6312C855"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r w:rsidR="0032151C" w:rsidRPr="00AF5ABF" w14:paraId="724C2590" w14:textId="77777777" w:rsidTr="007007B2">
        <w:trPr>
          <w:trHeight w:val="149"/>
        </w:trPr>
        <w:tc>
          <w:tcPr>
            <w:tcW w:w="1418" w:type="dxa"/>
            <w:vMerge/>
          </w:tcPr>
          <w:p w14:paraId="1F94C537"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295E98DD"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2D1B0D82"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Pr>
          <w:p w14:paraId="01E2090D"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67648F">
              <w:rPr>
                <w:rFonts w:ascii="Times New Roman" w:eastAsia="Courier New" w:hAnsi="Times New Roman" w:cs="Courier New"/>
                <w:color w:val="000000"/>
                <w:sz w:val="18"/>
                <w:szCs w:val="18"/>
                <w:lang w:bidi="ru-RU"/>
              </w:rPr>
              <w:t>Диапазон энергий:- импульсного излучения</w:t>
            </w:r>
          </w:p>
        </w:tc>
        <w:tc>
          <w:tcPr>
            <w:tcW w:w="1842" w:type="dxa"/>
          </w:tcPr>
          <w:p w14:paraId="5781DC83"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cs="Courier New"/>
                <w:color w:val="000000"/>
                <w:sz w:val="18"/>
                <w:szCs w:val="18"/>
                <w:lang w:bidi="ru-RU"/>
              </w:rPr>
              <w:t xml:space="preserve">15 </w:t>
            </w:r>
            <w:r w:rsidRPr="0067648F">
              <w:rPr>
                <w:rFonts w:ascii="Times New Roman" w:eastAsia="Courier New" w:hAnsi="Times New Roman" w:cs="Courier New"/>
                <w:color w:val="000000"/>
                <w:sz w:val="18"/>
                <w:szCs w:val="18"/>
                <w:lang w:bidi="ru-RU"/>
              </w:rPr>
              <w:t xml:space="preserve">- 10 </w:t>
            </w:r>
          </w:p>
        </w:tc>
        <w:tc>
          <w:tcPr>
            <w:tcW w:w="1559" w:type="dxa"/>
          </w:tcPr>
          <w:p w14:paraId="2BF56E8D"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67648F">
              <w:rPr>
                <w:rFonts w:ascii="Times New Roman" w:eastAsia="Courier New" w:hAnsi="Times New Roman" w:cs="Courier New"/>
                <w:color w:val="000000"/>
                <w:sz w:val="18"/>
                <w:szCs w:val="18"/>
                <w:lang w:bidi="ru-RU"/>
              </w:rPr>
              <w:t xml:space="preserve">кэВ </w:t>
            </w:r>
            <w:r>
              <w:rPr>
                <w:rFonts w:ascii="Times New Roman" w:eastAsia="Courier New" w:hAnsi="Times New Roman" w:cs="Courier New"/>
                <w:color w:val="000000"/>
                <w:sz w:val="18"/>
                <w:szCs w:val="18"/>
                <w:lang w:bidi="ru-RU"/>
              </w:rPr>
              <w:t>/</w:t>
            </w:r>
            <w:r w:rsidRPr="0067648F">
              <w:rPr>
                <w:rFonts w:ascii="Times New Roman" w:eastAsia="Courier New" w:hAnsi="Times New Roman" w:cs="Courier New"/>
                <w:color w:val="000000"/>
                <w:sz w:val="18"/>
                <w:szCs w:val="18"/>
                <w:lang w:bidi="ru-RU"/>
              </w:rPr>
              <w:t xml:space="preserve">МэВ </w:t>
            </w:r>
          </w:p>
        </w:tc>
        <w:tc>
          <w:tcPr>
            <w:tcW w:w="2420" w:type="dxa"/>
          </w:tcPr>
          <w:p w14:paraId="019EE35B" w14:textId="77777777" w:rsidR="0032151C" w:rsidRDefault="0032151C" w:rsidP="007007B2">
            <w:pPr>
              <w:jc w:val="center"/>
            </w:pPr>
            <w:r w:rsidRPr="00B9664A">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14:paraId="4784BC27"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4A32F072"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1F3F2746"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54D26472"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26645636"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r w:rsidR="0032151C" w:rsidRPr="00AF5ABF" w14:paraId="7D3C6A2B" w14:textId="77777777" w:rsidTr="007007B2">
        <w:trPr>
          <w:trHeight w:val="149"/>
        </w:trPr>
        <w:tc>
          <w:tcPr>
            <w:tcW w:w="1418" w:type="dxa"/>
            <w:vMerge/>
          </w:tcPr>
          <w:p w14:paraId="6E49FE3F"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27AB9752"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7CD8F5EF"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Pr>
          <w:p w14:paraId="2A5FC72A" w14:textId="77777777" w:rsidR="0032151C" w:rsidRPr="0067648F" w:rsidRDefault="0032151C" w:rsidP="007007B2">
            <w:pPr>
              <w:widowControl w:val="0"/>
              <w:tabs>
                <w:tab w:val="left" w:pos="6039"/>
              </w:tabs>
              <w:jc w:val="center"/>
              <w:rPr>
                <w:rFonts w:ascii="Times New Roman" w:eastAsia="Courier New" w:hAnsi="Times New Roman" w:cs="Courier New"/>
                <w:color w:val="000000"/>
                <w:sz w:val="18"/>
                <w:szCs w:val="18"/>
                <w:lang w:bidi="ru-RU"/>
              </w:rPr>
            </w:pPr>
            <w:r w:rsidRPr="0067648F">
              <w:rPr>
                <w:rFonts w:ascii="Times New Roman" w:eastAsia="Courier New" w:hAnsi="Times New Roman" w:cs="Courier New"/>
                <w:color w:val="000000"/>
                <w:sz w:val="18"/>
                <w:szCs w:val="18"/>
                <w:lang w:bidi="ru-RU"/>
              </w:rPr>
              <w:t>Время измерения мощности</w:t>
            </w:r>
            <w:r>
              <w:rPr>
                <w:rFonts w:ascii="Times New Roman" w:eastAsia="Courier New" w:hAnsi="Times New Roman" w:cs="Courier New"/>
                <w:color w:val="000000"/>
                <w:sz w:val="18"/>
                <w:szCs w:val="18"/>
                <w:lang w:bidi="ru-RU"/>
              </w:rPr>
              <w:t xml:space="preserve"> </w:t>
            </w:r>
            <w:r>
              <w:rPr>
                <w:rFonts w:ascii="Times New Roman" w:eastAsia="Courier New" w:hAnsi="Times New Roman" w:cs="Courier New"/>
                <w:color w:val="000000"/>
                <w:sz w:val="18"/>
                <w:szCs w:val="18"/>
                <w:lang w:bidi="ru-RU"/>
              </w:rPr>
              <w:lastRenderedPageBreak/>
              <w:t>амбиентного эквивалента</w:t>
            </w:r>
            <w:bookmarkStart w:id="19" w:name="_GoBack"/>
            <w:bookmarkEnd w:id="19"/>
            <w:r w:rsidRPr="0067648F">
              <w:rPr>
                <w:rFonts w:ascii="Times New Roman" w:eastAsia="Courier New" w:hAnsi="Times New Roman" w:cs="Courier New"/>
                <w:color w:val="000000"/>
                <w:sz w:val="18"/>
                <w:szCs w:val="18"/>
                <w:lang w:bidi="ru-RU"/>
              </w:rPr>
              <w:t xml:space="preserve"> дозы  (М</w:t>
            </w:r>
            <w:r>
              <w:rPr>
                <w:rFonts w:ascii="Times New Roman" w:eastAsia="Courier New" w:hAnsi="Times New Roman" w:cs="Courier New"/>
                <w:color w:val="000000"/>
                <w:sz w:val="18"/>
                <w:szCs w:val="18"/>
                <w:lang w:bidi="ru-RU"/>
              </w:rPr>
              <w:t>АЭ</w:t>
            </w:r>
            <w:r w:rsidRPr="0067648F">
              <w:rPr>
                <w:rFonts w:ascii="Times New Roman" w:eastAsia="Courier New" w:hAnsi="Times New Roman" w:cs="Courier New"/>
                <w:color w:val="000000"/>
                <w:sz w:val="18"/>
                <w:szCs w:val="18"/>
                <w:lang w:bidi="ru-RU"/>
              </w:rPr>
              <w:t>Д) гамма-излучения Cs</w:t>
            </w:r>
            <w:r>
              <w:rPr>
                <w:rFonts w:ascii="Times New Roman" w:eastAsia="Courier New" w:hAnsi="Times New Roman" w:cs="Courier New"/>
                <w:color w:val="000000"/>
                <w:sz w:val="18"/>
                <w:szCs w:val="18"/>
                <w:lang w:bidi="ru-RU"/>
              </w:rPr>
              <w:t>-137</w:t>
            </w:r>
          </w:p>
          <w:p w14:paraId="37685B1E" w14:textId="77777777" w:rsidR="0032151C" w:rsidRPr="0067648F" w:rsidRDefault="0032151C" w:rsidP="007007B2">
            <w:pPr>
              <w:widowControl w:val="0"/>
              <w:tabs>
                <w:tab w:val="left" w:pos="6039"/>
              </w:tabs>
              <w:jc w:val="center"/>
              <w:rPr>
                <w:rFonts w:ascii="Times New Roman" w:eastAsia="Courier New" w:hAnsi="Times New Roman" w:cs="Courier New"/>
                <w:color w:val="000000"/>
                <w:sz w:val="18"/>
                <w:szCs w:val="18"/>
                <w:lang w:bidi="ru-RU"/>
              </w:rPr>
            </w:pPr>
            <w:r w:rsidRPr="0067648F">
              <w:rPr>
                <w:rFonts w:ascii="Times New Roman" w:eastAsia="Courier New" w:hAnsi="Times New Roman" w:cs="Courier New"/>
                <w:color w:val="000000"/>
                <w:sz w:val="18"/>
                <w:szCs w:val="18"/>
                <w:lang w:bidi="ru-RU"/>
              </w:rPr>
              <w:t xml:space="preserve">- при </w:t>
            </w:r>
            <w:r>
              <w:rPr>
                <w:rFonts w:ascii="Times New Roman" w:eastAsia="Courier New" w:hAnsi="Times New Roman" w:cs="Courier New"/>
                <w:color w:val="000000"/>
                <w:sz w:val="18"/>
                <w:szCs w:val="18"/>
                <w:lang w:bidi="ru-RU"/>
              </w:rPr>
              <w:t xml:space="preserve"> мощности дозы</w:t>
            </w:r>
            <w:r w:rsidRPr="0067648F">
              <w:rPr>
                <w:rFonts w:ascii="Times New Roman" w:eastAsia="Courier New" w:hAnsi="Times New Roman" w:cs="Courier New"/>
                <w:color w:val="000000"/>
                <w:sz w:val="18"/>
                <w:szCs w:val="18"/>
                <w:lang w:bidi="ru-RU"/>
              </w:rPr>
              <w:t>: 50 нЗв/ч</w:t>
            </w:r>
          </w:p>
          <w:p w14:paraId="397C64F7"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842" w:type="dxa"/>
          </w:tcPr>
          <w:p w14:paraId="743A341D"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E16CAD">
              <w:rPr>
                <w:rFonts w:ascii="Times New Roman" w:eastAsia="Courier New" w:hAnsi="Times New Roman" w:cs="Courier New"/>
                <w:color w:val="000000"/>
                <w:sz w:val="18"/>
                <w:szCs w:val="18"/>
                <w:lang w:bidi="ru-RU"/>
              </w:rPr>
              <w:lastRenderedPageBreak/>
              <w:t>≤</w:t>
            </w:r>
            <w:r>
              <w:rPr>
                <w:rFonts w:ascii="Times New Roman" w:eastAsia="Courier New" w:hAnsi="Times New Roman" w:cs="Courier New"/>
                <w:color w:val="000000"/>
                <w:sz w:val="18"/>
                <w:szCs w:val="18"/>
                <w:lang w:bidi="ru-RU"/>
              </w:rPr>
              <w:t>60</w:t>
            </w:r>
          </w:p>
        </w:tc>
        <w:tc>
          <w:tcPr>
            <w:tcW w:w="1559" w:type="dxa"/>
          </w:tcPr>
          <w:p w14:paraId="77EE3B50"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bCs/>
                <w:color w:val="000000"/>
                <w:sz w:val="18"/>
                <w:szCs w:val="18"/>
                <w:lang w:bidi="ru-RU"/>
              </w:rPr>
              <w:t>секунд</w:t>
            </w:r>
          </w:p>
        </w:tc>
        <w:tc>
          <w:tcPr>
            <w:tcW w:w="2420" w:type="dxa"/>
          </w:tcPr>
          <w:p w14:paraId="096652CB" w14:textId="77777777" w:rsidR="0032151C" w:rsidRPr="0067648F" w:rsidRDefault="0032151C" w:rsidP="007007B2">
            <w:pPr>
              <w:jc w:val="center"/>
              <w:rPr>
                <w:rFonts w:ascii="Times New Roman" w:eastAsia="Courier New" w:hAnsi="Times New Roman"/>
                <w:bCs/>
                <w:color w:val="000000"/>
                <w:sz w:val="18"/>
                <w:szCs w:val="18"/>
                <w:lang w:bidi="ru-RU"/>
              </w:rPr>
            </w:pPr>
            <w:r w:rsidRPr="0067648F">
              <w:rPr>
                <w:rFonts w:ascii="Times New Roman" w:eastAsia="Courier New" w:hAnsi="Times New Roman"/>
                <w:bCs/>
                <w:color w:val="000000"/>
                <w:sz w:val="18"/>
                <w:szCs w:val="18"/>
                <w:lang w:bidi="ru-RU"/>
              </w:rPr>
              <w:t xml:space="preserve">Участник закупки указывает в заявке </w:t>
            </w:r>
            <w:r w:rsidRPr="0067648F">
              <w:rPr>
                <w:rFonts w:ascii="Times New Roman" w:eastAsia="Courier New" w:hAnsi="Times New Roman"/>
                <w:bCs/>
                <w:color w:val="000000"/>
                <w:sz w:val="18"/>
                <w:szCs w:val="18"/>
                <w:lang w:bidi="ru-RU"/>
              </w:rPr>
              <w:lastRenderedPageBreak/>
              <w:t>конкретное значение характеристики</w:t>
            </w:r>
          </w:p>
        </w:tc>
        <w:tc>
          <w:tcPr>
            <w:tcW w:w="992" w:type="dxa"/>
            <w:vMerge/>
          </w:tcPr>
          <w:p w14:paraId="3582EA6C"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7A67FF4E"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02BA5DE2"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42B05508"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01BAFB04"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r w:rsidR="0032151C" w:rsidRPr="00AF5ABF" w14:paraId="5162D7C3" w14:textId="77777777" w:rsidTr="007007B2">
        <w:trPr>
          <w:trHeight w:val="149"/>
        </w:trPr>
        <w:tc>
          <w:tcPr>
            <w:tcW w:w="1418" w:type="dxa"/>
            <w:vMerge/>
          </w:tcPr>
          <w:p w14:paraId="11C1E9CA"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57329FA8"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4C23CF7D"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Pr>
          <w:p w14:paraId="14DBD7FD" w14:textId="77777777" w:rsidR="0032151C" w:rsidRPr="0067648F" w:rsidRDefault="0032151C" w:rsidP="007007B2">
            <w:pPr>
              <w:widowControl w:val="0"/>
              <w:tabs>
                <w:tab w:val="left" w:pos="6039"/>
              </w:tabs>
              <w:jc w:val="center"/>
              <w:rPr>
                <w:rFonts w:ascii="Times New Roman" w:eastAsia="Courier New" w:hAnsi="Times New Roman" w:cs="Courier New"/>
                <w:color w:val="000000"/>
                <w:sz w:val="18"/>
                <w:szCs w:val="18"/>
                <w:lang w:bidi="ru-RU"/>
              </w:rPr>
            </w:pPr>
            <w:r w:rsidRPr="0067648F">
              <w:rPr>
                <w:rFonts w:ascii="Times New Roman" w:eastAsia="Courier New" w:hAnsi="Times New Roman" w:cs="Courier New"/>
                <w:color w:val="000000"/>
                <w:sz w:val="18"/>
                <w:szCs w:val="18"/>
                <w:lang w:bidi="ru-RU"/>
              </w:rPr>
              <w:t xml:space="preserve">Время измерения мощности </w:t>
            </w:r>
            <w:r>
              <w:rPr>
                <w:rFonts w:ascii="Times New Roman" w:eastAsia="Courier New" w:hAnsi="Times New Roman" w:cs="Courier New"/>
                <w:color w:val="000000"/>
                <w:sz w:val="18"/>
                <w:szCs w:val="18"/>
                <w:lang w:bidi="ru-RU"/>
              </w:rPr>
              <w:t xml:space="preserve">амбиенттного эквивалента </w:t>
            </w:r>
            <w:r w:rsidRPr="0067648F">
              <w:rPr>
                <w:rFonts w:ascii="Times New Roman" w:eastAsia="Courier New" w:hAnsi="Times New Roman" w:cs="Courier New"/>
                <w:color w:val="000000"/>
                <w:sz w:val="18"/>
                <w:szCs w:val="18"/>
                <w:lang w:bidi="ru-RU"/>
              </w:rPr>
              <w:t>дозы  (М</w:t>
            </w:r>
            <w:r>
              <w:rPr>
                <w:rFonts w:ascii="Times New Roman" w:eastAsia="Courier New" w:hAnsi="Times New Roman" w:cs="Courier New"/>
                <w:color w:val="000000"/>
                <w:sz w:val="18"/>
                <w:szCs w:val="18"/>
                <w:lang w:bidi="ru-RU"/>
              </w:rPr>
              <w:t>АЭД</w:t>
            </w:r>
            <w:r w:rsidRPr="0067648F">
              <w:rPr>
                <w:rFonts w:ascii="Times New Roman" w:eastAsia="Courier New" w:hAnsi="Times New Roman" w:cs="Courier New"/>
                <w:color w:val="000000"/>
                <w:sz w:val="18"/>
                <w:szCs w:val="18"/>
                <w:lang w:bidi="ru-RU"/>
              </w:rPr>
              <w:t>) гамма-излучения Cs</w:t>
            </w:r>
            <w:r>
              <w:rPr>
                <w:rFonts w:ascii="Times New Roman" w:eastAsia="Courier New" w:hAnsi="Times New Roman" w:cs="Courier New"/>
                <w:color w:val="000000"/>
                <w:sz w:val="18"/>
                <w:szCs w:val="18"/>
                <w:lang w:bidi="ru-RU"/>
              </w:rPr>
              <w:t>-137 примощности дозы: 0,3  мкЗв/ч</w:t>
            </w:r>
          </w:p>
        </w:tc>
        <w:tc>
          <w:tcPr>
            <w:tcW w:w="1842" w:type="dxa"/>
          </w:tcPr>
          <w:p w14:paraId="50F9B5C3"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E16CAD">
              <w:rPr>
                <w:rFonts w:ascii="Times New Roman" w:eastAsia="Courier New" w:hAnsi="Times New Roman" w:cs="Courier New"/>
                <w:color w:val="000000"/>
                <w:sz w:val="18"/>
                <w:szCs w:val="18"/>
                <w:lang w:bidi="ru-RU"/>
              </w:rPr>
              <w:t>≤</w:t>
            </w:r>
            <w:r>
              <w:rPr>
                <w:rFonts w:ascii="Times New Roman" w:eastAsia="Courier New" w:hAnsi="Times New Roman" w:cs="Courier New"/>
                <w:color w:val="000000"/>
                <w:sz w:val="18"/>
                <w:szCs w:val="18"/>
                <w:lang w:bidi="ru-RU"/>
              </w:rPr>
              <w:t>10</w:t>
            </w:r>
          </w:p>
        </w:tc>
        <w:tc>
          <w:tcPr>
            <w:tcW w:w="1559" w:type="dxa"/>
          </w:tcPr>
          <w:p w14:paraId="16BEE42A"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bCs/>
                <w:color w:val="000000"/>
                <w:sz w:val="18"/>
                <w:szCs w:val="18"/>
                <w:lang w:bidi="ru-RU"/>
              </w:rPr>
              <w:t>секунд</w:t>
            </w:r>
          </w:p>
        </w:tc>
        <w:tc>
          <w:tcPr>
            <w:tcW w:w="2420" w:type="dxa"/>
          </w:tcPr>
          <w:p w14:paraId="3443EF6F" w14:textId="77777777" w:rsidR="0032151C" w:rsidRPr="0067648F" w:rsidRDefault="0032151C" w:rsidP="007007B2">
            <w:pPr>
              <w:jc w:val="center"/>
              <w:rPr>
                <w:rFonts w:ascii="Times New Roman" w:eastAsia="Courier New" w:hAnsi="Times New Roman"/>
                <w:bCs/>
                <w:color w:val="000000"/>
                <w:sz w:val="18"/>
                <w:szCs w:val="18"/>
                <w:lang w:bidi="ru-RU"/>
              </w:rPr>
            </w:pPr>
            <w:r w:rsidRPr="0067648F">
              <w:rPr>
                <w:rFonts w:ascii="Times New Roman" w:eastAsia="Courier New" w:hAnsi="Times New Roman"/>
                <w:bCs/>
                <w:color w:val="000000"/>
                <w:sz w:val="18"/>
                <w:szCs w:val="18"/>
                <w:lang w:bidi="ru-RU"/>
              </w:rPr>
              <w:t>Участник закупки указывает в заявке конкретное значение характеристики</w:t>
            </w:r>
          </w:p>
        </w:tc>
        <w:tc>
          <w:tcPr>
            <w:tcW w:w="992" w:type="dxa"/>
            <w:vMerge/>
          </w:tcPr>
          <w:p w14:paraId="2D453670"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53463A9B"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484336EE"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559F3482"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57AE3638"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r w:rsidR="0032151C" w:rsidRPr="00AF5ABF" w14:paraId="3A940DA2" w14:textId="77777777" w:rsidTr="007007B2">
        <w:trPr>
          <w:trHeight w:val="149"/>
        </w:trPr>
        <w:tc>
          <w:tcPr>
            <w:tcW w:w="1418" w:type="dxa"/>
            <w:vMerge/>
          </w:tcPr>
          <w:p w14:paraId="57FC3060"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00D8B93B"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1546C48F"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Pr>
          <w:p w14:paraId="56EF574C" w14:textId="77777777" w:rsidR="0032151C" w:rsidRPr="0067648F" w:rsidRDefault="0032151C" w:rsidP="007007B2">
            <w:pPr>
              <w:widowControl w:val="0"/>
              <w:tabs>
                <w:tab w:val="left" w:pos="6039"/>
              </w:tabs>
              <w:jc w:val="center"/>
              <w:rPr>
                <w:rFonts w:ascii="Times New Roman" w:eastAsia="Courier New" w:hAnsi="Times New Roman"/>
                <w:bCs/>
                <w:color w:val="000000"/>
                <w:sz w:val="18"/>
                <w:szCs w:val="18"/>
                <w:lang w:bidi="ru-RU"/>
              </w:rPr>
            </w:pPr>
            <w:r w:rsidRPr="0067648F">
              <w:rPr>
                <w:rFonts w:ascii="Times New Roman" w:eastAsia="Courier New" w:hAnsi="Times New Roman"/>
                <w:bCs/>
                <w:color w:val="000000"/>
                <w:sz w:val="18"/>
                <w:szCs w:val="18"/>
                <w:lang w:bidi="ru-RU"/>
              </w:rPr>
              <w:t>Время измерения мощности</w:t>
            </w:r>
            <w:r>
              <w:rPr>
                <w:rFonts w:ascii="Times New Roman" w:eastAsia="Courier New" w:hAnsi="Times New Roman"/>
                <w:bCs/>
                <w:color w:val="000000"/>
                <w:sz w:val="18"/>
                <w:szCs w:val="18"/>
                <w:lang w:bidi="ru-RU"/>
              </w:rPr>
              <w:t xml:space="preserve"> амбиентного эквивалента</w:t>
            </w:r>
            <w:r w:rsidRPr="0067648F">
              <w:rPr>
                <w:rFonts w:ascii="Times New Roman" w:eastAsia="Courier New" w:hAnsi="Times New Roman"/>
                <w:bCs/>
                <w:color w:val="000000"/>
                <w:sz w:val="18"/>
                <w:szCs w:val="18"/>
                <w:lang w:bidi="ru-RU"/>
              </w:rPr>
              <w:t xml:space="preserve"> дозы  (М</w:t>
            </w:r>
            <w:r>
              <w:rPr>
                <w:rFonts w:ascii="Times New Roman" w:eastAsia="Courier New" w:hAnsi="Times New Roman"/>
                <w:bCs/>
                <w:color w:val="000000"/>
                <w:sz w:val="18"/>
                <w:szCs w:val="18"/>
                <w:lang w:bidi="ru-RU"/>
              </w:rPr>
              <w:t>АЭ</w:t>
            </w:r>
            <w:r w:rsidRPr="0067648F">
              <w:rPr>
                <w:rFonts w:ascii="Times New Roman" w:eastAsia="Courier New" w:hAnsi="Times New Roman"/>
                <w:bCs/>
                <w:color w:val="000000"/>
                <w:sz w:val="18"/>
                <w:szCs w:val="18"/>
                <w:lang w:bidi="ru-RU"/>
              </w:rPr>
              <w:t>Д) гамма-излучения Cs-</w:t>
            </w:r>
            <w:r>
              <w:rPr>
                <w:rFonts w:ascii="Times New Roman" w:eastAsia="Courier New" w:hAnsi="Times New Roman"/>
                <w:bCs/>
                <w:color w:val="000000"/>
                <w:sz w:val="18"/>
                <w:szCs w:val="18"/>
                <w:lang w:bidi="ru-RU"/>
              </w:rPr>
              <w:t>137</w:t>
            </w:r>
            <w:r w:rsidRPr="0067648F">
              <w:rPr>
                <w:rFonts w:ascii="Times New Roman" w:eastAsia="Courier New" w:hAnsi="Times New Roman"/>
                <w:bCs/>
                <w:color w:val="000000"/>
                <w:sz w:val="18"/>
                <w:szCs w:val="18"/>
                <w:lang w:bidi="ru-RU"/>
              </w:rPr>
              <w:t xml:space="preserve"> </w:t>
            </w:r>
          </w:p>
          <w:p w14:paraId="36F4F08A"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67648F">
              <w:rPr>
                <w:rFonts w:ascii="Times New Roman" w:eastAsia="Courier New" w:hAnsi="Times New Roman"/>
                <w:bCs/>
                <w:color w:val="000000"/>
                <w:sz w:val="18"/>
                <w:szCs w:val="18"/>
                <w:lang w:bidi="ru-RU"/>
              </w:rPr>
              <w:t xml:space="preserve">- при </w:t>
            </w:r>
            <w:r>
              <w:rPr>
                <w:rFonts w:ascii="Times New Roman" w:eastAsia="Courier New" w:hAnsi="Times New Roman"/>
                <w:bCs/>
                <w:color w:val="000000"/>
                <w:sz w:val="18"/>
                <w:szCs w:val="18"/>
                <w:lang w:bidi="ru-RU"/>
              </w:rPr>
              <w:t xml:space="preserve"> мощности дозы</w:t>
            </w:r>
            <w:r w:rsidRPr="0067648F">
              <w:rPr>
                <w:rFonts w:ascii="Times New Roman" w:eastAsia="Courier New" w:hAnsi="Times New Roman"/>
                <w:bCs/>
                <w:color w:val="000000"/>
                <w:sz w:val="18"/>
                <w:szCs w:val="18"/>
                <w:lang w:bidi="ru-RU"/>
              </w:rPr>
              <w:t xml:space="preserve">: 2 мкЗв/ч </w:t>
            </w:r>
            <w:r>
              <w:rPr>
                <w:rFonts w:ascii="Times New Roman" w:eastAsia="Courier New" w:hAnsi="Times New Roman"/>
                <w:bCs/>
                <w:color w:val="000000"/>
                <w:sz w:val="18"/>
                <w:szCs w:val="18"/>
                <w:lang w:bidi="ru-RU"/>
              </w:rPr>
              <w:t xml:space="preserve"> </w:t>
            </w:r>
          </w:p>
        </w:tc>
        <w:tc>
          <w:tcPr>
            <w:tcW w:w="1842" w:type="dxa"/>
          </w:tcPr>
          <w:p w14:paraId="6DBCABE8"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E16CAD">
              <w:rPr>
                <w:rFonts w:ascii="Times New Roman" w:eastAsia="Courier New" w:hAnsi="Times New Roman" w:cs="Courier New"/>
                <w:color w:val="000000"/>
                <w:sz w:val="18"/>
                <w:szCs w:val="18"/>
                <w:lang w:bidi="ru-RU"/>
              </w:rPr>
              <w:t>≤</w:t>
            </w:r>
            <w:r>
              <w:rPr>
                <w:rFonts w:ascii="Times New Roman" w:eastAsia="Courier New" w:hAnsi="Times New Roman" w:cs="Courier New"/>
                <w:color w:val="000000"/>
                <w:sz w:val="18"/>
                <w:szCs w:val="18"/>
                <w:lang w:bidi="ru-RU"/>
              </w:rPr>
              <w:t>2</w:t>
            </w:r>
          </w:p>
        </w:tc>
        <w:tc>
          <w:tcPr>
            <w:tcW w:w="1559" w:type="dxa"/>
          </w:tcPr>
          <w:p w14:paraId="7A1BD1F2"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bCs/>
                <w:color w:val="000000"/>
                <w:sz w:val="18"/>
                <w:szCs w:val="18"/>
                <w:lang w:bidi="ru-RU"/>
              </w:rPr>
              <w:t>секунд</w:t>
            </w:r>
          </w:p>
        </w:tc>
        <w:tc>
          <w:tcPr>
            <w:tcW w:w="2420" w:type="dxa"/>
          </w:tcPr>
          <w:p w14:paraId="18523C0F" w14:textId="77777777" w:rsidR="0032151C" w:rsidRPr="0067648F" w:rsidRDefault="0032151C" w:rsidP="007007B2">
            <w:pPr>
              <w:jc w:val="center"/>
              <w:rPr>
                <w:rFonts w:ascii="Times New Roman" w:eastAsia="Courier New" w:hAnsi="Times New Roman"/>
                <w:bCs/>
                <w:color w:val="000000"/>
                <w:sz w:val="18"/>
                <w:szCs w:val="18"/>
                <w:lang w:bidi="ru-RU"/>
              </w:rPr>
            </w:pPr>
            <w:r w:rsidRPr="0067648F">
              <w:rPr>
                <w:rFonts w:ascii="Times New Roman" w:eastAsia="Courier New" w:hAnsi="Times New Roman"/>
                <w:bCs/>
                <w:color w:val="000000"/>
                <w:sz w:val="18"/>
                <w:szCs w:val="18"/>
                <w:lang w:bidi="ru-RU"/>
              </w:rPr>
              <w:t>Участник закупки указывает в заявке конкретное значение характеристики</w:t>
            </w:r>
          </w:p>
        </w:tc>
        <w:tc>
          <w:tcPr>
            <w:tcW w:w="992" w:type="dxa"/>
            <w:vMerge/>
          </w:tcPr>
          <w:p w14:paraId="25D6CAC4"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3C2D8756"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39ADC8AE"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5AF89E44"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0EDC757E"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r w:rsidR="0032151C" w:rsidRPr="00AF5ABF" w14:paraId="17FDCC08" w14:textId="77777777" w:rsidTr="007007B2">
        <w:trPr>
          <w:trHeight w:val="149"/>
        </w:trPr>
        <w:tc>
          <w:tcPr>
            <w:tcW w:w="1418" w:type="dxa"/>
            <w:vMerge/>
          </w:tcPr>
          <w:p w14:paraId="5CDBD5CB"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1134" w:type="dxa"/>
            <w:vMerge/>
          </w:tcPr>
          <w:p w14:paraId="78A5B3B2"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276" w:type="dxa"/>
            <w:vMerge/>
          </w:tcPr>
          <w:p w14:paraId="07EBA389"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p>
        </w:tc>
        <w:tc>
          <w:tcPr>
            <w:tcW w:w="1560" w:type="dxa"/>
          </w:tcPr>
          <w:p w14:paraId="75ED7996"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cs="Courier New"/>
                <w:color w:val="000000"/>
                <w:sz w:val="18"/>
                <w:szCs w:val="18"/>
                <w:lang w:bidi="ru-RU"/>
              </w:rPr>
              <w:t>Степень защиты, не ниже</w:t>
            </w:r>
          </w:p>
        </w:tc>
        <w:tc>
          <w:tcPr>
            <w:tcW w:w="1842" w:type="dxa"/>
            <w:tcBorders>
              <w:top w:val="nil"/>
              <w:left w:val="nil"/>
              <w:bottom w:val="single" w:sz="4" w:space="0" w:color="auto"/>
              <w:right w:val="single" w:sz="4" w:space="0" w:color="auto"/>
            </w:tcBorders>
            <w:shd w:val="clear" w:color="000000" w:fill="FFFFFF"/>
          </w:tcPr>
          <w:p w14:paraId="325E5FE3"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Pr>
                <w:rFonts w:ascii="Times New Roman" w:eastAsia="Courier New" w:hAnsi="Times New Roman" w:cs="Courier New"/>
                <w:color w:val="000000"/>
                <w:sz w:val="18"/>
                <w:szCs w:val="18"/>
                <w:lang w:bidi="ru-RU"/>
              </w:rPr>
              <w:t>IP54</w:t>
            </w:r>
          </w:p>
        </w:tc>
        <w:tc>
          <w:tcPr>
            <w:tcW w:w="1559" w:type="dxa"/>
          </w:tcPr>
          <w:p w14:paraId="69914C9F"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bCs/>
                <w:color w:val="000000"/>
                <w:sz w:val="18"/>
                <w:szCs w:val="18"/>
                <w:lang w:bidi="ru-RU"/>
              </w:rPr>
              <w:t>-</w:t>
            </w:r>
          </w:p>
        </w:tc>
        <w:tc>
          <w:tcPr>
            <w:tcW w:w="2420" w:type="dxa"/>
          </w:tcPr>
          <w:p w14:paraId="063562B5" w14:textId="77777777" w:rsidR="0032151C" w:rsidRPr="00AF5ABF" w:rsidRDefault="0032151C" w:rsidP="007007B2">
            <w:pPr>
              <w:widowControl w:val="0"/>
              <w:tabs>
                <w:tab w:val="left" w:pos="6039"/>
              </w:tabs>
              <w:jc w:val="center"/>
              <w:rPr>
                <w:rFonts w:ascii="Times New Roman" w:eastAsia="Courier New" w:hAnsi="Times New Roman"/>
                <w:bCs/>
                <w:color w:val="000000"/>
                <w:sz w:val="18"/>
                <w:szCs w:val="18"/>
                <w:lang w:bidi="ru-RU"/>
              </w:rPr>
            </w:pPr>
            <w:r w:rsidRPr="00AF5ABF">
              <w:rPr>
                <w:rFonts w:ascii="Times New Roman" w:eastAsia="Courier New" w:hAnsi="Times New Roman"/>
                <w:bCs/>
                <w:color w:val="000000"/>
                <w:sz w:val="18"/>
                <w:szCs w:val="18"/>
                <w:lang w:bidi="ru-RU"/>
              </w:rPr>
              <w:t>Значение характеристики не может изменяться участником закупки</w:t>
            </w:r>
          </w:p>
        </w:tc>
        <w:tc>
          <w:tcPr>
            <w:tcW w:w="992" w:type="dxa"/>
            <w:vMerge/>
          </w:tcPr>
          <w:p w14:paraId="49185F4B"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2" w:type="dxa"/>
            <w:vMerge/>
          </w:tcPr>
          <w:p w14:paraId="470C9A29"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850" w:type="dxa"/>
            <w:vMerge/>
            <w:shd w:val="clear" w:color="auto" w:fill="FFFF00"/>
          </w:tcPr>
          <w:p w14:paraId="4982EF89"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3F2C300A"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c>
          <w:tcPr>
            <w:tcW w:w="993" w:type="dxa"/>
            <w:vMerge/>
            <w:shd w:val="clear" w:color="auto" w:fill="FFFF00"/>
          </w:tcPr>
          <w:p w14:paraId="1D3BBE3C" w14:textId="77777777" w:rsidR="0032151C" w:rsidRPr="00AF5ABF" w:rsidRDefault="0032151C" w:rsidP="007007B2">
            <w:pPr>
              <w:widowControl w:val="0"/>
              <w:tabs>
                <w:tab w:val="left" w:pos="6039"/>
              </w:tabs>
              <w:jc w:val="center"/>
              <w:rPr>
                <w:rFonts w:ascii="Times New Roman" w:eastAsia="Courier New" w:hAnsi="Times New Roman"/>
                <w:bCs/>
                <w:color w:val="000000"/>
                <w:sz w:val="24"/>
                <w:szCs w:val="24"/>
                <w:lang w:bidi="ru-RU"/>
              </w:rPr>
            </w:pPr>
          </w:p>
        </w:tc>
      </w:tr>
    </w:tbl>
    <w:p w14:paraId="7E890646" w14:textId="77777777" w:rsidR="00957D8E" w:rsidRPr="00957D8E" w:rsidRDefault="00957D8E" w:rsidP="00957D8E">
      <w:pPr>
        <w:keepNext/>
        <w:keepLines/>
        <w:spacing w:after="0" w:line="259" w:lineRule="auto"/>
        <w:ind w:right="24" w:firstLine="567"/>
        <w:jc w:val="both"/>
        <w:outlineLvl w:val="0"/>
        <w:rPr>
          <w:rFonts w:ascii="Times New Roman" w:eastAsia="Times New Roman" w:hAnsi="Times New Roman" w:cs="Times New Roman"/>
          <w:color w:val="000000"/>
          <w:sz w:val="24"/>
          <w:szCs w:val="24"/>
          <w:u w:val="single"/>
          <w:lang w:eastAsia="ru-RU"/>
        </w:rPr>
      </w:pPr>
      <w:r w:rsidRPr="00957D8E">
        <w:rPr>
          <w:rFonts w:ascii="Times New Roman" w:eastAsia="Times New Roman" w:hAnsi="Times New Roman" w:cs="Times New Roman"/>
          <w:color w:val="000000"/>
          <w:sz w:val="24"/>
          <w:szCs w:val="24"/>
          <w:u w:val="single"/>
          <w:lang w:eastAsia="ru-RU"/>
        </w:rPr>
        <w:t>Требования к безопасности товара</w:t>
      </w:r>
    </w:p>
    <w:p w14:paraId="69C2B48C" w14:textId="77777777"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1.1. Соответствие товара требованиям безопасности подлежит подтверждению в порядке, предусмотренном законодательством Российской Федерации, в соответствии с требованиями актов, указанных в пункте 6 настоящего Технического задания. Соответствие качества и безопасности товара должно быть подтверждено следующими документами:</w:t>
      </w:r>
    </w:p>
    <w:p w14:paraId="6D954848" w14:textId="77777777" w:rsidR="00957D8E" w:rsidRPr="00957D8E" w:rsidRDefault="00957D8E" w:rsidP="00957D8E">
      <w:pPr>
        <w:spacing w:after="4" w:line="251" w:lineRule="auto"/>
        <w:ind w:right="24" w:firstLine="567"/>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 xml:space="preserve">- </w:t>
      </w:r>
      <w:r w:rsidRPr="00957D8E">
        <w:rPr>
          <w:rFonts w:ascii="Times New Roman" w:eastAsia="Times New Roman" w:hAnsi="Times New Roman" w:cs="Times New Roman"/>
          <w:sz w:val="24"/>
          <w:szCs w:val="24"/>
          <w:lang w:eastAsia="ru-RU"/>
        </w:rPr>
        <w:t xml:space="preserve"> Паспорт (формуляр) и/иди руководство по эксплуатации на русском языке</w:t>
      </w:r>
      <w:r w:rsidRPr="00957D8E">
        <w:rPr>
          <w:rFonts w:ascii="Times New Roman" w:eastAsia="Times New Roman" w:hAnsi="Times New Roman" w:cs="Times New Roman"/>
          <w:color w:val="000000"/>
          <w:sz w:val="24"/>
          <w:szCs w:val="24"/>
          <w:lang w:eastAsia="ru-RU"/>
        </w:rPr>
        <w:t>.</w:t>
      </w:r>
    </w:p>
    <w:p w14:paraId="1302E1CD" w14:textId="77777777" w:rsidR="00957D8E" w:rsidRPr="00957D8E" w:rsidRDefault="00957D8E" w:rsidP="00957D8E">
      <w:pPr>
        <w:spacing w:after="4" w:line="251" w:lineRule="auto"/>
        <w:ind w:right="24" w:firstLine="567"/>
        <w:jc w:val="both"/>
        <w:rPr>
          <w:rFonts w:ascii="Times New Roman" w:eastAsia="Times New Roman" w:hAnsi="Times New Roman" w:cs="Times New Roman"/>
          <w:b/>
          <w:color w:val="000000"/>
          <w:sz w:val="24"/>
          <w:szCs w:val="24"/>
          <w:lang w:eastAsia="ru-RU"/>
        </w:rPr>
      </w:pPr>
      <w:r w:rsidRPr="00957D8E">
        <w:rPr>
          <w:rFonts w:ascii="Times New Roman" w:eastAsia="Times New Roman" w:hAnsi="Times New Roman" w:cs="Times New Roman"/>
          <w:sz w:val="24"/>
          <w:szCs w:val="24"/>
          <w:lang w:eastAsia="ru-RU"/>
        </w:rPr>
        <w:t>- Свидетельство о поверке средства измерений или сведения о первичной метрологической поверке, подтвержденной клеймом поверителя, в паспорте (формуляре)/руководстве по эксплуатации.</w:t>
      </w:r>
    </w:p>
    <w:p w14:paraId="709D41D2" w14:textId="77777777"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Поставляемый товар при использовании, хранении и транспортировке должен быть безопасен для жизни, здоровья человека, окружающей среды.</w:t>
      </w:r>
    </w:p>
    <w:p w14:paraId="5BF31903" w14:textId="77777777" w:rsidR="00957D8E" w:rsidRPr="00957D8E" w:rsidRDefault="00957D8E" w:rsidP="00957D8E">
      <w:pPr>
        <w:tabs>
          <w:tab w:val="left" w:pos="1134"/>
        </w:tabs>
        <w:spacing w:after="4" w:line="251" w:lineRule="auto"/>
        <w:ind w:left="851" w:right="24"/>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highlight w:val="lightGray"/>
          <w:lang w:eastAsia="ru-RU"/>
        </w:rPr>
        <w:t>1</w:t>
      </w:r>
      <w:r>
        <w:rPr>
          <w:rFonts w:ascii="Times New Roman" w:eastAsia="Times New Roman" w:hAnsi="Times New Roman" w:cs="Times New Roman"/>
          <w:color w:val="000000"/>
          <w:sz w:val="24"/>
          <w:szCs w:val="24"/>
          <w:highlight w:val="lightGray"/>
          <w:lang w:eastAsia="ru-RU"/>
        </w:rPr>
        <w:t>.2</w:t>
      </w:r>
      <w:r w:rsidRPr="00957D8E">
        <w:rPr>
          <w:rFonts w:ascii="Times New Roman" w:eastAsia="Times New Roman" w:hAnsi="Times New Roman" w:cs="Times New Roman"/>
          <w:color w:val="000000"/>
          <w:sz w:val="24"/>
          <w:szCs w:val="24"/>
          <w:highlight w:val="lightGray"/>
          <w:lang w:eastAsia="ru-RU"/>
        </w:rPr>
        <w:t xml:space="preserve">. </w:t>
      </w:r>
      <w:r w:rsidRPr="00957D8E">
        <w:rPr>
          <w:rFonts w:ascii="Times New Roman" w:eastAsia="Times New Roman" w:hAnsi="Times New Roman" w:cs="Times New Roman"/>
          <w:color w:val="000000"/>
          <w:sz w:val="24"/>
          <w:szCs w:val="24"/>
          <w:lang w:eastAsia="ru-RU"/>
        </w:rPr>
        <w:t xml:space="preserve">Транспортирование и хранение товара (в том числе узлов и деталей) должно осуществляться с учетом требований по безопасности, предусмотренных эксплуатационной документацией. В случае если для безопасности использования товара, его хранения, транспортировки и </w:t>
      </w:r>
      <w:r w:rsidRPr="00957D8E">
        <w:rPr>
          <w:rFonts w:ascii="Times New Roman" w:eastAsia="Times New Roman" w:hAnsi="Times New Roman" w:cs="Times New Roman"/>
          <w:color w:val="000000"/>
          <w:sz w:val="24"/>
          <w:szCs w:val="24"/>
          <w:lang w:eastAsia="ru-RU"/>
        </w:rPr>
        <w:lastRenderedPageBreak/>
        <w:t>утилизации необходимо соблюдать специальные правила, то в сопроводительной документации на товар, на этикетке маркировкой или иным способом должны быть указаны такие правила.</w:t>
      </w:r>
    </w:p>
    <w:p w14:paraId="18136E85" w14:textId="77777777" w:rsidR="00957D8E" w:rsidRPr="00957D8E" w:rsidRDefault="00957D8E" w:rsidP="0032151C">
      <w:pPr>
        <w:spacing w:after="0" w:line="259" w:lineRule="auto"/>
        <w:ind w:right="24" w:firstLine="567"/>
        <w:rPr>
          <w:rFonts w:ascii="Times New Roman" w:eastAsia="Times New Roman" w:hAnsi="Times New Roman" w:cs="Times New Roman"/>
          <w:color w:val="000000"/>
          <w:sz w:val="24"/>
          <w:szCs w:val="24"/>
          <w:u w:val="single"/>
          <w:lang w:eastAsia="ru-RU"/>
        </w:rPr>
      </w:pPr>
      <w:r w:rsidRPr="00957D8E">
        <w:rPr>
          <w:rFonts w:ascii="Times New Roman" w:eastAsia="Times New Roman" w:hAnsi="Times New Roman" w:cs="Times New Roman"/>
          <w:color w:val="000000"/>
          <w:sz w:val="24"/>
          <w:szCs w:val="24"/>
          <w:lang w:eastAsia="ru-RU"/>
        </w:rPr>
        <w:t xml:space="preserve"> </w:t>
      </w:r>
      <w:r w:rsidRPr="00957D8E">
        <w:rPr>
          <w:rFonts w:ascii="Times New Roman" w:eastAsia="Times New Roman" w:hAnsi="Times New Roman" w:cs="Times New Roman"/>
          <w:color w:val="000000"/>
          <w:sz w:val="24"/>
          <w:szCs w:val="24"/>
          <w:u w:val="single"/>
          <w:lang w:eastAsia="ru-RU"/>
        </w:rPr>
        <w:t>Требования к используемым материалам и оборудованию</w:t>
      </w:r>
    </w:p>
    <w:p w14:paraId="3C83A368" w14:textId="77777777"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957D8E">
        <w:rPr>
          <w:rFonts w:ascii="Times New Roman" w:eastAsia="Times New Roman" w:hAnsi="Times New Roman" w:cs="Times New Roman"/>
          <w:color w:val="000000"/>
          <w:sz w:val="24"/>
          <w:szCs w:val="24"/>
          <w:lang w:eastAsia="ru-RU"/>
        </w:rPr>
        <w:t>.1. Поставка товара должна осуществляться в оригинальной заводской упаковке (при наличии), обеспечивающей его сохранность при хранении, транспортировке и погрузочно-разгрузочных работах. Упаковка товара должна быть прочной, целой (не имеющей следов вскрытия), без посторонних запахов, а также должна предохранять товар от порчи во время транспортировки, хранения, погрузочно-разгрузочных работ к месту эксплуатации или складу Заказчика, без механических повреждений и следов воздействия влаги.</w:t>
      </w:r>
    </w:p>
    <w:p w14:paraId="2120A460" w14:textId="77777777"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957D8E">
        <w:rPr>
          <w:rFonts w:ascii="Times New Roman" w:eastAsia="Times New Roman" w:hAnsi="Times New Roman" w:cs="Times New Roman"/>
          <w:color w:val="000000"/>
          <w:sz w:val="24"/>
          <w:szCs w:val="24"/>
          <w:lang w:eastAsia="ru-RU"/>
        </w:rPr>
        <w:t>.2. Упаковка товара (при наличии) должна соответствовать документации на товар, на конкретные виды (типы) тары и упаковки.</w:t>
      </w:r>
    </w:p>
    <w:p w14:paraId="7C4EB74F" w14:textId="77777777"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957D8E">
        <w:rPr>
          <w:rFonts w:ascii="Times New Roman" w:eastAsia="Times New Roman" w:hAnsi="Times New Roman" w:cs="Times New Roman"/>
          <w:color w:val="000000"/>
          <w:sz w:val="24"/>
          <w:szCs w:val="24"/>
          <w:lang w:eastAsia="ru-RU"/>
        </w:rPr>
        <w:t>.3. Каждая упаковка товара (при наличии) должна содержать информационный лист с указанием реквизитов Контракта, наименования товара, количества упаковок, количества штук в упаковке, наименования страны происхождения товара, наименования фирмы-изготовителя, наименования Поставщика, наименования грузополучателя и адрес поставки товара.</w:t>
      </w:r>
    </w:p>
    <w:p w14:paraId="72DB59FE" w14:textId="77777777"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957D8E">
        <w:rPr>
          <w:rFonts w:ascii="Times New Roman" w:eastAsia="Times New Roman" w:hAnsi="Times New Roman" w:cs="Times New Roman"/>
          <w:color w:val="000000"/>
          <w:sz w:val="24"/>
          <w:szCs w:val="24"/>
          <w:lang w:eastAsia="ru-RU"/>
        </w:rPr>
        <w:t>.4.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64184EB2" w14:textId="77777777"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957D8E">
        <w:rPr>
          <w:rFonts w:ascii="Times New Roman" w:eastAsia="Times New Roman" w:hAnsi="Times New Roman" w:cs="Times New Roman"/>
          <w:color w:val="000000"/>
          <w:sz w:val="24"/>
          <w:szCs w:val="24"/>
          <w:lang w:eastAsia="ru-RU"/>
        </w:rPr>
        <w:t>.5. Маркировка товара (при наличии) должна содержать:</w:t>
      </w:r>
    </w:p>
    <w:p w14:paraId="138FF263" w14:textId="77777777"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Наименование товара.</w:t>
      </w:r>
    </w:p>
    <w:p w14:paraId="14526CC6" w14:textId="77777777"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Фирменное наименование.</w:t>
      </w:r>
    </w:p>
    <w:p w14:paraId="3923B33C" w14:textId="77777777"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Наименование страны производителя.</w:t>
      </w:r>
    </w:p>
    <w:p w14:paraId="299FCD54" w14:textId="77777777"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Штриховой код товара (при наличии).</w:t>
      </w:r>
    </w:p>
    <w:p w14:paraId="7294E2C2" w14:textId="77777777"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Товарный знак производителя (при наличии).</w:t>
      </w:r>
    </w:p>
    <w:p w14:paraId="54CC251C" w14:textId="77777777"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Наименование фирмы-изготовителя.</w:t>
      </w:r>
    </w:p>
    <w:p w14:paraId="36B88E18" w14:textId="77777777"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Дату выпуска товара.</w:t>
      </w:r>
    </w:p>
    <w:p w14:paraId="61301046" w14:textId="77777777" w:rsidR="00957D8E" w:rsidRPr="00957D8E" w:rsidRDefault="00957D8E" w:rsidP="00957D8E">
      <w:pPr>
        <w:numPr>
          <w:ilvl w:val="0"/>
          <w:numId w:val="21"/>
        </w:numPr>
        <w:spacing w:after="4" w:line="251" w:lineRule="auto"/>
        <w:ind w:left="0" w:right="24" w:firstLine="567"/>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Знак соответствия или знак обращения на рынке (для сертифицированной продукции).</w:t>
      </w:r>
    </w:p>
    <w:p w14:paraId="0BED3A4E" w14:textId="77777777" w:rsidR="00957D8E" w:rsidRPr="00957D8E" w:rsidRDefault="00957D8E" w:rsidP="00957D8E">
      <w:pPr>
        <w:tabs>
          <w:tab w:val="left" w:pos="1134"/>
        </w:tabs>
        <w:spacing w:after="4" w:line="251" w:lineRule="auto"/>
        <w:ind w:left="567" w:right="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957D8E">
        <w:rPr>
          <w:rFonts w:ascii="Times New Roman" w:eastAsia="Times New Roman" w:hAnsi="Times New Roman" w:cs="Times New Roman"/>
          <w:color w:val="000000"/>
          <w:sz w:val="24"/>
          <w:szCs w:val="24"/>
          <w:lang w:eastAsia="ru-RU"/>
        </w:rPr>
        <w:t>.6 Маркировка упаковки (при наличии) должна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26E272E4" w14:textId="77777777" w:rsidR="00957D8E" w:rsidRPr="00957D8E" w:rsidRDefault="00957D8E" w:rsidP="00957D8E">
      <w:pPr>
        <w:tabs>
          <w:tab w:val="left" w:pos="1134"/>
        </w:tabs>
        <w:spacing w:after="4" w:line="251" w:lineRule="auto"/>
        <w:ind w:left="567" w:right="24"/>
        <w:jc w:val="both"/>
        <w:rPr>
          <w:rFonts w:ascii="Times New Roman" w:eastAsia="Times New Roman" w:hAnsi="Times New Roman" w:cs="Times New Roman"/>
          <w:color w:val="000000"/>
          <w:sz w:val="24"/>
          <w:szCs w:val="24"/>
          <w:lang w:eastAsia="ru-RU"/>
        </w:rPr>
      </w:pPr>
      <w:r w:rsidRPr="00957D8E">
        <w:rPr>
          <w:rFonts w:ascii="Times New Roman" w:eastAsia="Times New Roman" w:hAnsi="Times New Roman" w:cs="Times New Roman"/>
          <w:color w:val="000000"/>
          <w:sz w:val="24"/>
          <w:szCs w:val="24"/>
          <w:lang w:eastAsia="ru-RU"/>
        </w:rPr>
        <w:t>2.7 Маркировка товара (при наличии) должна соответствовать требованиям актов, предъявляемым к маркировке данной продукции.</w:t>
      </w:r>
    </w:p>
    <w:p w14:paraId="585E6347" w14:textId="77777777" w:rsidR="00957D8E" w:rsidRPr="00957D8E" w:rsidRDefault="00957D8E" w:rsidP="00957D8E">
      <w:pPr>
        <w:tabs>
          <w:tab w:val="left" w:pos="1134"/>
        </w:tabs>
        <w:spacing w:after="4" w:line="251" w:lineRule="auto"/>
        <w:ind w:left="567" w:right="24"/>
        <w:jc w:val="both"/>
        <w:rPr>
          <w:rFonts w:ascii="Times New Roman" w:eastAsia="Times New Roman" w:hAnsi="Times New Roman" w:cs="Times New Roman"/>
          <w:color w:val="000000"/>
          <w:sz w:val="24"/>
          <w:szCs w:val="24"/>
          <w:lang w:eastAsia="ru-RU"/>
        </w:rPr>
      </w:pPr>
    </w:p>
    <w:p w14:paraId="38137B74" w14:textId="77777777" w:rsidR="00957D8E" w:rsidRPr="00957D8E" w:rsidRDefault="00957D8E" w:rsidP="00957D8E">
      <w:pPr>
        <w:keepNext/>
        <w:keepLines/>
        <w:spacing w:after="0" w:line="259" w:lineRule="auto"/>
        <w:ind w:right="24" w:firstLine="567"/>
        <w:jc w:val="both"/>
        <w:outlineLvl w:val="0"/>
        <w:rPr>
          <w:rFonts w:ascii="Times New Roman" w:eastAsia="Times New Roman" w:hAnsi="Times New Roman" w:cs="Times New Roman"/>
          <w:color w:val="000000"/>
          <w:sz w:val="24"/>
          <w:szCs w:val="24"/>
          <w:u w:val="single"/>
          <w:lang w:eastAsia="ru-RU"/>
        </w:rPr>
      </w:pPr>
      <w:r w:rsidRPr="00957D8E">
        <w:rPr>
          <w:rFonts w:ascii="Times New Roman" w:eastAsia="Times New Roman" w:hAnsi="Times New Roman" w:cs="Times New Roman"/>
          <w:color w:val="000000"/>
          <w:sz w:val="24"/>
          <w:szCs w:val="24"/>
          <w:u w:val="single"/>
          <w:lang w:eastAsia="ru-RU"/>
        </w:rPr>
        <w:t xml:space="preserve"> Перечень нормативных правовых и нормативных технических актов</w:t>
      </w:r>
    </w:p>
    <w:p w14:paraId="5E73D0C1" w14:textId="77777777"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lang w:eastAsia="ru-RU"/>
        </w:rPr>
      </w:pPr>
      <w:r w:rsidRPr="00957D8E">
        <w:rPr>
          <w:rFonts w:ascii="Times New Roman" w:eastAsia="Times New Roman" w:hAnsi="Times New Roman" w:cs="Times New Roman"/>
          <w:color w:val="000000"/>
          <w:sz w:val="24"/>
          <w:lang w:eastAsia="ru-RU"/>
        </w:rPr>
        <w:t>3.1. Федеральный закон от 26 июня 2008 г. №102-ФЗ «Об обеспечении единства измерений».</w:t>
      </w:r>
    </w:p>
    <w:p w14:paraId="1C1C5E1F" w14:textId="77777777"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lang w:eastAsia="ru-RU"/>
        </w:rPr>
      </w:pPr>
      <w:r w:rsidRPr="00957D8E">
        <w:rPr>
          <w:rFonts w:ascii="Times New Roman" w:eastAsia="Times New Roman" w:hAnsi="Times New Roman" w:cs="Times New Roman"/>
          <w:color w:val="000000"/>
          <w:sz w:val="24"/>
          <w:lang w:eastAsia="ru-RU"/>
        </w:rPr>
        <w:t>3.2. Приказ Минпромторга России от 31.07.2020 N 2510 "Об утверждении порядка проведения поверки средств измерений, требований к знаку поверки и содержанию свидетельства о поверке".</w:t>
      </w:r>
    </w:p>
    <w:p w14:paraId="07539538" w14:textId="77777777"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lang w:eastAsia="ru-RU"/>
        </w:rPr>
      </w:pPr>
      <w:r w:rsidRPr="00957D8E">
        <w:rPr>
          <w:rFonts w:ascii="Times New Roman" w:eastAsia="Times New Roman" w:hAnsi="Times New Roman" w:cs="Times New Roman"/>
          <w:color w:val="000000"/>
          <w:sz w:val="24"/>
          <w:lang w:eastAsia="ru-RU"/>
        </w:rPr>
        <w:t>3.3. ГОСТ 27451-87 «Средства измерений ионизирующих излучений. Общие технические условия».</w:t>
      </w:r>
    </w:p>
    <w:p w14:paraId="2C904389" w14:textId="77777777" w:rsidR="00957D8E" w:rsidRPr="00957D8E" w:rsidRDefault="00957D8E" w:rsidP="00957D8E">
      <w:pPr>
        <w:spacing w:after="4" w:line="251" w:lineRule="auto"/>
        <w:ind w:right="24" w:firstLine="567"/>
        <w:jc w:val="both"/>
        <w:rPr>
          <w:rFonts w:ascii="Times New Roman" w:eastAsia="Times New Roman" w:hAnsi="Times New Roman" w:cs="Times New Roman"/>
          <w:color w:val="000000"/>
          <w:sz w:val="24"/>
          <w:lang w:eastAsia="ru-RU"/>
        </w:rPr>
      </w:pPr>
      <w:r w:rsidRPr="00957D8E">
        <w:rPr>
          <w:rFonts w:ascii="Times New Roman" w:eastAsia="Times New Roman" w:hAnsi="Times New Roman" w:cs="Times New Roman"/>
          <w:color w:val="000000"/>
          <w:sz w:val="24"/>
          <w:lang w:eastAsia="ru-RU"/>
        </w:rPr>
        <w:t>3.4. ГОСТ 28271-89 «Приборы радиометрические и дозиметрические носимые. Общие технические требования и методы испытаний».</w:t>
      </w:r>
    </w:p>
    <w:p w14:paraId="357BAF78" w14:textId="77777777" w:rsidR="00170252" w:rsidRDefault="00170252" w:rsidP="000820E3">
      <w:pPr>
        <w:rPr>
          <w:rFonts w:ascii="Times New Roman" w:hAnsi="Times New Roman" w:cs="Times New Roman"/>
          <w:b/>
          <w:sz w:val="28"/>
          <w:szCs w:val="28"/>
        </w:rPr>
      </w:pPr>
    </w:p>
    <w:sectPr w:rsidR="00170252" w:rsidSect="003D455A">
      <w:headerReference w:type="first" r:id="rId18"/>
      <w:footerReference w:type="first" r:id="rId19"/>
      <w:pgSz w:w="16838" w:h="11906" w:orient="landscape"/>
      <w:pgMar w:top="284"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7611D" w14:textId="77777777" w:rsidR="00B32697" w:rsidRDefault="00B32697">
      <w:pPr>
        <w:spacing w:after="0" w:line="240" w:lineRule="auto"/>
      </w:pPr>
      <w:r>
        <w:separator/>
      </w:r>
    </w:p>
  </w:endnote>
  <w:endnote w:type="continuationSeparator" w:id="0">
    <w:p w14:paraId="021A00E2" w14:textId="77777777" w:rsidR="00B32697" w:rsidRDefault="00B3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A0F66AF" w14:textId="77777777" w:rsidR="009526DA" w:rsidRDefault="009526D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FC59C60" w14:textId="77777777" w:rsidR="00F52E6A" w:rsidRDefault="009526DA">
    <w:pPr>
      <w:pStyle w:val="ab"/>
      <w:jc w:val="right"/>
    </w:pPr>
    <w:r>
      <w:rPr>
        <w:noProof/>
        <w:lang w:eastAsia="ru-RU"/>
      </w:rPr>
      <w:drawing>
        <wp:inline distT="0" distB="0" distL="0" distR="0" wp14:anchorId="568FC782" wp14:editId="64E5BCC3">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14:paraId="6B0CE39E" w14:textId="1C695424" w:rsidR="00F52E6A" w:rsidRDefault="00F52E6A">
        <w:pPr>
          <w:pStyle w:val="ab"/>
          <w:jc w:val="right"/>
        </w:pPr>
        <w:r>
          <w:fldChar w:fldCharType="begin"/>
        </w:r>
        <w:r>
          <w:instrText>PAGE   \* MERGEFORMAT</w:instrText>
        </w:r>
        <w:r>
          <w:fldChar w:fldCharType="separate"/>
        </w:r>
        <w:r w:rsidR="008D3C8B">
          <w:rPr>
            <w:noProof/>
          </w:rPr>
          <w:t>5</w:t>
        </w:r>
        <w:r>
          <w:fldChar w:fldCharType="end"/>
        </w:r>
      </w:p>
    </w:sdtContent>
  </w:sdt>
  <w:p w14:paraId="68850EF2" w14:textId="77777777"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206A530" w14:textId="77777777" w:rsidR="00F52E6A" w:rsidRDefault="00B3269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14:paraId="33FC165A" w14:textId="77777777"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A929A13" w14:textId="50FED8FF" w:rsidR="004725AB" w:rsidRDefault="00B3269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D3C8B">
          <w:rPr>
            <w:noProof/>
          </w:rPr>
          <w:t>3</w:t>
        </w:r>
        <w:r w:rsidR="004725AB">
          <w:fldChar w:fldCharType="end"/>
        </w:r>
      </w:sdtContent>
    </w:sdt>
  </w:p>
  <w:p w14:paraId="752D9A40" w14:textId="77777777"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B3A2BCF" w14:textId="0580A1CE" w:rsidR="004725AB" w:rsidRDefault="00B3269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D3C8B">
          <w:rPr>
            <w:noProof/>
          </w:rPr>
          <w:t>4</w:t>
        </w:r>
        <w:r w:rsidR="004725AB">
          <w:fldChar w:fldCharType="end"/>
        </w:r>
      </w:sdtContent>
    </w:sdt>
  </w:p>
  <w:p w14:paraId="71AF744B" w14:textId="77777777"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D330B" w14:textId="77777777" w:rsidR="00B32697" w:rsidRDefault="00B32697">
      <w:pPr>
        <w:spacing w:after="0" w:line="240" w:lineRule="auto"/>
      </w:pPr>
      <w:r>
        <w:separator/>
      </w:r>
    </w:p>
  </w:footnote>
  <w:footnote w:type="continuationSeparator" w:id="0">
    <w:p w14:paraId="0BFD6C85" w14:textId="77777777" w:rsidR="00B32697" w:rsidRDefault="00B3269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C8EDC1B" w14:textId="77777777" w:rsidR="009526DA" w:rsidRDefault="009526D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B05DD2B" w14:textId="77777777" w:rsidR="009526DA" w:rsidRDefault="009526D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5D23122" w14:textId="77777777" w:rsidR="009526DA" w:rsidRDefault="009526D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39EFD92" w14:textId="77777777"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A8B4382" w14:textId="77777777"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A37DA3"/>
    <w:multiLevelType w:val="hybridMultilevel"/>
    <w:tmpl w:val="4904B512"/>
    <w:lvl w:ilvl="0" w:tplc="19B22952">
      <w:start w:val="1"/>
      <w:numFmt w:val="bullet"/>
      <w:lvlText w:val="-"/>
      <w:lvlJc w:val="left"/>
      <w:pPr>
        <w:ind w:left="74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987653C6">
      <w:start w:val="1"/>
      <w:numFmt w:val="bullet"/>
      <w:lvlText w:val="o"/>
      <w:lvlJc w:val="left"/>
      <w:pPr>
        <w:ind w:left="168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52AACE30">
      <w:start w:val="1"/>
      <w:numFmt w:val="bullet"/>
      <w:lvlText w:val="▪"/>
      <w:lvlJc w:val="left"/>
      <w:pPr>
        <w:ind w:left="240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7D988EDC">
      <w:start w:val="1"/>
      <w:numFmt w:val="bullet"/>
      <w:lvlText w:val="•"/>
      <w:lvlJc w:val="left"/>
      <w:pPr>
        <w:ind w:left="312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F522DAF2">
      <w:start w:val="1"/>
      <w:numFmt w:val="bullet"/>
      <w:lvlText w:val="o"/>
      <w:lvlJc w:val="left"/>
      <w:pPr>
        <w:ind w:left="384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F836D8FE">
      <w:start w:val="1"/>
      <w:numFmt w:val="bullet"/>
      <w:lvlText w:val="▪"/>
      <w:lvlJc w:val="left"/>
      <w:pPr>
        <w:ind w:left="456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15A6F7C2">
      <w:start w:val="1"/>
      <w:numFmt w:val="bullet"/>
      <w:lvlText w:val="•"/>
      <w:lvlJc w:val="left"/>
      <w:pPr>
        <w:ind w:left="528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8F5641B2">
      <w:start w:val="1"/>
      <w:numFmt w:val="bullet"/>
      <w:lvlText w:val="o"/>
      <w:lvlJc w:val="left"/>
      <w:pPr>
        <w:ind w:left="600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C936AA10">
      <w:start w:val="1"/>
      <w:numFmt w:val="bullet"/>
      <w:lvlText w:val="▪"/>
      <w:lvlJc w:val="left"/>
      <w:pPr>
        <w:ind w:left="67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D02893"/>
    <w:multiLevelType w:val="multilevel"/>
    <w:tmpl w:val="4D7A9C30"/>
    <w:lvl w:ilvl="0">
      <w:start w:val="4"/>
      <w:numFmt w:val="decimal"/>
      <w:lvlText w:val="%1"/>
      <w:lvlJc w:val="left"/>
      <w:pPr>
        <w:ind w:left="36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1">
      <w:start w:val="2"/>
      <w:numFmt w:val="decimal"/>
      <w:lvlRestart w:val="0"/>
      <w:lvlText w:val="%1.%2."/>
      <w:lvlJc w:val="left"/>
      <w:pPr>
        <w:ind w:left="851"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9"/>
  </w:num>
  <w:num w:numId="15">
    <w:abstractNumId w:val="18"/>
  </w:num>
  <w:num w:numId="16">
    <w:abstractNumId w:val="13"/>
  </w:num>
  <w:num w:numId="17">
    <w:abstractNumId w:val="8"/>
  </w:num>
  <w:num w:numId="18">
    <w:abstractNumId w:val="7"/>
  </w:num>
  <w:num w:numId="19">
    <w:abstractNumId w:val="15"/>
  </w:num>
  <w:num w:numId="20">
    <w:abstractNumId w:val="20"/>
  </w:num>
  <w:num w:numId="2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033C"/>
    <w:rsid w:val="000820E3"/>
    <w:rsid w:val="00087E95"/>
    <w:rsid w:val="00095015"/>
    <w:rsid w:val="0009727D"/>
    <w:rsid w:val="000A5E67"/>
    <w:rsid w:val="000A6147"/>
    <w:rsid w:val="000B086C"/>
    <w:rsid w:val="000B4857"/>
    <w:rsid w:val="000B76AB"/>
    <w:rsid w:val="000C04D6"/>
    <w:rsid w:val="000C181F"/>
    <w:rsid w:val="000C76C7"/>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7543A"/>
    <w:rsid w:val="00180633"/>
    <w:rsid w:val="00182395"/>
    <w:rsid w:val="00185B41"/>
    <w:rsid w:val="00185DA1"/>
    <w:rsid w:val="0019152C"/>
    <w:rsid w:val="00192794"/>
    <w:rsid w:val="00195CA6"/>
    <w:rsid w:val="001B53BC"/>
    <w:rsid w:val="001B64CA"/>
    <w:rsid w:val="001C3568"/>
    <w:rsid w:val="001C3FE4"/>
    <w:rsid w:val="001C615B"/>
    <w:rsid w:val="001E2F36"/>
    <w:rsid w:val="001F4949"/>
    <w:rsid w:val="001F575C"/>
    <w:rsid w:val="00204D4E"/>
    <w:rsid w:val="0021224E"/>
    <w:rsid w:val="00213BCE"/>
    <w:rsid w:val="00215195"/>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151C"/>
    <w:rsid w:val="00322D0D"/>
    <w:rsid w:val="00324FCD"/>
    <w:rsid w:val="0033179E"/>
    <w:rsid w:val="00341AFA"/>
    <w:rsid w:val="00343ED9"/>
    <w:rsid w:val="00344402"/>
    <w:rsid w:val="00347F84"/>
    <w:rsid w:val="00361CB0"/>
    <w:rsid w:val="003657AE"/>
    <w:rsid w:val="00367146"/>
    <w:rsid w:val="003671D1"/>
    <w:rsid w:val="0037099D"/>
    <w:rsid w:val="003747A7"/>
    <w:rsid w:val="00381F8E"/>
    <w:rsid w:val="00387BB3"/>
    <w:rsid w:val="00391C92"/>
    <w:rsid w:val="0039429B"/>
    <w:rsid w:val="003A2348"/>
    <w:rsid w:val="003A2BFE"/>
    <w:rsid w:val="003B3781"/>
    <w:rsid w:val="003B56D0"/>
    <w:rsid w:val="003B57CB"/>
    <w:rsid w:val="003C02B9"/>
    <w:rsid w:val="003C6250"/>
    <w:rsid w:val="003D1995"/>
    <w:rsid w:val="003D455A"/>
    <w:rsid w:val="003D4C65"/>
    <w:rsid w:val="003D6CF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43922"/>
    <w:rsid w:val="00552518"/>
    <w:rsid w:val="00552D61"/>
    <w:rsid w:val="00560247"/>
    <w:rsid w:val="00571625"/>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47819"/>
    <w:rsid w:val="00650AB9"/>
    <w:rsid w:val="0067648F"/>
    <w:rsid w:val="00680267"/>
    <w:rsid w:val="00680B51"/>
    <w:rsid w:val="00680DD0"/>
    <w:rsid w:val="00683724"/>
    <w:rsid w:val="0069162F"/>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39D8"/>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6C1"/>
    <w:rsid w:val="007C4CF9"/>
    <w:rsid w:val="007D2EFB"/>
    <w:rsid w:val="007D4BE6"/>
    <w:rsid w:val="007E016E"/>
    <w:rsid w:val="007E2406"/>
    <w:rsid w:val="007E29E9"/>
    <w:rsid w:val="007F15A5"/>
    <w:rsid w:val="007F33B9"/>
    <w:rsid w:val="007F4C38"/>
    <w:rsid w:val="008066C1"/>
    <w:rsid w:val="00807CF5"/>
    <w:rsid w:val="00817D95"/>
    <w:rsid w:val="00820A11"/>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D3C8B"/>
    <w:rsid w:val="008E0B4E"/>
    <w:rsid w:val="008E65F0"/>
    <w:rsid w:val="008F273B"/>
    <w:rsid w:val="008F3B0B"/>
    <w:rsid w:val="008F4433"/>
    <w:rsid w:val="008F4DD1"/>
    <w:rsid w:val="00906616"/>
    <w:rsid w:val="0091306B"/>
    <w:rsid w:val="00924D15"/>
    <w:rsid w:val="00930289"/>
    <w:rsid w:val="00942FAD"/>
    <w:rsid w:val="009526DA"/>
    <w:rsid w:val="00957D8E"/>
    <w:rsid w:val="00964265"/>
    <w:rsid w:val="00971FDB"/>
    <w:rsid w:val="009765E0"/>
    <w:rsid w:val="009840D8"/>
    <w:rsid w:val="00991266"/>
    <w:rsid w:val="009938B0"/>
    <w:rsid w:val="009A0334"/>
    <w:rsid w:val="009A2C92"/>
    <w:rsid w:val="009A46D5"/>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4C82"/>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1715"/>
    <w:rsid w:val="00B12027"/>
    <w:rsid w:val="00B23D79"/>
    <w:rsid w:val="00B24019"/>
    <w:rsid w:val="00B32574"/>
    <w:rsid w:val="00B32697"/>
    <w:rsid w:val="00B33706"/>
    <w:rsid w:val="00B35BFC"/>
    <w:rsid w:val="00B43D9D"/>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8446F"/>
    <w:rsid w:val="00C9583B"/>
    <w:rsid w:val="00CC4773"/>
    <w:rsid w:val="00CD1DB9"/>
    <w:rsid w:val="00CD1E24"/>
    <w:rsid w:val="00CD3089"/>
    <w:rsid w:val="00CF19F4"/>
    <w:rsid w:val="00CF1A90"/>
    <w:rsid w:val="00CF2914"/>
    <w:rsid w:val="00D04875"/>
    <w:rsid w:val="00D11DE0"/>
    <w:rsid w:val="00D17764"/>
    <w:rsid w:val="00D2444F"/>
    <w:rsid w:val="00D304FE"/>
    <w:rsid w:val="00D3148D"/>
    <w:rsid w:val="00D31887"/>
    <w:rsid w:val="00D3448D"/>
    <w:rsid w:val="00D36642"/>
    <w:rsid w:val="00D4075D"/>
    <w:rsid w:val="00D75216"/>
    <w:rsid w:val="00D75A72"/>
    <w:rsid w:val="00D811F2"/>
    <w:rsid w:val="00D93803"/>
    <w:rsid w:val="00D9443F"/>
    <w:rsid w:val="00D9602E"/>
    <w:rsid w:val="00DA2F66"/>
    <w:rsid w:val="00DB0473"/>
    <w:rsid w:val="00DB54FF"/>
    <w:rsid w:val="00DB5EE8"/>
    <w:rsid w:val="00DB6A09"/>
    <w:rsid w:val="00DC11FC"/>
    <w:rsid w:val="00DD6DFD"/>
    <w:rsid w:val="00DE242D"/>
    <w:rsid w:val="00DE5680"/>
    <w:rsid w:val="00DF64BD"/>
    <w:rsid w:val="00DF79BE"/>
    <w:rsid w:val="00E02EB4"/>
    <w:rsid w:val="00E06D2F"/>
    <w:rsid w:val="00E16CAD"/>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06F4D"/>
    <w:rsid w:val="00F16CB6"/>
    <w:rsid w:val="00F230D5"/>
    <w:rsid w:val="00F244CF"/>
    <w:rsid w:val="00F27547"/>
    <w:rsid w:val="00F2794C"/>
    <w:rsid w:val="00F33B71"/>
    <w:rsid w:val="00F3582B"/>
    <w:rsid w:val="00F374E2"/>
    <w:rsid w:val="00F37FB4"/>
    <w:rsid w:val="00F40F15"/>
    <w:rsid w:val="00F43A9A"/>
    <w:rsid w:val="00F52E6A"/>
    <w:rsid w:val="00F62095"/>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F137B"/>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customStyle="1" w:styleId="22">
    <w:name w:val="Основной текст (2)_"/>
    <w:link w:val="23"/>
    <w:rsid w:val="00543922"/>
    <w:rPr>
      <w:rFonts w:ascii="Arial" w:hAnsi="Arial" w:cs="Arial"/>
      <w:b/>
      <w:bCs/>
      <w:sz w:val="18"/>
      <w:szCs w:val="18"/>
      <w:shd w:val="clear" w:color="auto" w:fill="FFFFFF"/>
    </w:rPr>
  </w:style>
  <w:style w:type="paragraph" w:customStyle="1" w:styleId="23">
    <w:name w:val="Основной текст (2)"/>
    <w:basedOn w:val="a0"/>
    <w:link w:val="22"/>
    <w:qFormat/>
    <w:rsid w:val="00543922"/>
    <w:pPr>
      <w:widowControl w:val="0"/>
      <w:shd w:val="clear" w:color="auto" w:fill="FFFFFF"/>
      <w:spacing w:after="0"/>
      <w:ind w:firstLine="540"/>
      <w:jc w:val="both"/>
    </w:pPr>
    <w:rPr>
      <w:rFonts w:ascii="Arial" w:hAnsi="Arial" w:cs="Arial"/>
      <w:b/>
      <w:bCs/>
      <w:sz w:val="18"/>
      <w:szCs w:val="18"/>
    </w:rPr>
  </w:style>
  <w:style w:type="character" w:styleId="af9">
    <w:name w:val="annotation reference"/>
    <w:basedOn w:val="a1"/>
    <w:uiPriority w:val="99"/>
    <w:semiHidden/>
    <w:unhideWhenUsed/>
    <w:rsid w:val="0032151C"/>
    <w:rPr>
      <w:sz w:val="16"/>
      <w:szCs w:val="16"/>
    </w:rPr>
  </w:style>
  <w:style w:type="paragraph" w:styleId="afa">
    <w:name w:val="annotation text"/>
    <w:basedOn w:val="a0"/>
    <w:link w:val="afb"/>
    <w:uiPriority w:val="99"/>
    <w:unhideWhenUsed/>
    <w:rsid w:val="0032151C"/>
    <w:pPr>
      <w:spacing w:line="240" w:lineRule="auto"/>
    </w:pPr>
    <w:rPr>
      <w:sz w:val="20"/>
      <w:szCs w:val="20"/>
    </w:rPr>
  </w:style>
  <w:style w:type="character" w:customStyle="1" w:styleId="afb">
    <w:name w:val="Текст примечания Знак"/>
    <w:basedOn w:val="a1"/>
    <w:link w:val="afa"/>
    <w:uiPriority w:val="99"/>
    <w:rsid w:val="003215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662657008">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478D1-38A1-42C8-A053-41693E63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1829</Words>
  <Characters>10428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Улукшонова Алина Доржиевна</cp:lastModifiedBy>
  <cp:revision>6</cp:revision>
  <cp:lastPrinted>2018-01-19T15:25:00Z</cp:lastPrinted>
  <dcterms:created xsi:type="dcterms:W3CDTF">2025-01-17T13:52:00Z</dcterms:created>
  <dcterms:modified xsi:type="dcterms:W3CDTF">2025-02-05T11:57:00Z</dcterms:modified>
</cp:coreProperties>
</file>