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05-07/1017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B2E6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90 календарных дней с момента подписания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4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постановление 617</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903"/>
        <w:gridCol w:w="6153"/>
        <w:gridCol w:w="1132"/>
        <w:gridCol w:w="1333"/>
        <w:gridCol w:w="625"/>
        <w:gridCol w:w="641"/>
        <w:gridCol w:w="711"/>
        <w:gridCol w:w="826"/>
        <w:gridCol w:w="1094"/>
      </w:tblGrid>
      <w:tr w:rsidR="00CE2EF3" w:rsidRPr="00435F35" w:rsidTr="00D0291B">
        <w:trPr>
          <w:trHeight w:val="20"/>
        </w:trPr>
        <w:tc>
          <w:tcPr>
            <w:tcW w:w="166"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п/н</w:t>
            </w:r>
          </w:p>
        </w:tc>
        <w:tc>
          <w:tcPr>
            <w:tcW w:w="910"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Наименование Товара</w:t>
            </w:r>
          </w:p>
        </w:tc>
        <w:tc>
          <w:tcPr>
            <w:tcW w:w="1929"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Характеристики с указанием производителя и страны происхождения товара</w:t>
            </w:r>
          </w:p>
        </w:tc>
        <w:tc>
          <w:tcPr>
            <w:tcW w:w="355"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Единица измерения</w:t>
            </w:r>
          </w:p>
        </w:tc>
        <w:tc>
          <w:tcPr>
            <w:tcW w:w="418"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Код по ОКПД2</w:t>
            </w:r>
          </w:p>
        </w:tc>
        <w:tc>
          <w:tcPr>
            <w:tcW w:w="196"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Кол-во</w:t>
            </w:r>
          </w:p>
        </w:tc>
        <w:tc>
          <w:tcPr>
            <w:tcW w:w="201"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НДС %</w:t>
            </w:r>
          </w:p>
        </w:tc>
        <w:tc>
          <w:tcPr>
            <w:tcW w:w="223"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НДС (руб.)</w:t>
            </w:r>
          </w:p>
        </w:tc>
        <w:tc>
          <w:tcPr>
            <w:tcW w:w="259"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 xml:space="preserve">Цена за ед. Товара </w:t>
            </w:r>
            <w:r>
              <w:rPr>
                <w:rFonts w:ascii="Times New Roman" w:eastAsia="Times New Roman" w:hAnsi="Times New Roman" w:cs="Times New Roman"/>
                <w:sz w:val="20"/>
                <w:szCs w:val="20"/>
                <w:lang w:eastAsia="ru-RU"/>
              </w:rPr>
              <w:t>с</w:t>
            </w:r>
            <w:r w:rsidRPr="00435F35">
              <w:rPr>
                <w:rFonts w:ascii="Times New Roman" w:eastAsia="Times New Roman" w:hAnsi="Times New Roman" w:cs="Times New Roman"/>
                <w:sz w:val="20"/>
                <w:szCs w:val="20"/>
                <w:lang w:eastAsia="ru-RU"/>
              </w:rPr>
              <w:t xml:space="preserve"> НДС (руб.)</w:t>
            </w:r>
          </w:p>
        </w:tc>
        <w:tc>
          <w:tcPr>
            <w:tcW w:w="343" w:type="pct"/>
            <w:vAlign w:val="center"/>
            <w:hideMark/>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r w:rsidRPr="00435F35">
              <w:rPr>
                <w:rFonts w:ascii="Times New Roman" w:eastAsia="Times New Roman" w:hAnsi="Times New Roman" w:cs="Times New Roman"/>
                <w:sz w:val="20"/>
                <w:szCs w:val="20"/>
                <w:lang w:eastAsia="ru-RU"/>
              </w:rPr>
              <w:t xml:space="preserve">Сумма </w:t>
            </w:r>
            <w:r>
              <w:rPr>
                <w:rFonts w:ascii="Times New Roman" w:eastAsia="Times New Roman" w:hAnsi="Times New Roman" w:cs="Times New Roman"/>
                <w:sz w:val="20"/>
                <w:szCs w:val="20"/>
                <w:lang w:eastAsia="ru-RU"/>
              </w:rPr>
              <w:t>с</w:t>
            </w:r>
            <w:r w:rsidRPr="00435F35">
              <w:rPr>
                <w:rFonts w:ascii="Times New Roman" w:eastAsia="Times New Roman" w:hAnsi="Times New Roman" w:cs="Times New Roman"/>
                <w:sz w:val="20"/>
                <w:szCs w:val="20"/>
                <w:lang w:eastAsia="ru-RU"/>
              </w:rPr>
              <w:t xml:space="preserve"> НДС (руб.)</w:t>
            </w:r>
          </w:p>
        </w:tc>
      </w:tr>
      <w:tr w:rsidR="00CE2EF3" w:rsidRPr="00435F35" w:rsidTr="00D0291B">
        <w:trPr>
          <w:trHeight w:val="20"/>
        </w:trPr>
        <w:tc>
          <w:tcPr>
            <w:tcW w:w="166" w:type="pct"/>
            <w:vAlign w:val="center"/>
          </w:tcPr>
          <w:p w:rsidR="00CE2EF3" w:rsidRPr="00435F35" w:rsidRDefault="00CE2EF3" w:rsidP="00D029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10" w:type="pct"/>
          </w:tcPr>
          <w:p w:rsidR="00CE2EF3" w:rsidRPr="004A5B1E" w:rsidRDefault="00CE2EF3" w:rsidP="00D0291B">
            <w:pPr>
              <w:spacing w:after="0" w:line="240" w:lineRule="auto"/>
              <w:jc w:val="center"/>
              <w:rPr>
                <w:rFonts w:ascii="Times New Roman" w:hAnsi="Times New Roman"/>
                <w:sz w:val="20"/>
                <w:szCs w:val="20"/>
              </w:rPr>
            </w:pPr>
            <w:r w:rsidRPr="00E43D1E">
              <w:rPr>
                <w:rFonts w:ascii="Times New Roman" w:hAnsi="Times New Roman"/>
                <w:sz w:val="20"/>
                <w:szCs w:val="20"/>
              </w:rPr>
              <w:t>Антитела кроличьи моноклональные Recombinant Anti-Histone H3 (tri methyl K27) antibody [EPR18607]</w:t>
            </w:r>
          </w:p>
        </w:tc>
        <w:tc>
          <w:tcPr>
            <w:tcW w:w="1929" w:type="pct"/>
            <w:vAlign w:val="center"/>
          </w:tcPr>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Антитела кроличьи моноклональные к H3 tri methyl K27, клон EPR18607.</w:t>
            </w:r>
          </w:p>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Реактивность мышь,крыса, человек.</w:t>
            </w:r>
          </w:p>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Изотип: IgG</w:t>
            </w:r>
          </w:p>
          <w:p w:rsidR="00CE2EF3" w:rsidRPr="004A5B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Буфер для хранения: pH: 7,2 - 7,4</w:t>
            </w:r>
          </w:p>
        </w:tc>
        <w:tc>
          <w:tcPr>
            <w:tcW w:w="355" w:type="pct"/>
            <w:vAlign w:val="center"/>
          </w:tcPr>
          <w:p w:rsidR="00CE2EF3" w:rsidRPr="00435F35"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418" w:type="pct"/>
            <w:vAlign w:val="center"/>
          </w:tcPr>
          <w:p w:rsidR="00CE2EF3" w:rsidRPr="00EA5E8A" w:rsidRDefault="00CE2EF3" w:rsidP="00D0291B">
            <w:pPr>
              <w:spacing w:after="0" w:line="240" w:lineRule="auto"/>
              <w:jc w:val="center"/>
              <w:rPr>
                <w:rFonts w:ascii="Times New Roman" w:hAnsi="Times New Roman" w:cs="Times New Roman"/>
                <w:sz w:val="20"/>
                <w:szCs w:val="20"/>
              </w:rPr>
            </w:pPr>
            <w:r w:rsidRPr="00EA5E8A">
              <w:rPr>
                <w:rFonts w:ascii="Times New Roman" w:hAnsi="Times New Roman" w:cs="Times New Roman"/>
                <w:sz w:val="20"/>
                <w:szCs w:val="20"/>
              </w:rPr>
              <w:t>20.59.52.194</w:t>
            </w:r>
          </w:p>
        </w:tc>
        <w:tc>
          <w:tcPr>
            <w:tcW w:w="196" w:type="pct"/>
            <w:vAlign w:val="center"/>
          </w:tcPr>
          <w:p w:rsidR="00CE2EF3" w:rsidRDefault="00CE2EF3" w:rsidP="00D02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01" w:type="pct"/>
            <w:vAlign w:val="center"/>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p>
        </w:tc>
        <w:tc>
          <w:tcPr>
            <w:tcW w:w="22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259"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34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r>
      <w:tr w:rsidR="00CE2EF3" w:rsidRPr="00435F35" w:rsidTr="00D0291B">
        <w:trPr>
          <w:trHeight w:val="20"/>
        </w:trPr>
        <w:tc>
          <w:tcPr>
            <w:tcW w:w="166" w:type="pct"/>
            <w:vAlign w:val="center"/>
          </w:tcPr>
          <w:p w:rsidR="00CE2EF3" w:rsidRPr="00435F35" w:rsidRDefault="00CE2EF3" w:rsidP="00D029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10" w:type="pct"/>
            <w:vAlign w:val="center"/>
          </w:tcPr>
          <w:p w:rsidR="00CE2EF3" w:rsidRPr="004A5B1E" w:rsidRDefault="00CE2EF3" w:rsidP="00D0291B">
            <w:pPr>
              <w:spacing w:after="0" w:line="240" w:lineRule="auto"/>
              <w:jc w:val="center"/>
              <w:rPr>
                <w:rFonts w:ascii="Times New Roman" w:hAnsi="Times New Roman"/>
                <w:sz w:val="20"/>
                <w:szCs w:val="20"/>
              </w:rPr>
            </w:pPr>
            <w:r w:rsidRPr="00E43D1E">
              <w:rPr>
                <w:rFonts w:ascii="Times New Roman" w:hAnsi="Times New Roman"/>
                <w:sz w:val="20"/>
                <w:szCs w:val="20"/>
              </w:rPr>
              <w:t>Антитела Anti-IDH1 R132H (Hu) мышиные моноклональные (Клон: H09</w:t>
            </w:r>
            <w:r>
              <w:rPr>
                <w:rFonts w:ascii="Times New Roman" w:hAnsi="Times New Roman"/>
                <w:sz w:val="20"/>
                <w:szCs w:val="20"/>
              </w:rPr>
              <w:t>)</w:t>
            </w:r>
          </w:p>
        </w:tc>
        <w:tc>
          <w:tcPr>
            <w:tcW w:w="1929" w:type="pct"/>
            <w:vAlign w:val="center"/>
          </w:tcPr>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Иммуногистохимическое окрашивание стандартных парафиновых срезов, фиксированных формалином</w:t>
            </w:r>
          </w:p>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Депарафинизацию и регидратацию проводят в соответствии со стандартными процедурами. Требуется извлечение эпитопа, индуцированного нагреванием (HIER). Для иммуногистохимического обнаружения могут использоваться различные методы: непрямое иммуноферментное мечение вторичным конъюгатом антител,</w:t>
            </w:r>
          </w:p>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обнаружение на основе биотина/(стрептококка)авидина, обнаружение на основе растворимого иммуноферментного комплекса или полимера. Чтобы обнаружить антитело, выполните следующие действия</w:t>
            </w:r>
          </w:p>
          <w:p w:rsidR="00CE2EF3" w:rsidRPr="00E43D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инструкции, прилагаемые к конкретной системе визуализации. Антитело подходит для иммуногистохимического окрашивания с использованием</w:t>
            </w:r>
          </w:p>
          <w:p w:rsidR="00CE2EF3" w:rsidRPr="004A5B1E"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автоматизированных платформ. Используйте антитело в разведении 1:20-1:100 в течение 30 мин при RT.</w:t>
            </w:r>
          </w:p>
        </w:tc>
        <w:tc>
          <w:tcPr>
            <w:tcW w:w="355" w:type="pct"/>
            <w:vAlign w:val="center"/>
          </w:tcPr>
          <w:p w:rsidR="00CE2EF3" w:rsidRPr="00435F35"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418" w:type="pct"/>
            <w:vAlign w:val="center"/>
          </w:tcPr>
          <w:p w:rsidR="00CE2EF3" w:rsidRPr="00EA5E8A" w:rsidRDefault="00CE2EF3" w:rsidP="00D0291B">
            <w:pPr>
              <w:spacing w:after="0" w:line="240" w:lineRule="auto"/>
              <w:jc w:val="center"/>
              <w:rPr>
                <w:rFonts w:ascii="Times New Roman" w:hAnsi="Times New Roman" w:cs="Times New Roman"/>
                <w:sz w:val="20"/>
                <w:szCs w:val="20"/>
              </w:rPr>
            </w:pPr>
            <w:r w:rsidRPr="00EA5E8A">
              <w:rPr>
                <w:rFonts w:ascii="Times New Roman" w:hAnsi="Times New Roman" w:cs="Times New Roman"/>
                <w:sz w:val="20"/>
                <w:szCs w:val="20"/>
              </w:rPr>
              <w:t>20.59.52.194</w:t>
            </w:r>
          </w:p>
        </w:tc>
        <w:tc>
          <w:tcPr>
            <w:tcW w:w="196" w:type="pct"/>
            <w:vAlign w:val="center"/>
          </w:tcPr>
          <w:p w:rsidR="00CE2EF3" w:rsidRDefault="00CE2EF3" w:rsidP="00D02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1" w:type="pct"/>
            <w:vAlign w:val="center"/>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p>
        </w:tc>
        <w:tc>
          <w:tcPr>
            <w:tcW w:w="22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259"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34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r>
      <w:tr w:rsidR="00CE2EF3" w:rsidRPr="00E43D1E" w:rsidTr="00D0291B">
        <w:trPr>
          <w:trHeight w:val="20"/>
        </w:trPr>
        <w:tc>
          <w:tcPr>
            <w:tcW w:w="166" w:type="pct"/>
            <w:vAlign w:val="center"/>
          </w:tcPr>
          <w:p w:rsidR="00CE2EF3" w:rsidRDefault="00CE2EF3" w:rsidP="00D029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10" w:type="pct"/>
            <w:vAlign w:val="center"/>
          </w:tcPr>
          <w:p w:rsidR="00CE2EF3" w:rsidRPr="00E43D1E" w:rsidRDefault="00CE2EF3" w:rsidP="00D0291B">
            <w:pPr>
              <w:spacing w:after="0" w:line="240" w:lineRule="auto"/>
              <w:jc w:val="center"/>
              <w:rPr>
                <w:rFonts w:ascii="Times New Roman" w:hAnsi="Times New Roman"/>
                <w:sz w:val="20"/>
                <w:szCs w:val="20"/>
                <w:lang w:val="en-US"/>
              </w:rPr>
            </w:pPr>
            <w:r w:rsidRPr="00E43D1E">
              <w:rPr>
                <w:rFonts w:ascii="Times New Roman" w:hAnsi="Times New Roman"/>
                <w:sz w:val="20"/>
                <w:szCs w:val="20"/>
              </w:rPr>
              <w:t>Антитела</w:t>
            </w:r>
            <w:r w:rsidRPr="00E43D1E">
              <w:rPr>
                <w:rFonts w:ascii="Times New Roman" w:hAnsi="Times New Roman"/>
                <w:sz w:val="20"/>
                <w:szCs w:val="20"/>
                <w:lang w:val="en-US"/>
              </w:rPr>
              <w:t xml:space="preserve"> </w:t>
            </w:r>
            <w:r w:rsidRPr="00E43D1E">
              <w:rPr>
                <w:rFonts w:ascii="Times New Roman" w:hAnsi="Times New Roman"/>
                <w:sz w:val="20"/>
                <w:szCs w:val="20"/>
              </w:rPr>
              <w:t>к</w:t>
            </w:r>
            <w:r w:rsidRPr="00E43D1E">
              <w:rPr>
                <w:rFonts w:ascii="Times New Roman" w:hAnsi="Times New Roman"/>
                <w:sz w:val="20"/>
                <w:szCs w:val="20"/>
                <w:lang w:val="en-US"/>
              </w:rPr>
              <w:t xml:space="preserve"> GATA-3 - Mouse   Monoclonal; L50-823</w:t>
            </w:r>
          </w:p>
        </w:tc>
        <w:tc>
          <w:tcPr>
            <w:tcW w:w="1929" w:type="pct"/>
            <w:vAlign w:val="center"/>
          </w:tcPr>
          <w:p w:rsidR="00CE2EF3" w:rsidRPr="00E43D1E" w:rsidRDefault="00CE2EF3" w:rsidP="00D0291B">
            <w:pPr>
              <w:spacing w:after="0" w:line="240" w:lineRule="auto"/>
              <w:jc w:val="both"/>
              <w:rPr>
                <w:rFonts w:ascii="Times New Roman" w:hAnsi="Times New Roman"/>
                <w:sz w:val="20"/>
                <w:szCs w:val="20"/>
                <w:lang w:val="en-US"/>
              </w:rPr>
            </w:pPr>
            <w:r w:rsidRPr="00E43D1E">
              <w:rPr>
                <w:rFonts w:ascii="Times New Roman" w:hAnsi="Times New Roman"/>
                <w:sz w:val="20"/>
                <w:szCs w:val="20"/>
              </w:rPr>
              <w:t xml:space="preserve">Первичные антитела (мышиные моноклональные) к </w:t>
            </w:r>
            <w:r w:rsidRPr="00E43D1E">
              <w:rPr>
                <w:rFonts w:ascii="Times New Roman" w:hAnsi="Times New Roman"/>
                <w:sz w:val="20"/>
                <w:szCs w:val="20"/>
                <w:lang w:val="en-US"/>
              </w:rPr>
              <w:t>GATA</w:t>
            </w:r>
            <w:r w:rsidRPr="00E43D1E">
              <w:rPr>
                <w:rFonts w:ascii="Times New Roman" w:hAnsi="Times New Roman"/>
                <w:sz w:val="20"/>
                <w:szCs w:val="20"/>
              </w:rPr>
              <w:t xml:space="preserve">3, клон  </w:t>
            </w:r>
            <w:r w:rsidRPr="00E43D1E">
              <w:rPr>
                <w:rFonts w:ascii="Times New Roman" w:hAnsi="Times New Roman"/>
                <w:sz w:val="20"/>
                <w:szCs w:val="20"/>
                <w:lang w:val="en-US"/>
              </w:rPr>
              <w:t>L</w:t>
            </w:r>
            <w:r w:rsidRPr="00E43D1E">
              <w:rPr>
                <w:rFonts w:ascii="Times New Roman" w:hAnsi="Times New Roman"/>
                <w:sz w:val="20"/>
                <w:szCs w:val="20"/>
              </w:rPr>
              <w:t xml:space="preserve">50-823, концентрированные. Предназначены для проведения иммуногистохимических исследований на парафиновых срезах фиксированного в формалине материала. </w:t>
            </w:r>
            <w:r w:rsidRPr="00E43D1E">
              <w:rPr>
                <w:rFonts w:ascii="Times New Roman" w:hAnsi="Times New Roman"/>
                <w:sz w:val="20"/>
                <w:szCs w:val="20"/>
                <w:lang w:val="en-US"/>
              </w:rPr>
              <w:t>Рекомендуемое разведение: 1:100-1:500. Объем не  менее 0,1 мл.</w:t>
            </w:r>
          </w:p>
        </w:tc>
        <w:tc>
          <w:tcPr>
            <w:tcW w:w="355" w:type="pct"/>
            <w:vAlign w:val="center"/>
          </w:tcPr>
          <w:p w:rsidR="00CE2EF3" w:rsidRPr="00E43D1E"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418" w:type="pct"/>
            <w:vAlign w:val="center"/>
          </w:tcPr>
          <w:p w:rsidR="00CE2EF3" w:rsidRPr="00E43D1E"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20.59.52.194</w:t>
            </w:r>
          </w:p>
        </w:tc>
        <w:tc>
          <w:tcPr>
            <w:tcW w:w="196" w:type="pct"/>
            <w:vAlign w:val="center"/>
          </w:tcPr>
          <w:p w:rsidR="00CE2EF3" w:rsidRPr="00E43D1E" w:rsidRDefault="00CE2EF3" w:rsidP="00D02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1" w:type="pct"/>
            <w:vAlign w:val="center"/>
          </w:tcPr>
          <w:p w:rsidR="00CE2EF3" w:rsidRPr="00E43D1E" w:rsidRDefault="00CE2EF3" w:rsidP="00D0291B">
            <w:pPr>
              <w:spacing w:after="0" w:line="240" w:lineRule="auto"/>
              <w:jc w:val="center"/>
              <w:rPr>
                <w:rFonts w:ascii="Times New Roman" w:eastAsia="Times New Roman" w:hAnsi="Times New Roman" w:cs="Times New Roman"/>
                <w:sz w:val="20"/>
                <w:szCs w:val="20"/>
                <w:lang w:val="en-US" w:eastAsia="ru-RU"/>
              </w:rPr>
            </w:pPr>
          </w:p>
        </w:tc>
        <w:tc>
          <w:tcPr>
            <w:tcW w:w="223" w:type="pct"/>
            <w:vAlign w:val="center"/>
          </w:tcPr>
          <w:p w:rsidR="00CE2EF3" w:rsidRPr="00E43D1E" w:rsidRDefault="00CE2EF3" w:rsidP="00D0291B">
            <w:pPr>
              <w:spacing w:after="0" w:line="240" w:lineRule="auto"/>
              <w:jc w:val="right"/>
              <w:rPr>
                <w:rFonts w:ascii="Times New Roman" w:eastAsia="Times New Roman" w:hAnsi="Times New Roman" w:cs="Times New Roman"/>
                <w:sz w:val="20"/>
                <w:szCs w:val="20"/>
                <w:lang w:val="en-US" w:eastAsia="ru-RU"/>
              </w:rPr>
            </w:pPr>
          </w:p>
        </w:tc>
        <w:tc>
          <w:tcPr>
            <w:tcW w:w="259" w:type="pct"/>
            <w:vAlign w:val="center"/>
          </w:tcPr>
          <w:p w:rsidR="00CE2EF3" w:rsidRPr="00E43D1E" w:rsidRDefault="00CE2EF3" w:rsidP="00D0291B">
            <w:pPr>
              <w:spacing w:after="0" w:line="240" w:lineRule="auto"/>
              <w:jc w:val="right"/>
              <w:rPr>
                <w:rFonts w:ascii="Times New Roman" w:eastAsia="Times New Roman" w:hAnsi="Times New Roman" w:cs="Times New Roman"/>
                <w:sz w:val="20"/>
                <w:szCs w:val="20"/>
                <w:lang w:val="en-US" w:eastAsia="ru-RU"/>
              </w:rPr>
            </w:pPr>
          </w:p>
        </w:tc>
        <w:tc>
          <w:tcPr>
            <w:tcW w:w="343" w:type="pct"/>
            <w:vAlign w:val="center"/>
          </w:tcPr>
          <w:p w:rsidR="00CE2EF3" w:rsidRPr="00E43D1E" w:rsidRDefault="00CE2EF3" w:rsidP="00D0291B">
            <w:pPr>
              <w:spacing w:after="0" w:line="240" w:lineRule="auto"/>
              <w:jc w:val="right"/>
              <w:rPr>
                <w:rFonts w:ascii="Times New Roman" w:eastAsia="Times New Roman" w:hAnsi="Times New Roman" w:cs="Times New Roman"/>
                <w:sz w:val="20"/>
                <w:szCs w:val="20"/>
                <w:lang w:val="en-US" w:eastAsia="ru-RU"/>
              </w:rPr>
            </w:pPr>
          </w:p>
        </w:tc>
      </w:tr>
      <w:tr w:rsidR="00CE2EF3" w:rsidRPr="00435F35" w:rsidTr="00D0291B">
        <w:trPr>
          <w:trHeight w:val="20"/>
        </w:trPr>
        <w:tc>
          <w:tcPr>
            <w:tcW w:w="166" w:type="pct"/>
            <w:vAlign w:val="center"/>
          </w:tcPr>
          <w:p w:rsidR="00CE2EF3" w:rsidRDefault="00CE2EF3" w:rsidP="00D0291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10" w:type="pct"/>
            <w:vAlign w:val="center"/>
          </w:tcPr>
          <w:p w:rsidR="00CE2EF3" w:rsidRDefault="00CE2EF3" w:rsidP="00D0291B">
            <w:pPr>
              <w:spacing w:after="0" w:line="240" w:lineRule="auto"/>
              <w:jc w:val="center"/>
              <w:rPr>
                <w:rFonts w:ascii="Times New Roman" w:hAnsi="Times New Roman"/>
                <w:sz w:val="20"/>
                <w:szCs w:val="20"/>
              </w:rPr>
            </w:pPr>
            <w:r w:rsidRPr="00E43D1E">
              <w:rPr>
                <w:rFonts w:ascii="Times New Roman" w:hAnsi="Times New Roman"/>
                <w:sz w:val="20"/>
                <w:szCs w:val="20"/>
              </w:rPr>
              <w:t>Мышиные моноклональные антитела к p16INK4A (JC2) 7 мл RTU - p16INK4A (JC2) Mouse Monoclonal Antibody</w:t>
            </w:r>
          </w:p>
        </w:tc>
        <w:tc>
          <w:tcPr>
            <w:tcW w:w="1929" w:type="pct"/>
            <w:vAlign w:val="center"/>
          </w:tcPr>
          <w:p w:rsidR="00CE2EF3" w:rsidRDefault="00CE2EF3" w:rsidP="00D0291B">
            <w:pPr>
              <w:spacing w:after="0" w:line="240" w:lineRule="auto"/>
              <w:jc w:val="both"/>
              <w:rPr>
                <w:rFonts w:ascii="Times New Roman" w:hAnsi="Times New Roman"/>
                <w:sz w:val="20"/>
                <w:szCs w:val="20"/>
              </w:rPr>
            </w:pPr>
            <w:r w:rsidRPr="00E43D1E">
              <w:rPr>
                <w:rFonts w:ascii="Times New Roman" w:hAnsi="Times New Roman"/>
                <w:sz w:val="20"/>
                <w:szCs w:val="20"/>
              </w:rPr>
              <w:t>Первичные антитела (мышиные моноклональные) к p16INK4A, клон  JC2, готовые к применению. Предназначены для проведения иммуногистохимических исследований на парафиновых срезах фиксированного в формалине материала. Объем не менее 7 мл.</w:t>
            </w:r>
          </w:p>
        </w:tc>
        <w:tc>
          <w:tcPr>
            <w:tcW w:w="355" w:type="pct"/>
            <w:vAlign w:val="center"/>
          </w:tcPr>
          <w:p w:rsidR="00CE2EF3"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упк</w:t>
            </w:r>
          </w:p>
        </w:tc>
        <w:tc>
          <w:tcPr>
            <w:tcW w:w="418" w:type="pct"/>
            <w:vAlign w:val="center"/>
          </w:tcPr>
          <w:p w:rsidR="00CE2EF3" w:rsidRPr="00EA5E8A" w:rsidRDefault="00CE2EF3" w:rsidP="00D02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20.59.52.194</w:t>
            </w:r>
          </w:p>
        </w:tc>
        <w:tc>
          <w:tcPr>
            <w:tcW w:w="196" w:type="pct"/>
            <w:vAlign w:val="center"/>
          </w:tcPr>
          <w:p w:rsidR="00CE2EF3" w:rsidRDefault="00CE2EF3" w:rsidP="00D02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1" w:type="pct"/>
            <w:vAlign w:val="center"/>
          </w:tcPr>
          <w:p w:rsidR="00CE2EF3" w:rsidRPr="00435F35" w:rsidRDefault="00CE2EF3" w:rsidP="00D0291B">
            <w:pPr>
              <w:spacing w:after="0" w:line="240" w:lineRule="auto"/>
              <w:jc w:val="center"/>
              <w:rPr>
                <w:rFonts w:ascii="Times New Roman" w:eastAsia="Times New Roman" w:hAnsi="Times New Roman" w:cs="Times New Roman"/>
                <w:sz w:val="20"/>
                <w:szCs w:val="20"/>
                <w:lang w:eastAsia="ru-RU"/>
              </w:rPr>
            </w:pPr>
          </w:p>
        </w:tc>
        <w:tc>
          <w:tcPr>
            <w:tcW w:w="22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259"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c>
          <w:tcPr>
            <w:tcW w:w="343" w:type="pct"/>
            <w:vAlign w:val="center"/>
          </w:tcPr>
          <w:p w:rsidR="00CE2EF3" w:rsidRPr="00435F35" w:rsidRDefault="00CE2EF3" w:rsidP="00D0291B">
            <w:pPr>
              <w:spacing w:after="0" w:line="240" w:lineRule="auto"/>
              <w:jc w:val="right"/>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CE2EF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19" w:rsidRDefault="00760519">
      <w:pPr>
        <w:spacing w:after="0" w:line="240" w:lineRule="auto"/>
      </w:pPr>
      <w:r>
        <w:separator/>
      </w:r>
    </w:p>
  </w:endnote>
  <w:endnote w:type="continuationSeparator" w:id="0">
    <w:p w:rsidR="00760519" w:rsidRDefault="0076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B2E6E" w:rsidRDefault="006B2E6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B2E6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B2E6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B2E6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B2E6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E2EF3">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B2E6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E2EF3">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19" w:rsidRDefault="00760519">
      <w:pPr>
        <w:spacing w:after="0" w:line="240" w:lineRule="auto"/>
      </w:pPr>
      <w:r>
        <w:separator/>
      </w:r>
    </w:p>
  </w:footnote>
  <w:footnote w:type="continuationSeparator" w:id="0">
    <w:p w:rsidR="00760519" w:rsidRDefault="00760519">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B2E6E" w:rsidRDefault="006B2E6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B2E6E" w:rsidRDefault="006B2E6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B2E6E" w:rsidRDefault="006B2E6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2E6E"/>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0519"/>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E2EF3"/>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5D9E83-439E-4CF0-A696-B164E553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6A90-B0DD-458A-9CC4-DD516CB1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2024-06-26T10:12:00Z</dcterms:created>
  <dcterms:modified xsi:type="dcterms:W3CDTF">2024-06-26T10:12:00Z</dcterms:modified>
</cp:coreProperties>
</file>