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05-07/534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13D2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E2069F" w:rsidP="005F1058">
            <w:pPr>
              <w:ind w:right="-1"/>
              <w:jc w:val="both"/>
              <w:rPr>
                <w:rFonts w:ascii="Times New Roman" w:hAnsi="Times New Roman" w:cs="Times New Roman"/>
                <w:noProof/>
                <w:sz w:val="24"/>
                <w:szCs w:val="24"/>
              </w:rPr>
            </w:pPr>
            <w:r>
              <w:rPr>
                <w:rFonts w:ascii="Times New Roman" w:hAnsi="Times New Roman" w:cs="Times New Roman"/>
                <w:noProof/>
                <w:sz w:val="24"/>
                <w:szCs w:val="24"/>
              </w:rPr>
              <w:t>01.12</w:t>
            </w:r>
            <w:r w:rsidR="0038249D" w:rsidRPr="0038249D">
              <w:rPr>
                <w:rFonts w:ascii="Times New Roman" w:hAnsi="Times New Roman" w:cs="Times New Roman"/>
                <w:noProof/>
                <w:sz w:val="24"/>
                <w:szCs w:val="24"/>
              </w:rPr>
              <w:t>.2025</w:t>
            </w:r>
          </w:p>
        </w:tc>
      </w:tr>
      <w:tr w:rsidR="00C14573" w:rsidRPr="008252D7" w:rsidTr="00C14573">
        <w:tc>
          <w:tcPr>
            <w:tcW w:w="0" w:type="auto"/>
          </w:tcPr>
          <w:p w:rsidR="00C14573" w:rsidRPr="0038249D" w:rsidRDefault="00C14573" w:rsidP="005F1058">
            <w:pPr>
              <w:ind w:right="-1"/>
              <w:rPr>
                <w:rFonts w:ascii="Times New Roman" w:hAnsi="Times New Roman" w:cs="Times New Roman"/>
                <w:b/>
              </w:rPr>
            </w:pPr>
            <w:r w:rsidRPr="0038249D">
              <w:rPr>
                <w:rFonts w:ascii="Times New Roman" w:hAnsi="Times New Roman" w:cs="Times New Roman"/>
                <w:b/>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38249D" w:rsidP="00E2069F">
            <w:pPr>
              <w:ind w:right="-1"/>
              <w:jc w:val="both"/>
              <w:rPr>
                <w:rFonts w:ascii="Times New Roman" w:hAnsi="Times New Roman" w:cs="Times New Roman"/>
                <w:noProof/>
                <w:sz w:val="24"/>
                <w:szCs w:val="24"/>
              </w:rPr>
            </w:pPr>
            <w:r w:rsidRPr="0038249D">
              <w:rPr>
                <w:rFonts w:ascii="Times New Roman" w:hAnsi="Times New Roman" w:cs="Times New Roman"/>
                <w:noProof/>
                <w:sz w:val="24"/>
                <w:szCs w:val="24"/>
              </w:rPr>
              <w:t xml:space="preserve">В течение 6 (шести) рабочих дней после поступления письменной заявки от Покупателя. Последняя дата подачи заявки на поставку </w:t>
            </w:r>
            <w:r w:rsidR="00E2069F">
              <w:rPr>
                <w:rFonts w:ascii="Times New Roman" w:hAnsi="Times New Roman" w:cs="Times New Roman"/>
                <w:noProof/>
                <w:sz w:val="24"/>
                <w:szCs w:val="24"/>
              </w:rPr>
              <w:t>21.11</w:t>
            </w:r>
            <w:r>
              <w:rPr>
                <w:rFonts w:ascii="Times New Roman" w:hAnsi="Times New Roman" w:cs="Times New Roman"/>
                <w:noProof/>
                <w:sz w:val="24"/>
                <w:szCs w:val="24"/>
              </w:rPr>
              <w:t>.</w:t>
            </w:r>
            <w:r w:rsidRPr="0038249D">
              <w:rPr>
                <w:rFonts w:ascii="Times New Roman" w:hAnsi="Times New Roman" w:cs="Times New Roman"/>
                <w:noProof/>
                <w:sz w:val="24"/>
                <w:szCs w:val="24"/>
              </w:rPr>
              <w:t>2025. Максимальное количество партий - 10 (десять).</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8"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9"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0"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1"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2"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3"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3"/>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4"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5"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6"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7"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8"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8"/>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96"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6"/>
        <w:gridCol w:w="1434"/>
        <w:gridCol w:w="2004"/>
        <w:gridCol w:w="1580"/>
        <w:gridCol w:w="1865"/>
        <w:gridCol w:w="2441"/>
        <w:gridCol w:w="1279"/>
        <w:gridCol w:w="589"/>
        <w:gridCol w:w="842"/>
        <w:gridCol w:w="716"/>
        <w:gridCol w:w="861"/>
        <w:gridCol w:w="861"/>
      </w:tblGrid>
      <w:tr w:rsidR="00FD0F46" w:rsidRPr="008349B8" w:rsidTr="00906031">
        <w:tc>
          <w:tcPr>
            <w:tcW w:w="530" w:type="pct"/>
            <w:vMerge w:val="restart"/>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Наименование товара, работы, услуги</w:t>
            </w:r>
          </w:p>
        </w:tc>
        <w:tc>
          <w:tcPr>
            <w:tcW w:w="443" w:type="pct"/>
            <w:vMerge w:val="restart"/>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Код позиции</w:t>
            </w:r>
          </w:p>
        </w:tc>
        <w:tc>
          <w:tcPr>
            <w:tcW w:w="2437" w:type="pct"/>
            <w:gridSpan w:val="4"/>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Характеристики товара, работы, услуги</w:t>
            </w:r>
          </w:p>
        </w:tc>
        <w:tc>
          <w:tcPr>
            <w:tcW w:w="395" w:type="pct"/>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Количество</w:t>
            </w:r>
          </w:p>
        </w:tc>
        <w:tc>
          <w:tcPr>
            <w:tcW w:w="182" w:type="pct"/>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Единица измерения</w:t>
            </w:r>
          </w:p>
        </w:tc>
        <w:tc>
          <w:tcPr>
            <w:tcW w:w="260" w:type="pct"/>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Страна</w:t>
            </w:r>
          </w:p>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происхождения</w:t>
            </w:r>
          </w:p>
        </w:tc>
        <w:tc>
          <w:tcPr>
            <w:tcW w:w="221" w:type="pct"/>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НДС%</w:t>
            </w:r>
          </w:p>
        </w:tc>
        <w:tc>
          <w:tcPr>
            <w:tcW w:w="266" w:type="pct"/>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 xml:space="preserve">Цена за единицу </w:t>
            </w:r>
            <w:r>
              <w:rPr>
                <w:rFonts w:ascii="Times New Roman" w:eastAsia="Times New Roman" w:hAnsi="Times New Roman" w:cs="Times New Roman"/>
                <w:b/>
                <w:bCs/>
                <w:color w:val="000000"/>
                <w:sz w:val="20"/>
                <w:szCs w:val="20"/>
                <w:lang w:eastAsia="ru-RU"/>
              </w:rPr>
              <w:t>без</w:t>
            </w:r>
            <w:r w:rsidRPr="008349B8">
              <w:rPr>
                <w:rFonts w:ascii="Times New Roman" w:eastAsia="Times New Roman" w:hAnsi="Times New Roman" w:cs="Times New Roman"/>
                <w:b/>
                <w:bCs/>
                <w:color w:val="000000"/>
                <w:sz w:val="20"/>
                <w:szCs w:val="20"/>
                <w:lang w:eastAsia="ru-RU"/>
              </w:rPr>
              <w:t xml:space="preserve"> НДС</w:t>
            </w:r>
          </w:p>
        </w:tc>
        <w:tc>
          <w:tcPr>
            <w:tcW w:w="266" w:type="pct"/>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 xml:space="preserve">Сумма </w:t>
            </w:r>
            <w:r>
              <w:rPr>
                <w:rFonts w:ascii="Times New Roman" w:eastAsia="Times New Roman" w:hAnsi="Times New Roman" w:cs="Times New Roman"/>
                <w:b/>
                <w:bCs/>
                <w:color w:val="000000"/>
                <w:sz w:val="20"/>
                <w:szCs w:val="20"/>
                <w:lang w:eastAsia="ru-RU"/>
              </w:rPr>
              <w:t>без</w:t>
            </w:r>
            <w:r w:rsidRPr="008349B8">
              <w:rPr>
                <w:rFonts w:ascii="Times New Roman" w:eastAsia="Times New Roman" w:hAnsi="Times New Roman" w:cs="Times New Roman"/>
                <w:b/>
                <w:bCs/>
                <w:color w:val="000000"/>
                <w:sz w:val="20"/>
                <w:szCs w:val="20"/>
                <w:lang w:eastAsia="ru-RU"/>
              </w:rPr>
              <w:t xml:space="preserve"> НДС</w:t>
            </w:r>
          </w:p>
        </w:tc>
      </w:tr>
      <w:tr w:rsidR="00FD0F46" w:rsidRPr="008349B8" w:rsidTr="00906031">
        <w:tc>
          <w:tcPr>
            <w:tcW w:w="530" w:type="pct"/>
            <w:vMerge/>
            <w:vAlign w:val="center"/>
            <w:hideMark/>
          </w:tcPr>
          <w:p w:rsidR="00FD0F46" w:rsidRPr="008349B8" w:rsidRDefault="00FD0F46" w:rsidP="00906031">
            <w:pPr>
              <w:spacing w:after="0" w:line="240" w:lineRule="auto"/>
              <w:rPr>
                <w:rFonts w:ascii="Times New Roman" w:eastAsia="Times New Roman" w:hAnsi="Times New Roman" w:cs="Times New Roman"/>
                <w:b/>
                <w:bCs/>
                <w:color w:val="000000"/>
                <w:sz w:val="20"/>
                <w:szCs w:val="20"/>
                <w:lang w:eastAsia="ru-RU"/>
              </w:rPr>
            </w:pPr>
          </w:p>
        </w:tc>
        <w:tc>
          <w:tcPr>
            <w:tcW w:w="443" w:type="pct"/>
            <w:vMerge/>
            <w:vAlign w:val="center"/>
            <w:hideMark/>
          </w:tcPr>
          <w:p w:rsidR="00FD0F46" w:rsidRPr="008349B8" w:rsidRDefault="00FD0F46" w:rsidP="00906031">
            <w:pPr>
              <w:spacing w:after="0" w:line="240" w:lineRule="auto"/>
              <w:rPr>
                <w:rFonts w:ascii="Times New Roman" w:eastAsia="Times New Roman" w:hAnsi="Times New Roman" w:cs="Times New Roman"/>
                <w:b/>
                <w:bCs/>
                <w:color w:val="000000"/>
                <w:sz w:val="20"/>
                <w:szCs w:val="20"/>
                <w:lang w:eastAsia="ru-RU"/>
              </w:rPr>
            </w:pPr>
          </w:p>
        </w:tc>
        <w:tc>
          <w:tcPr>
            <w:tcW w:w="619" w:type="pct"/>
            <w:tcBorders>
              <w:bottom w:val="single" w:sz="4" w:space="0" w:color="auto"/>
            </w:tcBorders>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Наименование характеристики</w:t>
            </w:r>
          </w:p>
        </w:tc>
        <w:tc>
          <w:tcPr>
            <w:tcW w:w="488" w:type="pct"/>
            <w:tcBorders>
              <w:bottom w:val="single" w:sz="4" w:space="0" w:color="auto"/>
            </w:tcBorders>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Значение характеристики</w:t>
            </w:r>
          </w:p>
        </w:tc>
        <w:tc>
          <w:tcPr>
            <w:tcW w:w="576" w:type="pct"/>
            <w:tcBorders>
              <w:bottom w:val="single" w:sz="4" w:space="0" w:color="auto"/>
            </w:tcBorders>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Единица измерения характеристики</w:t>
            </w:r>
          </w:p>
        </w:tc>
        <w:tc>
          <w:tcPr>
            <w:tcW w:w="754" w:type="pct"/>
            <w:tcBorders>
              <w:bottom w:val="single" w:sz="4" w:space="0" w:color="auto"/>
            </w:tcBorders>
            <w:tcMar>
              <w:top w:w="75" w:type="dxa"/>
              <w:left w:w="75" w:type="dxa"/>
              <w:bottom w:w="75" w:type="dxa"/>
              <w:right w:w="75" w:type="dxa"/>
            </w:tcMar>
            <w:vAlign w:val="center"/>
            <w:hideMark/>
          </w:tcPr>
          <w:p w:rsidR="00FD0F46" w:rsidRPr="008349B8" w:rsidRDefault="00FD0F46" w:rsidP="00906031">
            <w:pPr>
              <w:spacing w:after="0" w:line="240" w:lineRule="auto"/>
              <w:jc w:val="center"/>
              <w:rPr>
                <w:rFonts w:ascii="Times New Roman" w:eastAsia="Times New Roman" w:hAnsi="Times New Roman" w:cs="Times New Roman"/>
                <w:b/>
                <w:bCs/>
                <w:color w:val="000000"/>
                <w:sz w:val="20"/>
                <w:szCs w:val="20"/>
                <w:lang w:eastAsia="ru-RU"/>
              </w:rPr>
            </w:pPr>
            <w:r w:rsidRPr="008349B8">
              <w:rPr>
                <w:rFonts w:ascii="Times New Roman" w:eastAsia="Times New Roman" w:hAnsi="Times New Roman" w:cs="Times New Roman"/>
                <w:b/>
                <w:bCs/>
                <w:color w:val="000000"/>
                <w:sz w:val="20"/>
                <w:szCs w:val="20"/>
                <w:lang w:eastAsia="ru-RU"/>
              </w:rPr>
              <w:t>Инструкция по заполнению характеристик в заявке</w:t>
            </w:r>
          </w:p>
        </w:tc>
        <w:tc>
          <w:tcPr>
            <w:tcW w:w="395" w:type="pct"/>
            <w:vAlign w:val="center"/>
          </w:tcPr>
          <w:p w:rsidR="00FD0F46" w:rsidRPr="00145DC7" w:rsidRDefault="00FD0F46" w:rsidP="00906031">
            <w:pPr>
              <w:spacing w:after="0" w:line="240" w:lineRule="auto"/>
              <w:jc w:val="center"/>
              <w:rPr>
                <w:rFonts w:ascii="Times New Roman" w:eastAsia="Times New Roman" w:hAnsi="Times New Roman" w:cs="Times New Roman"/>
                <w:color w:val="000000"/>
                <w:sz w:val="20"/>
                <w:szCs w:val="20"/>
                <w:lang w:eastAsia="ru-RU"/>
              </w:rPr>
            </w:pPr>
          </w:p>
        </w:tc>
        <w:tc>
          <w:tcPr>
            <w:tcW w:w="182" w:type="pct"/>
            <w:vAlign w:val="center"/>
          </w:tcPr>
          <w:p w:rsidR="00FD0F46" w:rsidRPr="00145DC7" w:rsidRDefault="00FD0F46" w:rsidP="00906031">
            <w:pPr>
              <w:spacing w:after="0" w:line="240" w:lineRule="auto"/>
              <w:jc w:val="center"/>
              <w:rPr>
                <w:rFonts w:ascii="Times New Roman" w:eastAsia="Times New Roman" w:hAnsi="Times New Roman" w:cs="Times New Roman"/>
                <w:color w:val="000000"/>
                <w:sz w:val="20"/>
                <w:szCs w:val="20"/>
                <w:lang w:eastAsia="ru-RU"/>
              </w:rPr>
            </w:pPr>
          </w:p>
        </w:tc>
        <w:tc>
          <w:tcPr>
            <w:tcW w:w="260" w:type="pct"/>
          </w:tcPr>
          <w:p w:rsidR="00FD0F46" w:rsidRPr="008349B8" w:rsidRDefault="00FD0F46" w:rsidP="00906031">
            <w:pPr>
              <w:spacing w:after="0" w:line="240" w:lineRule="auto"/>
              <w:rPr>
                <w:rFonts w:ascii="Times New Roman" w:eastAsia="Times New Roman" w:hAnsi="Times New Roman" w:cs="Times New Roman"/>
                <w:b/>
                <w:bCs/>
                <w:color w:val="000000"/>
                <w:sz w:val="20"/>
                <w:szCs w:val="20"/>
                <w:lang w:eastAsia="ru-RU"/>
              </w:rPr>
            </w:pPr>
          </w:p>
        </w:tc>
        <w:tc>
          <w:tcPr>
            <w:tcW w:w="221" w:type="pct"/>
          </w:tcPr>
          <w:p w:rsidR="00FD0F46" w:rsidRPr="008349B8" w:rsidRDefault="00FD0F46" w:rsidP="00906031">
            <w:pPr>
              <w:spacing w:after="0" w:line="240" w:lineRule="auto"/>
              <w:rPr>
                <w:rFonts w:ascii="Times New Roman" w:eastAsia="Times New Roman" w:hAnsi="Times New Roman" w:cs="Times New Roman"/>
                <w:b/>
                <w:bCs/>
                <w:color w:val="000000"/>
                <w:sz w:val="20"/>
                <w:szCs w:val="20"/>
                <w:lang w:eastAsia="ru-RU"/>
              </w:rPr>
            </w:pPr>
          </w:p>
        </w:tc>
        <w:tc>
          <w:tcPr>
            <w:tcW w:w="266" w:type="pct"/>
            <w:vAlign w:val="center"/>
            <w:hideMark/>
          </w:tcPr>
          <w:p w:rsidR="00FD0F46" w:rsidRPr="008349B8" w:rsidRDefault="00FD0F46" w:rsidP="00906031">
            <w:pPr>
              <w:spacing w:after="0" w:line="240" w:lineRule="auto"/>
              <w:rPr>
                <w:rFonts w:ascii="Times New Roman" w:eastAsia="Times New Roman" w:hAnsi="Times New Roman" w:cs="Times New Roman"/>
                <w:b/>
                <w:bCs/>
                <w:color w:val="000000"/>
                <w:sz w:val="20"/>
                <w:szCs w:val="20"/>
                <w:lang w:eastAsia="ru-RU"/>
              </w:rPr>
            </w:pPr>
          </w:p>
        </w:tc>
        <w:tc>
          <w:tcPr>
            <w:tcW w:w="266" w:type="pct"/>
            <w:vAlign w:val="center"/>
            <w:hideMark/>
          </w:tcPr>
          <w:p w:rsidR="00FD0F46" w:rsidRPr="008349B8" w:rsidRDefault="00FD0F46" w:rsidP="00906031">
            <w:pPr>
              <w:spacing w:after="0" w:line="240" w:lineRule="auto"/>
              <w:rPr>
                <w:rFonts w:ascii="Times New Roman" w:eastAsia="Times New Roman" w:hAnsi="Times New Roman" w:cs="Times New Roman"/>
                <w:b/>
                <w:bCs/>
                <w:color w:val="000000"/>
                <w:sz w:val="20"/>
                <w:szCs w:val="20"/>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50441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50441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50441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395" w:type="pc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restar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t xml:space="preserve"> </w:t>
            </w:r>
            <w:r w:rsidRPr="00195DDE">
              <w:rPr>
                <w:rFonts w:ascii="Times New Roman" w:eastAsia="Times New Roman" w:hAnsi="Times New Roman" w:cs="Times New Roman"/>
                <w:color w:val="000000"/>
                <w:sz w:val="18"/>
                <w:szCs w:val="18"/>
                <w:lang w:eastAsia="ru-RU"/>
              </w:rPr>
              <w:t>Жгут для взятия крови одноразовый</w:t>
            </w:r>
          </w:p>
        </w:tc>
        <w:tc>
          <w:tcPr>
            <w:tcW w:w="443" w:type="pct"/>
            <w:vMerge w:val="restar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32.50.50.190</w:t>
            </w: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Жгуты представляют собой одну непрерывную ленту с перфорационными отверстиями</w:t>
            </w:r>
            <w:r w:rsidRPr="00195DDE">
              <w:rPr>
                <w:rFonts w:ascii="Times New Roman" w:eastAsia="Times New Roman" w:hAnsi="Times New Roman" w:cs="Times New Roman"/>
                <w:color w:val="000000"/>
                <w:sz w:val="18"/>
                <w:szCs w:val="18"/>
                <w:lang w:eastAsia="ru-RU"/>
              </w:rPr>
              <w:br/>
              <w:t>для отрыва одного жгута, упакованную в картонную коробку, количество жгутов в коробке</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50</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шт</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532</w:t>
            </w:r>
          </w:p>
        </w:tc>
        <w:tc>
          <w:tcPr>
            <w:tcW w:w="182"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уп</w:t>
            </w:r>
          </w:p>
        </w:tc>
        <w:tc>
          <w:tcPr>
            <w:tcW w:w="260" w:type="pct"/>
            <w:vMerge w:val="restart"/>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val="restart"/>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Материал изготовления жгута</w:t>
            </w:r>
          </w:p>
        </w:tc>
        <w:tc>
          <w:tcPr>
            <w:tcW w:w="488"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Силиконовая резина</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Ширина жгута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20 и ≤ 25</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Длина жгута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400 и ≤ 430</w:t>
            </w:r>
          </w:p>
        </w:tc>
        <w:tc>
          <w:tcPr>
            <w:tcW w:w="576" w:type="pct"/>
            <w:tcBorders>
              <w:top w:val="single" w:sz="4" w:space="0" w:color="auto"/>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000000" w:fill="FFFFFF"/>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Безопасный резиновый клапан, препятствующий обратному току крови</w:t>
            </w:r>
          </w:p>
        </w:tc>
        <w:tc>
          <w:tcPr>
            <w:tcW w:w="488" w:type="pct"/>
            <w:tcBorders>
              <w:top w:val="nil"/>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nil"/>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000000" w:fill="FFFFFF"/>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restar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t xml:space="preserve"> </w:t>
            </w:r>
            <w:r w:rsidRPr="00195DDE">
              <w:rPr>
                <w:rFonts w:ascii="Times New Roman" w:eastAsia="Times New Roman" w:hAnsi="Times New Roman" w:cs="Times New Roman"/>
                <w:color w:val="000000"/>
                <w:sz w:val="18"/>
                <w:szCs w:val="18"/>
                <w:lang w:eastAsia="ru-RU"/>
              </w:rPr>
              <w:t>Набор для инвазивного мониторинга кровяного давления</w:t>
            </w:r>
          </w:p>
        </w:tc>
        <w:tc>
          <w:tcPr>
            <w:tcW w:w="443" w:type="pct"/>
            <w:vMerge w:val="restart"/>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32.50.50.190</w:t>
            </w: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Один одноразовый датчик давления с прозрачной линией давления</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c>
          <w:tcPr>
            <w:tcW w:w="182"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шт</w:t>
            </w:r>
          </w:p>
        </w:tc>
        <w:tc>
          <w:tcPr>
            <w:tcW w:w="260" w:type="pct"/>
            <w:vMerge w:val="restart"/>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221" w:type="pct"/>
            <w:vMerge w:val="restart"/>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c>
          <w:tcPr>
            <w:tcW w:w="266" w:type="pct"/>
            <w:vMerge w:val="restart"/>
            <w:vAlign w:val="cente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xml:space="preserve">Для измерения венозного давления, артериального давления и давления в легочной артерии. </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Длина линии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140 и ≤ 160</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см</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 линии со стороны пациента фиксирован инфузионный краник с тактильным ощущением щелчка при переключении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 линии расположен датчик в прозрачном корпусе для сбора и передачи информации в монитор пациента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Пластичное, цветное устройство с контрастным язычком для удаления пузырьков воздуха, расположенное на корпусе датчика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Ребристая цветная заглушка на стопорном кранике, интегрированном в корпус датчика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Встроенный в линию элиминатор резонансного выброса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Максимальная скорость промывки, мл/мин</w:t>
            </w:r>
          </w:p>
        </w:tc>
        <w:tc>
          <w:tcPr>
            <w:tcW w:w="488"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48</w:t>
            </w:r>
          </w:p>
        </w:tc>
        <w:tc>
          <w:tcPr>
            <w:tcW w:w="576"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Скорость подачи физиологического раствора, мл/час</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3</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xml:space="preserve">Капельная камера </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Прозрачная</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Изогнутая металлическая канюля капельной камеры</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Соединение Луер-Лок со стороны пациента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Разъем с направляющими стрелками со стороны монитора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Дополнительные заглушки</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Совместимость с кабелем MeritMedical, имеющимся у Заказчика</w:t>
            </w:r>
          </w:p>
        </w:tc>
        <w:tc>
          <w:tcPr>
            <w:tcW w:w="488"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Соответствие</w:t>
            </w:r>
          </w:p>
        </w:tc>
        <w:tc>
          <w:tcPr>
            <w:tcW w:w="576"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Количество в упаковке</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≤100</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Указывают в заявке конкретное значение характеристики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Наличие капилляра</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Нет</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 </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r w:rsidR="00FD0F46" w:rsidRPr="00FC23A6" w:rsidTr="00906031">
        <w:tc>
          <w:tcPr>
            <w:tcW w:w="530"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443"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619" w:type="pct"/>
            <w:tcBorders>
              <w:top w:val="nil"/>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FD0F46" w:rsidRPr="0020511C" w:rsidRDefault="00FD0F46" w:rsidP="00906031">
            <w:pPr>
              <w:spacing w:after="0" w:line="240" w:lineRule="auto"/>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Объем</w:t>
            </w:r>
          </w:p>
        </w:tc>
        <w:tc>
          <w:tcPr>
            <w:tcW w:w="488"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0.5</w:t>
            </w:r>
          </w:p>
        </w:tc>
        <w:tc>
          <w:tcPr>
            <w:tcW w:w="576"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Кубический сантиметр;^миллилитр</w:t>
            </w:r>
          </w:p>
        </w:tc>
        <w:tc>
          <w:tcPr>
            <w:tcW w:w="754" w:type="pct"/>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FD0F46" w:rsidRPr="00FC23A6" w:rsidRDefault="00FD0F46" w:rsidP="00906031">
            <w:pPr>
              <w:spacing w:after="0" w:line="240" w:lineRule="auto"/>
              <w:jc w:val="center"/>
              <w:rPr>
                <w:rFonts w:ascii="Times New Roman" w:eastAsia="Times New Roman" w:hAnsi="Times New Roman" w:cs="Times New Roman"/>
                <w:color w:val="000000"/>
                <w:sz w:val="18"/>
                <w:szCs w:val="18"/>
                <w:lang w:eastAsia="ru-RU"/>
              </w:rPr>
            </w:pPr>
            <w:r w:rsidRPr="00195DDE">
              <w:rPr>
                <w:rFonts w:ascii="Times New Roman" w:eastAsia="Times New Roman" w:hAnsi="Times New Roman" w:cs="Times New Roman"/>
                <w:color w:val="000000"/>
                <w:sz w:val="18"/>
                <w:szCs w:val="18"/>
                <w:lang w:eastAsia="ru-RU"/>
              </w:rPr>
              <w:t>Значение характеристики не может изменяться участником закупки</w:t>
            </w:r>
          </w:p>
        </w:tc>
        <w:tc>
          <w:tcPr>
            <w:tcW w:w="395"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182"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0"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21" w:type="pct"/>
            <w:vMerge/>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c>
          <w:tcPr>
            <w:tcW w:w="266" w:type="pct"/>
            <w:vMerge/>
            <w:vAlign w:val="center"/>
          </w:tcPr>
          <w:p w:rsidR="00FD0F46" w:rsidRPr="00FC23A6" w:rsidRDefault="00FD0F46" w:rsidP="00906031">
            <w:pPr>
              <w:spacing w:after="0" w:line="240" w:lineRule="auto"/>
              <w:rPr>
                <w:rFonts w:ascii="Times New Roman" w:eastAsia="Times New Roman" w:hAnsi="Times New Roman" w:cs="Times New Roman"/>
                <w:color w:val="000000"/>
                <w:sz w:val="18"/>
                <w:szCs w:val="18"/>
                <w:lang w:eastAsia="ru-RU"/>
              </w:rPr>
            </w:pPr>
          </w:p>
        </w:tc>
      </w:tr>
    </w:tbl>
    <w:p w:rsidR="00170252" w:rsidRDefault="00170252" w:rsidP="00FD0F46">
      <w:pPr>
        <w:autoSpaceDE w:val="0"/>
        <w:autoSpaceDN w:val="0"/>
        <w:adjustRightInd w:val="0"/>
        <w:rPr>
          <w:rFonts w:ascii="Times New Roman" w:hAnsi="Times New Roman" w:cs="Times New Roman"/>
          <w:b/>
          <w:sz w:val="28"/>
          <w:szCs w:val="28"/>
        </w:rPr>
      </w:pPr>
    </w:p>
    <w:sectPr w:rsidR="00170252" w:rsidSect="00FD0F46">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82" w:rsidRDefault="00314C82">
      <w:pPr>
        <w:spacing w:after="0" w:line="240" w:lineRule="auto"/>
      </w:pPr>
      <w:r>
        <w:separator/>
      </w:r>
    </w:p>
  </w:endnote>
  <w:endnote w:type="continuationSeparator" w:id="0">
    <w:p w:rsidR="00314C82" w:rsidRDefault="0031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E" w:rsidRDefault="00B13D2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13D2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13D2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13D2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13D2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13D2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2069F">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82" w:rsidRDefault="00314C82">
      <w:pPr>
        <w:spacing w:after="0" w:line="240" w:lineRule="auto"/>
      </w:pPr>
      <w:r>
        <w:separator/>
      </w:r>
    </w:p>
  </w:footnote>
  <w:footnote w:type="continuationSeparator" w:id="0">
    <w:p w:rsidR="00314C82" w:rsidRDefault="00314C8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E" w:rsidRDefault="00B13D2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E" w:rsidRDefault="00B13D2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13D2E" w:rsidRDefault="00B13D2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4C82"/>
    <w:rsid w:val="00317DBA"/>
    <w:rsid w:val="00322D0D"/>
    <w:rsid w:val="00324FCD"/>
    <w:rsid w:val="00341AFA"/>
    <w:rsid w:val="00343ED9"/>
    <w:rsid w:val="00344402"/>
    <w:rsid w:val="00347F84"/>
    <w:rsid w:val="00361CB0"/>
    <w:rsid w:val="00367146"/>
    <w:rsid w:val="003671D1"/>
    <w:rsid w:val="0037099D"/>
    <w:rsid w:val="003747A7"/>
    <w:rsid w:val="00381F8E"/>
    <w:rsid w:val="0038249D"/>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10B2"/>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13D2E"/>
    <w:rsid w:val="00B23D79"/>
    <w:rsid w:val="00B24019"/>
    <w:rsid w:val="00B32574"/>
    <w:rsid w:val="00B33706"/>
    <w:rsid w:val="00B35BFC"/>
    <w:rsid w:val="00B61169"/>
    <w:rsid w:val="00B664DC"/>
    <w:rsid w:val="00B666D7"/>
    <w:rsid w:val="00B66D35"/>
    <w:rsid w:val="00B67E6D"/>
    <w:rsid w:val="00B77DAE"/>
    <w:rsid w:val="00B8743B"/>
    <w:rsid w:val="00B94D2E"/>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069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D0F46"/>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EAFB2C-3A34-46F4-9FF8-31E45620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440D-2EC8-4B72-97CD-F984688E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2025-03-21T14:20:00Z</dcterms:created>
  <dcterms:modified xsi:type="dcterms:W3CDTF">2025-03-21T14:20:00Z</dcterms:modified>
</cp:coreProperties>
</file>