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05-07/530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F203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 </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23.09.2025. Максимальное количество партий – 20 (двадцать).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485"/>
        <w:gridCol w:w="1657"/>
        <w:gridCol w:w="1265"/>
        <w:gridCol w:w="1636"/>
        <w:gridCol w:w="1869"/>
        <w:gridCol w:w="575"/>
        <w:gridCol w:w="1491"/>
        <w:gridCol w:w="2239"/>
        <w:gridCol w:w="525"/>
        <w:gridCol w:w="587"/>
        <w:gridCol w:w="1473"/>
        <w:gridCol w:w="770"/>
        <w:gridCol w:w="620"/>
        <w:gridCol w:w="757"/>
      </w:tblGrid>
      <w:tr w:rsidR="0029140B" w:rsidRPr="0029140B" w:rsidTr="00117E75">
        <w:trPr>
          <w:trHeight w:val="402"/>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 п/п</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Наименование товара</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КТРУ</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Наименование характеристики</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Значение характеристики</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Ед. изм.</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Инструкция по заполнению характеристик</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Обоснование дополнительных характеристик</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ед.</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кол-во.</w:t>
            </w:r>
          </w:p>
        </w:tc>
        <w:tc>
          <w:tcPr>
            <w:tcW w:w="462" w:type="pct"/>
            <w:tcBorders>
              <w:top w:val="single" w:sz="4" w:space="0" w:color="auto"/>
              <w:left w:val="nil"/>
              <w:bottom w:val="single" w:sz="4" w:space="0" w:color="auto"/>
              <w:right w:val="single" w:sz="4" w:space="0" w:color="auto"/>
            </w:tcBorders>
            <w:shd w:val="clear" w:color="auto" w:fill="auto"/>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Страна происхождения Товара</w:t>
            </w:r>
          </w:p>
        </w:tc>
        <w:tc>
          <w:tcPr>
            <w:tcW w:w="241" w:type="pct"/>
            <w:tcBorders>
              <w:top w:val="single" w:sz="4" w:space="0" w:color="auto"/>
              <w:left w:val="nil"/>
              <w:bottom w:val="single" w:sz="4" w:space="0" w:color="auto"/>
              <w:right w:val="single" w:sz="4" w:space="0" w:color="auto"/>
            </w:tcBorders>
            <w:shd w:val="clear" w:color="auto" w:fill="auto"/>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Ставка НДС%</w:t>
            </w:r>
          </w:p>
        </w:tc>
        <w:tc>
          <w:tcPr>
            <w:tcW w:w="194" w:type="pct"/>
            <w:tcBorders>
              <w:top w:val="single" w:sz="4" w:space="0" w:color="auto"/>
              <w:left w:val="nil"/>
              <w:bottom w:val="single" w:sz="4" w:space="0" w:color="auto"/>
              <w:right w:val="single" w:sz="4" w:space="0" w:color="auto"/>
            </w:tcBorders>
            <w:shd w:val="clear" w:color="auto" w:fill="auto"/>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Цена за ед. без НДС</w:t>
            </w:r>
          </w:p>
        </w:tc>
        <w:tc>
          <w:tcPr>
            <w:tcW w:w="237" w:type="pct"/>
            <w:tcBorders>
              <w:top w:val="single" w:sz="4" w:space="0" w:color="auto"/>
              <w:left w:val="nil"/>
              <w:bottom w:val="single" w:sz="4" w:space="0" w:color="auto"/>
              <w:right w:val="single" w:sz="4" w:space="0" w:color="auto"/>
            </w:tcBorders>
            <w:shd w:val="clear" w:color="auto" w:fill="auto"/>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Сумма без НДС</w:t>
            </w: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1</w:t>
            </w:r>
          </w:p>
        </w:tc>
        <w:tc>
          <w:tcPr>
            <w:tcW w:w="519"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117E75">
            <w:pPr>
              <w:spacing w:after="0" w:line="240" w:lineRule="auto"/>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color w:val="000000"/>
                <w:sz w:val="20"/>
                <w:szCs w:val="20"/>
                <w:lang w:eastAsia="ru-RU"/>
              </w:rPr>
              <w:t> </w:t>
            </w:r>
          </w:p>
        </w:tc>
        <w:tc>
          <w:tcPr>
            <w:tcW w:w="165"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360</w:t>
            </w:r>
          </w:p>
        </w:tc>
        <w:tc>
          <w:tcPr>
            <w:tcW w:w="462"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Область применения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Лапароскопический, не предназначен для торакальных операций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Оптический с билатеральными сепараторами и прозрачным кончиком</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Обеспечивает атравматичное проникновение в брюшную полость посредством раздвижения тканей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Канал для введения лапароскопа в обтураторе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Позволяет визуализировать ткани в процессе входа в брюшную полость</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на обтураторе для рассоединения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Служат активатором фиксации/рассоединения канюли с обтуратором,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Диаметр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≤100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Длина, позволяющая проводить операции у пациентов с нормальной толщиной брюшной стенки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Совместимость с инструментарием диаметром в диапазоне от минимального до максимального значения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возможности использования инструментов диаметром в полном обозначенном диапазоне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Минимальный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Максимальный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Канюля разборная, состоит из трех разъемных частей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Размерная цветовая кодировка обтуратора и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Обеспечивает удобство идентификации устройства оператором</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для рассоединения переходника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Служат активатором фиксации/рассоединения клапана с гильзой канюли,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Поверхность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нанесенной круговой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фиксации канюли в брюшной стенке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Отверстия в латеральных подпальцевых упорах на канюле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возможности подшивания канюли к коже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Оригинальная заводская индивидуальная маркировка медицинского изделия и маркировка групповой упаковки выполнены на русском языке и содержат</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Наименование производителя медицинского изделия и/или наименование товарного знака, номер партии, дату изготовления, срок годности, номер и дату регистрационного удостоверения на медицинское изделие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Во избежание поставки незарегистрированного и/или контрафактного медицинского изделия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2</w:t>
            </w:r>
          </w:p>
        </w:tc>
        <w:tc>
          <w:tcPr>
            <w:tcW w:w="519"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117E75">
            <w:pPr>
              <w:spacing w:after="0" w:line="240" w:lineRule="auto"/>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color w:val="000000"/>
                <w:sz w:val="20"/>
                <w:szCs w:val="20"/>
                <w:lang w:eastAsia="ru-RU"/>
              </w:rPr>
              <w:t> </w:t>
            </w:r>
          </w:p>
        </w:tc>
        <w:tc>
          <w:tcPr>
            <w:tcW w:w="165"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72</w:t>
            </w:r>
          </w:p>
        </w:tc>
        <w:tc>
          <w:tcPr>
            <w:tcW w:w="462"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Область применения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Лапароскопический, не предназначен для торакальных операций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плоским стальным лезвием</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xml:space="preserve">Для формирования доступа путем рассечения волокон ткани </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Система блокировки лезвия, активируемая нажатием кнопки на обтураторе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Система блокировки закрывает лезвие пластиковым кожухом при проникновении и предотвращает поражение внутренних органов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на обтураторе для рассоединения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Служат активатором фиксации/рассоединения канюли с обтуратором,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Диаметр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≥150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Длина, позволяющая проводить операции у пациентов с нормальной толщиной брюшной стенки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Совместимость с инструментарием диаметром в диапазоне от минимального до максимального значения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возможности использования инструментов диаметром в полном обозначенном диапазоне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Минимальный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Максимальный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Канюля разборная, состоит из трех разъемных частей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Размерная цветовая кодировка обтуратора и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Обеспечивает удобство идентификации устройства оператором</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для рассоединения переходника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Служат активатором фиксации/рассоединения клапана с гильзой канюли,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Поверхность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нанесенной круговой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фиксации канюли в брюшной стенке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Отверстия в латеральных подпальцевых упорах на канюле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возможности подшивания канюли к коже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Оригинальная заводская индивидуальная маркировка медицинского изделия и маркировка групповой упаковки выполнены на русском языке и содержат</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Наименование производителя медицинского изделия и/или наименование товарного знака, номер партии, дату изготовления, срок годности, номер и дату регистрационного удостоверения на медицинское изделие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Во избежание поставки незарегистрированного и/или контрафактного медицинского изделия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w:t>
            </w:r>
          </w:p>
        </w:tc>
        <w:tc>
          <w:tcPr>
            <w:tcW w:w="519"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117E75">
            <w:pPr>
              <w:spacing w:after="0" w:line="240" w:lineRule="auto"/>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color w:val="000000"/>
                <w:sz w:val="20"/>
                <w:szCs w:val="20"/>
                <w:lang w:eastAsia="ru-RU"/>
              </w:rPr>
              <w:t> </w:t>
            </w:r>
          </w:p>
        </w:tc>
        <w:tc>
          <w:tcPr>
            <w:tcW w:w="165"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30</w:t>
            </w:r>
          </w:p>
        </w:tc>
        <w:tc>
          <w:tcPr>
            <w:tcW w:w="462"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Область применения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Лапароскопический, предназначен для малоинвазивных оперативных вмешательств</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Оптический с билатеральными сепараторами и прозрачным кончиком</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Обеспечивает атравматичное проникновение в брюшную полость посредством раздвижения тканей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Канал для введения лапароскопа в обтураторе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Позволяет визуализировать ткани в процессе входа в брюшную полость</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на обтураторе для рассоединения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Служат активатором фиксации/рассоединения канюли с обтуратором,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Диаметр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≥7 и ≤8</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≤100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Длина, позволяющая проводить операции у пациентов с нормальной толщиной брюшной стенки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Минимальный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Канюля разборная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Цветовая кодировка обтуратора и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Обеспечивает удобство идентификации устройства оператором</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Поверхность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нанесенной круговой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фиксации канюли в брюшной стенке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Отверстия в латеральных подпальцевых упорах на канюле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возможности подшивания канюли к коже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Оригинальная заводская индивидуальная маркировка медицинского изделия и маркировка групповой упаковки выполнены на русском языке и содержат</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Наименование производителя медицинского изделия и/или наименование товарного знака, номер партии, дату изготовления, срок годности, номер и дату регистрационного удостоверения на медицинское изделие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Во избежание поставки незарегистрированного и/или контрафактного медицинского изделия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4</w:t>
            </w:r>
          </w:p>
        </w:tc>
        <w:tc>
          <w:tcPr>
            <w:tcW w:w="519"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117E75">
            <w:pPr>
              <w:spacing w:after="0" w:line="240" w:lineRule="auto"/>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color w:val="000000"/>
                <w:sz w:val="20"/>
                <w:szCs w:val="20"/>
                <w:lang w:eastAsia="ru-RU"/>
              </w:rPr>
              <w:t> </w:t>
            </w:r>
          </w:p>
        </w:tc>
        <w:tc>
          <w:tcPr>
            <w:tcW w:w="165"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150</w:t>
            </w:r>
          </w:p>
        </w:tc>
        <w:tc>
          <w:tcPr>
            <w:tcW w:w="462"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Область применения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Лапароскопический, не предназначен для торакальных операций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Оптический с билатеральными сепараторами и прозрачным кончиком</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Обеспечивает атравматичное проникновение в брюшную полость посредством раздвижения тканей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Канал для введения лапароскопа в обтураторе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Позволяет визуализировать ткани в процессе входа в брюшную полость</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на обтураторе для рассоединения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Служат активатором фиксации/рассоединения канюли с обтуратором,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Диаметр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≤100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Длина, позволяющая проводить операции у пациентов с нормальной толщиной брюшной стенки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Совместимость с инструментарием диаметром в диапазоне от минимального до максимального значения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возможности использования инструментов диаметром в полном обозначенном диапазоне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Минимальный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Максимальный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Канюля разборная, состоит из трех разъемных частей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Размерная цветовая кодировка обтуратора и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Обеспечивает удобство идентификации устройства оператором</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для рассоединения переходника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Служат активатором фиксации/рассоединения клапана с гильзой канюли,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Поверхность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нанесенной круговой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фиксации канюли в брюшной стенке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Отверстия в латеральных подпальцевых упорах на канюле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возможности подшивания канюли к коже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Оригинальная заводская индивидуальная маркировка медицинского изделия и маркировка групповой упаковки выполнены на русском языке и содержат</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Наименование производителя медицинского изделия и/или наименование товарного знака, номер партии, дату изготовления, срок годности, номер и дату регистрационного удостоверения на медицинское изделие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Во избежание поставки незарегистрированного и/или контрафактного медицинского изделия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5</w:t>
            </w:r>
          </w:p>
        </w:tc>
        <w:tc>
          <w:tcPr>
            <w:tcW w:w="519"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29140B">
            <w:pPr>
              <w:spacing w:after="0" w:line="240" w:lineRule="auto"/>
              <w:rPr>
                <w:rFonts w:ascii="Times New Roman" w:eastAsia="Times New Roman" w:hAnsi="Times New Roman" w:cs="Times New Roman"/>
                <w:b/>
                <w:bCs/>
                <w:color w:val="000000"/>
                <w:sz w:val="20"/>
                <w:szCs w:val="20"/>
                <w:lang w:eastAsia="ru-RU"/>
              </w:rPr>
            </w:pPr>
            <w:r w:rsidRPr="0029140B">
              <w:rPr>
                <w:rFonts w:ascii="Times New Roman" w:eastAsia="Times New Roman" w:hAnsi="Times New Roman" w:cs="Times New Roman"/>
                <w:b/>
                <w:bCs/>
                <w:color w:val="000000"/>
                <w:sz w:val="20"/>
                <w:szCs w:val="20"/>
                <w:lang w:eastAsia="ru-RU"/>
              </w:rPr>
              <w:t> </w:t>
            </w:r>
          </w:p>
          <w:p w:rsidR="00117E75" w:rsidRPr="0029140B" w:rsidRDefault="00117E75" w:rsidP="0029140B">
            <w:pPr>
              <w:spacing w:after="0" w:line="240" w:lineRule="auto"/>
              <w:rPr>
                <w:rFonts w:ascii="Times New Roman" w:eastAsia="Times New Roman" w:hAnsi="Times New Roman" w:cs="Times New Roman"/>
                <w:b/>
                <w:bCs/>
                <w:sz w:val="20"/>
                <w:szCs w:val="20"/>
                <w:lang w:eastAsia="ru-RU"/>
              </w:rPr>
            </w:pPr>
          </w:p>
        </w:tc>
        <w:tc>
          <w:tcPr>
            <w:tcW w:w="165"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20</w:t>
            </w:r>
          </w:p>
        </w:tc>
        <w:tc>
          <w:tcPr>
            <w:tcW w:w="462"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Область применения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Лапароскопический, не предназначен для торакальных операций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Безлезвийный с билатеральными сепараторами</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Обеспечивает атравматичное проникновение в брюшную полость посредством раздвижения тканей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на обтураторе для рассоединения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Служат активатором фиксации/рассоединения канюли с обтуратором,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Диаметр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≤100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Длина, позволяющая проводить операции у пациентов с нормальной толщиной брюшной стенки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Совместимость с инструментарием диаметром в диапазоне от минимального до максимального значения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возможности использования инструментов диаметром в полном обозначенном диапазоне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Минимальный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Максимальный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Канюля разборная, состоит из трех разъемных частей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Размерная цветовая кодировка обтуратора и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Обеспечивает удобство идентификации устройства оператором</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для рассоединения переходника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Служат активатором фиксации/рассоединения клапана с гильзой канюли,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Поверхность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нанесенной круговой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фиксации канюли в брюшной стенке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Отверстия в латеральных подпальцевых упорах на канюле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возможности подшивания канюли к коже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Оригинальная заводская индивидуальная маркировка медицинского изделия и маркировка групповой упаковки выполнены на русском языке и содержат</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Наименование производителя медицинского изделия и/или наименование товарного знака, номер партии, дату изготовления, срок годности, номер и дату регистрационного удостоверения на медицинское изделие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Во избежание поставки незарегистрированного и/или контрафактного медицинского изделия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6</w:t>
            </w:r>
          </w:p>
        </w:tc>
        <w:tc>
          <w:tcPr>
            <w:tcW w:w="519"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117E75">
            <w:pPr>
              <w:spacing w:after="0" w:line="240" w:lineRule="auto"/>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color w:val="000000"/>
                <w:sz w:val="20"/>
                <w:szCs w:val="20"/>
                <w:lang w:eastAsia="ru-RU"/>
              </w:rPr>
              <w:t> </w:t>
            </w:r>
          </w:p>
        </w:tc>
        <w:tc>
          <w:tcPr>
            <w:tcW w:w="165"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36</w:t>
            </w:r>
          </w:p>
        </w:tc>
        <w:tc>
          <w:tcPr>
            <w:tcW w:w="462"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Область применения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Лапароскопический, не предназначен для торакальных операций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Безлезвийный с билатеральными сепараторами</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Обеспечивает атравматичное проникновение в брюшную полость посредством раздвижения тканей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на обтураторе для рассоединения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Наличие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Служат активатором фиксации/рассоединения канюли с обтуратором,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Диаметр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≥150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Длина, позволяющая проводить операции у пациентов с нормальной толщиной брюшной стенки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Совместимость с инструментарием диаметром в диапазоне от минимального до максимального значения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возможности использования инструментов диаметром в полном обозначенном диапазоне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Минимальный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Максимальный диаметр совместимого инструмента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≥12</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Канюля разборная, состоит из трех разъемных частей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Размерная цветовая кодировка обтуратора и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Обеспечивает удобство идентификации устройства оператором</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Две боковые кнопки для рассоединения переходника с канюлей</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Служат активатором фиксации/рассоединения клапана с гильзой канюли, обеспечивают возможность проведения данной манипуляции одной рукой</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Поверхность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 нанесенной круговой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фиксации канюли в брюшной стенке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Отверстия в латеральных подпальцевых упорах на канюле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Соответствие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возможности подшивания канюли к коже</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Оригинальная заводская индивидуальная маркировка медицинского изделия и маркировка групповой упаковки выполнены на русском языке и содержат</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Наименование производителя медицинского изделия и/или наименование товарного знака, номер партии, дату изготовления, срок годности, номер и дату регистрационного удостоверения на медицинское изделие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Во избежание поставки незарегистрированного и/или контрафактного медицинского изделия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r>
      <w:tr w:rsidR="00117E75" w:rsidRPr="0029140B" w:rsidTr="00117E75">
        <w:trPr>
          <w:trHeight w:val="1216"/>
        </w:trPr>
        <w:tc>
          <w:tcPr>
            <w:tcW w:w="152" w:type="pct"/>
            <w:vMerge w:val="restart"/>
            <w:tcBorders>
              <w:top w:val="nil"/>
              <w:left w:val="single" w:sz="4" w:space="0" w:color="auto"/>
              <w:bottom w:val="single" w:sz="4" w:space="0" w:color="auto"/>
              <w:right w:val="single" w:sz="4" w:space="0" w:color="auto"/>
            </w:tcBorders>
            <w:shd w:val="clear" w:color="auto" w:fill="auto"/>
            <w:hideMark/>
          </w:tcPr>
          <w:p w:rsidR="00117E75" w:rsidRPr="0029140B" w:rsidRDefault="00117E75" w:rsidP="0029140B">
            <w:pPr>
              <w:spacing w:after="0" w:line="240" w:lineRule="auto"/>
              <w:jc w:val="center"/>
              <w:rPr>
                <w:rFonts w:ascii="Times New Roman" w:eastAsia="Times New Roman" w:hAnsi="Times New Roman" w:cs="Times New Roman"/>
                <w:b/>
                <w:bCs/>
                <w:sz w:val="20"/>
                <w:szCs w:val="20"/>
                <w:lang w:eastAsia="ru-RU"/>
              </w:rPr>
            </w:pPr>
            <w:r w:rsidRPr="0029140B">
              <w:rPr>
                <w:rFonts w:ascii="Times New Roman" w:eastAsia="Times New Roman" w:hAnsi="Times New Roman" w:cs="Times New Roman"/>
                <w:b/>
                <w:bCs/>
                <w:sz w:val="20"/>
                <w:szCs w:val="20"/>
                <w:lang w:eastAsia="ru-RU"/>
              </w:rPr>
              <w:t>7</w:t>
            </w:r>
          </w:p>
        </w:tc>
        <w:tc>
          <w:tcPr>
            <w:tcW w:w="519" w:type="pct"/>
            <w:vMerge w:val="restart"/>
            <w:tcBorders>
              <w:top w:val="nil"/>
              <w:left w:val="single" w:sz="4" w:space="0" w:color="auto"/>
              <w:bottom w:val="single" w:sz="4" w:space="0" w:color="auto"/>
              <w:right w:val="single" w:sz="4" w:space="0" w:color="auto"/>
            </w:tcBorders>
            <w:shd w:val="clear" w:color="000000"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эндоскопический, одноразового использования</w:t>
            </w:r>
            <w:r w:rsidRPr="0029140B">
              <w:rPr>
                <w:rFonts w:ascii="Times New Roman" w:eastAsia="Times New Roman" w:hAnsi="Times New Roman" w:cs="Times New Roman"/>
                <w:sz w:val="20"/>
                <w:szCs w:val="20"/>
                <w:lang w:eastAsia="ru-RU"/>
              </w:rPr>
              <w:br/>
            </w:r>
            <w:r w:rsidRPr="0029140B">
              <w:rPr>
                <w:rFonts w:ascii="Times New Roman" w:eastAsia="Times New Roman" w:hAnsi="Times New Roman" w:cs="Times New Roman"/>
                <w:sz w:val="20"/>
                <w:szCs w:val="20"/>
                <w:lang w:eastAsia="ru-RU"/>
              </w:rPr>
              <w:br/>
            </w:r>
          </w:p>
        </w:tc>
        <w:tc>
          <w:tcPr>
            <w:tcW w:w="397" w:type="pct"/>
            <w:vMerge w:val="restart"/>
            <w:tcBorders>
              <w:top w:val="nil"/>
              <w:left w:val="single" w:sz="4" w:space="0" w:color="auto"/>
              <w:bottom w:val="single" w:sz="4" w:space="0" w:color="auto"/>
              <w:right w:val="single" w:sz="4" w:space="0" w:color="auto"/>
            </w:tcBorders>
            <w:shd w:val="clear" w:color="000000" w:fill="auto"/>
            <w:hideMark/>
          </w:tcPr>
          <w:p w:rsidR="00117E75" w:rsidRPr="0029140B" w:rsidRDefault="00117E75"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32.50.13.190-00007604*</w:t>
            </w:r>
          </w:p>
        </w:tc>
        <w:tc>
          <w:tcPr>
            <w:tcW w:w="2448" w:type="pct"/>
            <w:gridSpan w:val="5"/>
            <w:tcBorders>
              <w:top w:val="nil"/>
              <w:left w:val="nil"/>
              <w:right w:val="single" w:sz="4" w:space="0" w:color="auto"/>
            </w:tcBorders>
            <w:shd w:val="clear" w:color="auto" w:fill="auto"/>
            <w:vAlign w:val="center"/>
            <w:hideMark/>
          </w:tcPr>
          <w:p w:rsidR="00117E75" w:rsidRPr="0029140B" w:rsidRDefault="00117E75" w:rsidP="00117E75">
            <w:pPr>
              <w:spacing w:after="0" w:line="240" w:lineRule="auto"/>
              <w:rPr>
                <w:rFonts w:ascii="Calibri" w:eastAsia="Times New Roman" w:hAnsi="Calibri" w:cs="Times New Roman"/>
                <w:color w:val="000000"/>
                <w:sz w:val="24"/>
                <w:szCs w:val="24"/>
                <w:lang w:eastAsia="ru-RU"/>
              </w:rPr>
            </w:pPr>
            <w:r w:rsidRPr="0029140B">
              <w:rPr>
                <w:rFonts w:ascii="Times New Roman" w:eastAsia="Times New Roman" w:hAnsi="Times New Roman" w:cs="Times New Roman"/>
                <w:b/>
                <w:bCs/>
                <w:sz w:val="20"/>
                <w:szCs w:val="20"/>
                <w:lang w:eastAsia="ru-RU"/>
              </w:rPr>
              <w:t> </w:t>
            </w:r>
          </w:p>
        </w:tc>
        <w:tc>
          <w:tcPr>
            <w:tcW w:w="165" w:type="pct"/>
            <w:vMerge w:val="restart"/>
            <w:tcBorders>
              <w:top w:val="nil"/>
              <w:left w:val="single" w:sz="4" w:space="0" w:color="auto"/>
              <w:bottom w:val="single" w:sz="4" w:space="0" w:color="000000"/>
              <w:right w:val="single" w:sz="4" w:space="0" w:color="auto"/>
            </w:tcBorders>
            <w:shd w:val="clear" w:color="auto" w:fill="auto"/>
            <w:noWrap/>
            <w:hideMark/>
          </w:tcPr>
          <w:p w:rsidR="00117E75" w:rsidRPr="0029140B" w:rsidRDefault="00117E75" w:rsidP="0029140B">
            <w:pPr>
              <w:spacing w:after="0" w:line="240" w:lineRule="auto"/>
              <w:jc w:val="center"/>
              <w:rPr>
                <w:rFonts w:ascii="Calibri" w:eastAsia="Times New Roman" w:hAnsi="Calibri" w:cs="Times New Roman"/>
                <w:color w:val="000000"/>
                <w:sz w:val="24"/>
                <w:szCs w:val="24"/>
                <w:lang w:eastAsia="ru-RU"/>
              </w:rPr>
            </w:pPr>
            <w:r w:rsidRPr="0029140B">
              <w:rPr>
                <w:rFonts w:ascii="Calibri" w:eastAsia="Times New Roman" w:hAnsi="Calibri" w:cs="Times New Roman"/>
                <w:color w:val="000000"/>
                <w:sz w:val="24"/>
                <w:szCs w:val="24"/>
                <w:lang w:eastAsia="ru-RU"/>
              </w:rPr>
              <w:t>шт.</w:t>
            </w:r>
          </w:p>
        </w:tc>
        <w:tc>
          <w:tcPr>
            <w:tcW w:w="184" w:type="pct"/>
            <w:vMerge w:val="restart"/>
            <w:tcBorders>
              <w:top w:val="nil"/>
              <w:left w:val="single" w:sz="4" w:space="0" w:color="auto"/>
              <w:bottom w:val="single" w:sz="4" w:space="0" w:color="000000"/>
              <w:right w:val="single" w:sz="4" w:space="0" w:color="auto"/>
            </w:tcBorders>
            <w:shd w:val="clear" w:color="auto" w:fill="auto"/>
            <w:noWrap/>
            <w:hideMark/>
          </w:tcPr>
          <w:p w:rsidR="00117E75" w:rsidRPr="0029140B" w:rsidRDefault="00117E75" w:rsidP="0029140B">
            <w:pPr>
              <w:spacing w:after="0" w:line="240" w:lineRule="auto"/>
              <w:jc w:val="center"/>
              <w:rPr>
                <w:rFonts w:ascii="Calibri" w:eastAsia="Times New Roman" w:hAnsi="Calibri" w:cs="Times New Roman"/>
                <w:color w:val="000000"/>
                <w:sz w:val="24"/>
                <w:szCs w:val="24"/>
                <w:lang w:eastAsia="ru-RU"/>
              </w:rPr>
            </w:pPr>
            <w:r w:rsidRPr="0029140B">
              <w:rPr>
                <w:rFonts w:ascii="Calibri" w:eastAsia="Times New Roman" w:hAnsi="Calibri" w:cs="Times New Roman"/>
                <w:color w:val="000000"/>
                <w:sz w:val="24"/>
                <w:szCs w:val="24"/>
                <w:lang w:eastAsia="ru-RU"/>
              </w:rPr>
              <w:t>250</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117E75" w:rsidRPr="0029140B" w:rsidRDefault="00117E75" w:rsidP="0029140B">
            <w:pPr>
              <w:spacing w:after="0" w:line="240" w:lineRule="auto"/>
              <w:jc w:val="center"/>
              <w:rPr>
                <w:rFonts w:ascii="Calibri" w:eastAsia="Times New Roman" w:hAnsi="Calibri" w:cs="Times New Roman"/>
                <w:color w:val="000000"/>
                <w:sz w:val="24"/>
                <w:szCs w:val="24"/>
                <w:lang w:eastAsia="ru-RU"/>
              </w:rPr>
            </w:pPr>
            <w:r w:rsidRPr="0029140B">
              <w:rPr>
                <w:rFonts w:ascii="Calibri" w:eastAsia="Times New Roman" w:hAnsi="Calibri" w:cs="Times New Roman"/>
                <w:color w:val="000000"/>
                <w:sz w:val="24"/>
                <w:szCs w:val="24"/>
                <w:lang w:eastAsia="ru-RU"/>
              </w:rPr>
              <w:t> </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117E75" w:rsidRPr="0029140B" w:rsidRDefault="00117E75" w:rsidP="0029140B">
            <w:pPr>
              <w:spacing w:after="0" w:line="240" w:lineRule="auto"/>
              <w:jc w:val="center"/>
              <w:rPr>
                <w:rFonts w:ascii="Calibri" w:eastAsia="Times New Roman" w:hAnsi="Calibri" w:cs="Times New Roman"/>
                <w:color w:val="000000"/>
                <w:sz w:val="24"/>
                <w:szCs w:val="24"/>
                <w:lang w:eastAsia="ru-RU"/>
              </w:rPr>
            </w:pPr>
            <w:r w:rsidRPr="0029140B">
              <w:rPr>
                <w:rFonts w:ascii="Calibri" w:eastAsia="Times New Roman" w:hAnsi="Calibri" w:cs="Times New Roman"/>
                <w:color w:val="000000"/>
                <w:sz w:val="24"/>
                <w:szCs w:val="24"/>
                <w:lang w:eastAsia="ru-RU"/>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117E75" w:rsidRPr="0029140B" w:rsidRDefault="00117E75" w:rsidP="0029140B">
            <w:pPr>
              <w:spacing w:after="0" w:line="240" w:lineRule="auto"/>
              <w:jc w:val="center"/>
              <w:rPr>
                <w:rFonts w:ascii="Calibri" w:eastAsia="Times New Roman" w:hAnsi="Calibri" w:cs="Times New Roman"/>
                <w:color w:val="000000"/>
                <w:sz w:val="24"/>
                <w:szCs w:val="24"/>
                <w:lang w:eastAsia="ru-RU"/>
              </w:rPr>
            </w:pPr>
            <w:r w:rsidRPr="0029140B">
              <w:rPr>
                <w:rFonts w:ascii="Calibri" w:eastAsia="Times New Roman" w:hAnsi="Calibri" w:cs="Times New Roman"/>
                <w:color w:val="000000"/>
                <w:sz w:val="24"/>
                <w:szCs w:val="24"/>
                <w:lang w:eastAsia="ru-RU"/>
              </w:rPr>
              <w:t> </w:t>
            </w:r>
          </w:p>
        </w:tc>
        <w:tc>
          <w:tcPr>
            <w:tcW w:w="23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117E75" w:rsidRPr="0029140B" w:rsidRDefault="00117E75" w:rsidP="0029140B">
            <w:pPr>
              <w:spacing w:after="0" w:line="240" w:lineRule="auto"/>
              <w:jc w:val="center"/>
              <w:rPr>
                <w:rFonts w:ascii="Calibri" w:eastAsia="Times New Roman" w:hAnsi="Calibri" w:cs="Times New Roman"/>
                <w:color w:val="000000"/>
                <w:sz w:val="24"/>
                <w:szCs w:val="24"/>
                <w:lang w:eastAsia="ru-RU"/>
              </w:rPr>
            </w:pPr>
            <w:r w:rsidRPr="0029140B">
              <w:rPr>
                <w:rFonts w:ascii="Calibri" w:eastAsia="Times New Roman" w:hAnsi="Calibri" w:cs="Times New Roman"/>
                <w:color w:val="000000"/>
                <w:sz w:val="24"/>
                <w:szCs w:val="24"/>
                <w:lang w:eastAsia="ru-RU"/>
              </w:rPr>
              <w:t> </w:t>
            </w: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Назначение</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лапароскопический, не предназначен для торакальных операций, троакар поперечно-устойчив в передней брюшной стенке</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целью введения эндоскопа и сопутствующих инструментов во время малоинвазивной операции с возможностью инсуффляции</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Материал изготовления</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Троакар полностью изготовлен из полимерных материалов, без применения металлов</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Материал изделия – лёгкий, прочный, прозрачный, биосовместимый. Прозрачная канюля троакара позволяет следить за перемещением инструмента в её просвете, не создаёт помех и мёртвых зон, исключает риск электрохирургической травмы пациента.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Состав троакара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Рентгенпрозрачная канюля и обтуратор</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Позволяет следить за перемещением инструмента в её просвете, не создаёт помех и мёртвых зон.</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Обтуратор</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Безлезвийный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 xml:space="preserve">Троакар рассматривается заказчиком как бужирующий, раздвигающий инструмент </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Кончик стилета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Пирамидальный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целью</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обеспечения</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поступательного</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бужирующего</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продвижения</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кончика</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стилета</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в</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тканях</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на</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пункционном</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этапе</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установки</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троакара</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до</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начала</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его</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вкручивания</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Внутренний диаметр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4 и ≤ 5</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Рабочая длина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50 и ≤ 70</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мм</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Участник закупки указывает в заявке конкретное значение характеристики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инструментами, имеющимися у заказчика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Состав канюли</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гильза и  клапанный блок</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Съемная система клапанов канюли для облегчения удаления резецированных тканей и биоматериалов</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Состав  клапанного блока</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xml:space="preserve"> Клапанный блок представлен  системой мембран для инструментов 5 мм</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Для совместимости с имеющимися у заказчика инструментами, для снижения травматизации операционного доступа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r w:rsidR="0029140B" w:rsidRPr="0029140B" w:rsidTr="00117E75">
        <w:trPr>
          <w:trHeight w:val="402"/>
        </w:trPr>
        <w:tc>
          <w:tcPr>
            <w:tcW w:w="152"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b/>
                <w:bCs/>
                <w:sz w:val="20"/>
                <w:szCs w:val="20"/>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Поверхность гильзы</w:t>
            </w:r>
          </w:p>
        </w:tc>
        <w:tc>
          <w:tcPr>
            <w:tcW w:w="586"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С нанесенной спиральной резьбой</w:t>
            </w:r>
          </w:p>
        </w:tc>
        <w:tc>
          <w:tcPr>
            <w:tcW w:w="180"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jc w:val="center"/>
              <w:rPr>
                <w:rFonts w:ascii="Times New Roman" w:eastAsia="Times New Roman" w:hAnsi="Times New Roman" w:cs="Times New Roman"/>
                <w:sz w:val="20"/>
                <w:szCs w:val="20"/>
                <w:lang w:eastAsia="ru-RU"/>
              </w:rPr>
            </w:pPr>
            <w:r w:rsidRPr="0029140B">
              <w:rPr>
                <w:rFonts w:ascii="Times New Roman" w:eastAsia="Times New Roman" w:hAnsi="Times New Roman" w:cs="Times New Roman"/>
                <w:sz w:val="20"/>
                <w:szCs w:val="20"/>
                <w:lang w:eastAsia="ru-RU"/>
              </w:rPr>
              <w:t> </w:t>
            </w:r>
          </w:p>
        </w:tc>
        <w:tc>
          <w:tcPr>
            <w:tcW w:w="467"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702" w:type="pct"/>
            <w:tcBorders>
              <w:top w:val="nil"/>
              <w:left w:val="nil"/>
              <w:bottom w:val="single" w:sz="4" w:space="0" w:color="auto"/>
              <w:right w:val="single" w:sz="4" w:space="0" w:color="auto"/>
            </w:tcBorders>
            <w:shd w:val="clear" w:color="auto" w:fill="auto"/>
            <w:vAlign w:val="center"/>
            <w:hideMark/>
          </w:tcPr>
          <w:p w:rsidR="0029140B" w:rsidRPr="0029140B" w:rsidRDefault="0029140B" w:rsidP="0029140B">
            <w:pPr>
              <w:spacing w:after="0" w:line="240" w:lineRule="auto"/>
              <w:rPr>
                <w:rFonts w:ascii="Times New Roman" w:eastAsia="Times New Roman" w:hAnsi="Times New Roman" w:cs="Times New Roman"/>
                <w:color w:val="000000"/>
                <w:sz w:val="20"/>
                <w:szCs w:val="20"/>
                <w:lang w:eastAsia="ru-RU"/>
              </w:rPr>
            </w:pPr>
            <w:r w:rsidRPr="0029140B">
              <w:rPr>
                <w:rFonts w:ascii="Times New Roman" w:eastAsia="Times New Roman" w:hAnsi="Times New Roman" w:cs="Times New Roman"/>
                <w:color w:val="000000"/>
                <w:sz w:val="20"/>
                <w:szCs w:val="20"/>
                <w:lang w:eastAsia="ru-RU"/>
              </w:rPr>
              <w:t>В</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целях</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надёжной</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герметичной</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фиксации</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в</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тканях</w:t>
            </w:r>
            <w:r w:rsidRPr="0029140B">
              <w:rPr>
                <w:rFonts w:ascii="Arial Unicode MS" w:eastAsia="Arial Unicode MS" w:hAnsi="Arial Unicode MS" w:cs="Arial Unicode MS" w:hint="eastAsia"/>
                <w:color w:val="000000"/>
                <w:sz w:val="20"/>
                <w:szCs w:val="20"/>
                <w:lang w:eastAsia="ru-RU"/>
              </w:rPr>
              <w:t xml:space="preserve"> </w:t>
            </w:r>
            <w:r w:rsidRPr="0029140B">
              <w:rPr>
                <w:rFonts w:ascii="Times New Roman" w:eastAsia="Times New Roman" w:hAnsi="Times New Roman" w:cs="Times New Roman"/>
                <w:color w:val="000000"/>
                <w:sz w:val="20"/>
                <w:szCs w:val="20"/>
                <w:lang w:eastAsia="ru-RU"/>
              </w:rPr>
              <w:t>пациента</w:t>
            </w:r>
          </w:p>
        </w:tc>
        <w:tc>
          <w:tcPr>
            <w:tcW w:w="165"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41"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194"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29140B" w:rsidRPr="0029140B" w:rsidRDefault="0029140B" w:rsidP="0029140B">
            <w:pPr>
              <w:spacing w:after="0" w:line="240" w:lineRule="auto"/>
              <w:rPr>
                <w:rFonts w:ascii="Calibri" w:eastAsia="Times New Roman" w:hAnsi="Calibri" w:cs="Times New Roman"/>
                <w:color w:val="000000"/>
                <w:sz w:val="24"/>
                <w:szCs w:val="24"/>
                <w:lang w:eastAsia="ru-RU"/>
              </w:rPr>
            </w:pPr>
          </w:p>
        </w:tc>
      </w:tr>
    </w:tbl>
    <w:p w:rsidR="0029140B" w:rsidRDefault="0029140B" w:rsidP="0029140B">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9A0CDF">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9A0CDF">
        <w:rPr>
          <w:rFonts w:ascii="Roboto" w:hAnsi="Roboto" w:cs="Roboto"/>
          <w:color w:val="333333"/>
          <w:highlight w:val="white"/>
        </w:rPr>
        <w:t xml:space="preserve"> </w:t>
      </w:r>
      <w:r>
        <w:rPr>
          <w:rFonts w:ascii="Calibri" w:hAnsi="Calibri" w:cs="Calibri"/>
          <w:color w:val="333333"/>
          <w:highlight w:val="white"/>
        </w:rPr>
        <w:t>России</w:t>
      </w:r>
      <w:r w:rsidRPr="009A0CDF">
        <w:rPr>
          <w:rFonts w:ascii="Roboto" w:hAnsi="Roboto" w:cs="Roboto"/>
          <w:color w:val="333333"/>
          <w:highlight w:val="white"/>
        </w:rPr>
        <w:t xml:space="preserve"> </w:t>
      </w:r>
      <w:r>
        <w:rPr>
          <w:rFonts w:ascii="Calibri" w:hAnsi="Calibri" w:cs="Calibri"/>
          <w:color w:val="333333"/>
          <w:highlight w:val="white"/>
        </w:rPr>
        <w:t>от</w:t>
      </w:r>
      <w:r w:rsidRPr="009A0CDF">
        <w:rPr>
          <w:rFonts w:ascii="Roboto" w:hAnsi="Roboto" w:cs="Roboto"/>
          <w:color w:val="333333"/>
          <w:highlight w:val="white"/>
        </w:rPr>
        <w:t xml:space="preserve"> 24 </w:t>
      </w:r>
      <w:r>
        <w:rPr>
          <w:rFonts w:ascii="Calibri" w:hAnsi="Calibri" w:cs="Calibri"/>
          <w:color w:val="333333"/>
          <w:highlight w:val="white"/>
        </w:rPr>
        <w:t>января</w:t>
      </w:r>
      <w:r w:rsidRPr="009A0CDF">
        <w:rPr>
          <w:rFonts w:ascii="Roboto" w:hAnsi="Roboto" w:cs="Roboto"/>
          <w:color w:val="333333"/>
          <w:highlight w:val="white"/>
        </w:rPr>
        <w:t xml:space="preserve"> 2022 </w:t>
      </w:r>
      <w:r>
        <w:rPr>
          <w:rFonts w:ascii="Calibri" w:hAnsi="Calibri" w:cs="Calibri"/>
          <w:color w:val="333333"/>
          <w:highlight w:val="white"/>
        </w:rPr>
        <w:t>г</w:t>
      </w:r>
      <w:r w:rsidRPr="009A0CDF">
        <w:rPr>
          <w:rFonts w:ascii="Roboto" w:hAnsi="Roboto" w:cs="Roboto"/>
          <w:color w:val="333333"/>
          <w:highlight w:val="white"/>
        </w:rPr>
        <w:t xml:space="preserve">. </w:t>
      </w:r>
      <w:r>
        <w:rPr>
          <w:rFonts w:ascii="Roboto" w:hAnsi="Roboto" w:cs="Roboto"/>
          <w:color w:val="333333"/>
          <w:highlight w:val="white"/>
          <w:lang w:val="en-US"/>
        </w:rPr>
        <w:t>N</w:t>
      </w:r>
      <w:r w:rsidRPr="009A0CDF">
        <w:rPr>
          <w:rFonts w:ascii="Roboto" w:hAnsi="Roboto" w:cs="Roboto"/>
          <w:color w:val="333333"/>
          <w:highlight w:val="white"/>
        </w:rPr>
        <w:t xml:space="preserve"> 24-03-08/4090)</w:t>
      </w:r>
    </w:p>
    <w:p w:rsidR="00170252" w:rsidRDefault="00170252" w:rsidP="000820E3">
      <w:pPr>
        <w:rPr>
          <w:rFonts w:ascii="Times New Roman" w:hAnsi="Times New Roman" w:cs="Times New Roman"/>
          <w:b/>
          <w:sz w:val="28"/>
          <w:szCs w:val="28"/>
        </w:rPr>
      </w:pPr>
    </w:p>
    <w:sectPr w:rsidR="00170252" w:rsidSect="0029140B">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17" w:rsidRDefault="00F63017">
      <w:pPr>
        <w:spacing w:after="0" w:line="240" w:lineRule="auto"/>
      </w:pPr>
      <w:r>
        <w:separator/>
      </w:r>
    </w:p>
  </w:endnote>
  <w:endnote w:type="continuationSeparator" w:id="0">
    <w:p w:rsidR="00F63017" w:rsidRDefault="00F6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203E" w:rsidRDefault="00AF203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F203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F203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F203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F203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F203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17E75">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17" w:rsidRDefault="00F63017">
      <w:pPr>
        <w:spacing w:after="0" w:line="240" w:lineRule="auto"/>
      </w:pPr>
      <w:r>
        <w:separator/>
      </w:r>
    </w:p>
  </w:footnote>
  <w:footnote w:type="continuationSeparator" w:id="0">
    <w:p w:rsidR="00F63017" w:rsidRDefault="00F6301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203E" w:rsidRDefault="00AF203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203E" w:rsidRDefault="00AF203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203E" w:rsidRDefault="00AF203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17E75"/>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140B"/>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203E"/>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3825"/>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3017"/>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291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29140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29140B"/>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7">
    <w:name w:val="font7"/>
    <w:basedOn w:val="a0"/>
    <w:rsid w:val="0029140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0"/>
    <w:rsid w:val="0029140B"/>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9">
    <w:name w:val="font9"/>
    <w:basedOn w:val="a0"/>
    <w:rsid w:val="0029140B"/>
    <w:pPr>
      <w:spacing w:before="100" w:beforeAutospacing="1" w:after="100" w:afterAutospacing="1" w:line="240" w:lineRule="auto"/>
    </w:pPr>
    <w:rPr>
      <w:rFonts w:ascii="Arial Unicode MS" w:eastAsia="Arial Unicode MS" w:hAnsi="Arial Unicode MS" w:cs="Arial Unicode MS"/>
      <w:color w:val="000000"/>
      <w:sz w:val="20"/>
      <w:szCs w:val="20"/>
      <w:lang w:eastAsia="ru-RU"/>
    </w:rPr>
  </w:style>
  <w:style w:type="paragraph" w:customStyle="1" w:styleId="xl67">
    <w:name w:val="xl67"/>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0"/>
    <w:rsid w:val="0029140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0">
    <w:name w:val="xl70"/>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2">
    <w:name w:val="xl72"/>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4">
    <w:name w:val="xl74"/>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0"/>
    <w:rsid w:val="0029140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1">
    <w:name w:val="xl91"/>
    <w:basedOn w:val="a0"/>
    <w:rsid w:val="0029140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0"/>
    <w:rsid w:val="002914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5">
    <w:name w:val="xl95"/>
    <w:basedOn w:val="a0"/>
    <w:rsid w:val="0029140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0"/>
    <w:rsid w:val="0029140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29140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0"/>
    <w:rsid w:val="002914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0"/>
    <w:rsid w:val="00291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0"/>
    <w:rsid w:val="002914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rsid w:val="002914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0"/>
    <w:rsid w:val="002914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62095513">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079E-CC30-4561-B519-1E4FE385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4397</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2025-03-21T13:34:00Z</dcterms:created>
  <dcterms:modified xsi:type="dcterms:W3CDTF">2025-03-21T13:34:00Z</dcterms:modified>
</cp:coreProperties>
</file>