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05-07/1554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06AA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387"/>
        <w:gridCol w:w="1104"/>
        <w:gridCol w:w="998"/>
        <w:gridCol w:w="1134"/>
        <w:gridCol w:w="1486"/>
        <w:gridCol w:w="1161"/>
        <w:gridCol w:w="1453"/>
        <w:gridCol w:w="1134"/>
        <w:gridCol w:w="1134"/>
        <w:gridCol w:w="1308"/>
        <w:gridCol w:w="900"/>
        <w:gridCol w:w="853"/>
        <w:gridCol w:w="1131"/>
        <w:gridCol w:w="629"/>
        <w:gridCol w:w="521"/>
        <w:gridCol w:w="616"/>
      </w:tblGrid>
      <w:tr w:rsidR="00DA7E3D" w:rsidRPr="00073C8A" w:rsidTr="00DA7E3D">
        <w:trPr>
          <w:trHeight w:val="600"/>
        </w:trPr>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п/п</w:t>
            </w: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Наименование товара</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КТРУ</w:t>
            </w:r>
          </w:p>
        </w:tc>
        <w:tc>
          <w:tcPr>
            <w:tcW w:w="35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характеристики п/п</w:t>
            </w:r>
          </w:p>
        </w:tc>
        <w:tc>
          <w:tcPr>
            <w:tcW w:w="46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Наименование характеристики</w:t>
            </w:r>
          </w:p>
        </w:tc>
        <w:tc>
          <w:tcPr>
            <w:tcW w:w="364"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Тип характеристики</w:t>
            </w:r>
          </w:p>
        </w:tc>
        <w:tc>
          <w:tcPr>
            <w:tcW w:w="45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w:t>
            </w:r>
          </w:p>
        </w:tc>
        <w:tc>
          <w:tcPr>
            <w:tcW w:w="35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Единица изменения характеристики</w:t>
            </w:r>
          </w:p>
        </w:tc>
        <w:tc>
          <w:tcPr>
            <w:tcW w:w="356"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Инструкция по заполнению характеристики в заявке</w:t>
            </w:r>
          </w:p>
        </w:tc>
        <w:tc>
          <w:tcPr>
            <w:tcW w:w="410"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Обоснование дополнительных характеристик</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Количество товара</w:t>
            </w:r>
          </w:p>
        </w:tc>
        <w:tc>
          <w:tcPr>
            <w:tcW w:w="267" w:type="pct"/>
            <w:tcBorders>
              <w:top w:val="single" w:sz="4" w:space="0" w:color="000000"/>
              <w:left w:val="nil"/>
              <w:bottom w:val="single" w:sz="4" w:space="0" w:color="000000"/>
              <w:right w:val="nil"/>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Единица измерения товара</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Страна происхождения Товара</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Ставка НДС%</w:t>
            </w:r>
          </w:p>
        </w:tc>
        <w:tc>
          <w:tcPr>
            <w:tcW w:w="163" w:type="pct"/>
            <w:tcBorders>
              <w:top w:val="single" w:sz="4" w:space="0" w:color="auto"/>
              <w:left w:val="nil"/>
              <w:bottom w:val="single" w:sz="4" w:space="0" w:color="auto"/>
              <w:right w:val="single" w:sz="4" w:space="0" w:color="auto"/>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Цена за ед. без НДС</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Сумма без НДС</w:t>
            </w:r>
          </w:p>
        </w:tc>
      </w:tr>
      <w:tr w:rsidR="00DA7E3D" w:rsidRPr="00073C8A" w:rsidTr="00DA7E3D">
        <w:trPr>
          <w:trHeight w:val="600"/>
        </w:trPr>
        <w:tc>
          <w:tcPr>
            <w:tcW w:w="121"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w:t>
            </w:r>
          </w:p>
        </w:tc>
        <w:tc>
          <w:tcPr>
            <w:tcW w:w="346"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Гребенка наконечников для использования с системой выделения нуклеиновых кислот на 96 наконечников</w:t>
            </w:r>
          </w:p>
        </w:tc>
        <w:tc>
          <w:tcPr>
            <w:tcW w:w="313"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32.50.50.190</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Область применения</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гребенки наконечников для 96 магнитных стержней и 96 луночных планшетов</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700</w:t>
            </w:r>
          </w:p>
        </w:tc>
        <w:tc>
          <w:tcPr>
            <w:tcW w:w="267" w:type="pct"/>
            <w:vMerge w:val="restart"/>
            <w:tcBorders>
              <w:top w:val="nil"/>
              <w:left w:val="single" w:sz="4" w:space="0" w:color="000000"/>
              <w:bottom w:val="single" w:sz="4" w:space="0" w:color="000000"/>
              <w:right w:val="nil"/>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6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Форма выпуска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изделие прямоугольной формы, имеющее конфигурацию 12x8 полых стержней, которые выполняют функцию защитного кожуха для магнитных наконечников, концы стержней у гребенок имеют коническую форму</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Размер (ш х в х д)</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85 х 49 х 127</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4</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Диапазон рабочего объема процессируемой смеси</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от не более 0,05 и до не менее 1</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см3; мл</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диапазон значений</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5</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Коническая форма концов стержней у гребенок</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6</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 выступов в верхней части гребенок для крепления в системах выделения нуклеиновых кислот</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7</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Количество наконечников, фиксированных в одной гребенке</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менее 96</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8</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Количество гребенок наконечников, используемых в одном цикле выделения</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более 1</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9</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Материал</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полипропилен</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10</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Масса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51</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г</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Совместимость с оборудованием, имеющимся у Заказчика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принадлежность для процессора магнитных частиц для очистки нуклеиновых кислот, клеток и белков KingFisher производства "Термо Фишер Сайентифик Ой" (Финляндия)</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Фасовка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более 100</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w:t>
            </w:r>
          </w:p>
        </w:tc>
        <w:tc>
          <w:tcPr>
            <w:tcW w:w="346"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Микропланшет ИВД</w:t>
            </w:r>
          </w:p>
        </w:tc>
        <w:tc>
          <w:tcPr>
            <w:tcW w:w="313"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32.50.50.000-00001538</w:t>
            </w:r>
            <w:r>
              <w:rPr>
                <w:rFonts w:ascii="Arial" w:eastAsia="Times New Roman" w:hAnsi="Arial" w:cs="Arial"/>
                <w:sz w:val="16"/>
                <w:szCs w:val="16"/>
                <w:lang w:eastAsia="ru-RU"/>
              </w:rPr>
              <w:t>*</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Справочная информация (описание по классификатору)</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Планшет с множеством ячеек, предусматривающих возможность помещения малых объемов клинических образцов, реагентов или других материалов для тестирования на лабораторном анализаторе. Обычно изготавливается из материалов, которые можно стерилизовать (например, полипропилен) и используется для ручных или автоматических анализаторов. Это одноразовое изделие.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val="restart"/>
            <w:tcBorders>
              <w:top w:val="nil"/>
              <w:left w:val="single" w:sz="4" w:space="0" w:color="000000"/>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500</w:t>
            </w:r>
          </w:p>
        </w:tc>
        <w:tc>
          <w:tcPr>
            <w:tcW w:w="267" w:type="pct"/>
            <w:vMerge w:val="restart"/>
            <w:tcBorders>
              <w:top w:val="nil"/>
              <w:left w:val="single" w:sz="4" w:space="0" w:color="000000"/>
              <w:bottom w:val="single" w:sz="4" w:space="0" w:color="000000"/>
              <w:right w:val="nil"/>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6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Количество лунок/ емкостей</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96</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Штука</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Тип планшета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Неразборный</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4</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Крышка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5</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Прозрачный</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Да</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6</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Тип лунки</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Коническая</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7</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Стерильность</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8</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Покрытие лунок</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9</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Область применения</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для выделения ДНК и РНК из образцов с высоким выходом конечного продукта</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Установлено исходя из методик, применяемых для проведения</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10</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Планшет совместим с пленками для заклеивания и матами для ПЦР планшетов различных производителей</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обусловлено наличием  различных типов планшетов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Минимальная температура хранения</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-86</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B соответствии с особенностями проводимых исследований и четко проработанными раннее методиками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Максимальная температура нагрева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100</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B соответствии с особенностями проводимых исследований и четко проработанными раннее методиками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13</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Максимальное ускорение при центрифугировании до 4000 g</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сохранности содержимого при реализации протоколов работы, принятых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14</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Стерильность</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термическая обработка в автоклаве при 121 °C в течение 15 мин</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устойчивости при стандартных режимах автоклавирования</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15</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Цвет</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нейтральный прозрачный</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Удобство визуального контроля</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16</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Длина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менее 124</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17</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Ширина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менее 82</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18</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Высота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менее 43</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19</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Материал</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химически устойчивый полипропилен, устойчивый к действию различных химических веществ</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Устойчивый к действию различных химических веществ</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20</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 четкой буквенно-цифровой маркировки лунок</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облегчения идентификации и пространственной ориентировки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 xml:space="preserve">Наличие срезанного угла А1 </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облегчения идентификации и пространственной ориентировки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Номинальный объем</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2,2</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см3; мл</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23</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 96  квадратных лунок с квадратным отверстием  c геометрией дна V-образное</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24</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 юбки</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25</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Толщина стенок</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более 0,4</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26</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Погрешность толщины стенок</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более 0,04</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мм</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27</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Профиль</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глубокий</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28</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Не содержат ДНК, ДНК-азы/РНК-азы и эндотоксинов</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предотвращения искажения результатов исследований</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29</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Не содержат ДНК человека/ингибиторы ПЦР</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предотвращения искажения результатов исследований</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30</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  крепежных отверстий для установки</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соответствие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обеспечения совместимости с оборудованием, имеющимся в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31</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Возможность установления планшетов друг на друга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Для удобства хранения и логистики в отделении лаборатории</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32</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Совместимость с оборудованием, имеющимся у Заказчика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качественная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наличие</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 </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Значение характеристики не может изменяться участником закупки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Принадлежность для процессора магнитных частиц для очистки нуклеиновых кислот, клеток и белков KingFisher производства "Термо Фишер Сайентифик Ой" (Финляндия)</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r w:rsidR="00DA7E3D" w:rsidRPr="00073C8A" w:rsidTr="00DA7E3D">
        <w:trPr>
          <w:trHeight w:val="600"/>
        </w:trPr>
        <w:tc>
          <w:tcPr>
            <w:tcW w:w="121"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46"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13"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33</w:t>
            </w:r>
          </w:p>
        </w:tc>
        <w:tc>
          <w:tcPr>
            <w:tcW w:w="46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rPr>
                <w:rFonts w:ascii="Arial" w:eastAsia="Times New Roman" w:hAnsi="Arial" w:cs="Arial"/>
                <w:sz w:val="16"/>
                <w:szCs w:val="16"/>
                <w:lang w:eastAsia="ru-RU"/>
              </w:rPr>
            </w:pPr>
            <w:r w:rsidRPr="00073C8A">
              <w:rPr>
                <w:rFonts w:ascii="Arial" w:eastAsia="Times New Roman" w:hAnsi="Arial" w:cs="Arial"/>
                <w:sz w:val="16"/>
                <w:szCs w:val="16"/>
                <w:lang w:eastAsia="ru-RU"/>
              </w:rPr>
              <w:t>Фасовка</w:t>
            </w:r>
          </w:p>
        </w:tc>
        <w:tc>
          <w:tcPr>
            <w:tcW w:w="364"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количественная</w:t>
            </w:r>
          </w:p>
        </w:tc>
        <w:tc>
          <w:tcPr>
            <w:tcW w:w="4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не более 50</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шт</w:t>
            </w:r>
          </w:p>
        </w:tc>
        <w:tc>
          <w:tcPr>
            <w:tcW w:w="356"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center"/>
              <w:rPr>
                <w:rFonts w:ascii="Arial" w:eastAsia="Times New Roman" w:hAnsi="Arial" w:cs="Arial"/>
                <w:sz w:val="16"/>
                <w:szCs w:val="16"/>
                <w:lang w:eastAsia="ru-RU"/>
              </w:rPr>
            </w:pPr>
            <w:r w:rsidRPr="00073C8A">
              <w:rPr>
                <w:rFonts w:ascii="Arial" w:eastAsia="Times New Roman" w:hAnsi="Arial" w:cs="Arial"/>
                <w:sz w:val="16"/>
                <w:szCs w:val="16"/>
                <w:lang w:eastAsia="ru-RU"/>
              </w:rPr>
              <w:t>Участник закупки указывает в заявке конкретное значение характеристики</w:t>
            </w:r>
          </w:p>
        </w:tc>
        <w:tc>
          <w:tcPr>
            <w:tcW w:w="410" w:type="pct"/>
            <w:tcBorders>
              <w:top w:val="nil"/>
              <w:left w:val="nil"/>
              <w:bottom w:val="single" w:sz="4" w:space="0" w:color="000000"/>
              <w:right w:val="single" w:sz="4" w:space="0" w:color="000000"/>
            </w:tcBorders>
            <w:shd w:val="clear" w:color="auto" w:fill="auto"/>
            <w:hideMark/>
          </w:tcPr>
          <w:p w:rsidR="00DA7E3D" w:rsidRPr="00073C8A" w:rsidRDefault="00DA7E3D" w:rsidP="00072F0C">
            <w:pPr>
              <w:spacing w:after="0" w:line="240" w:lineRule="auto"/>
              <w:jc w:val="both"/>
              <w:rPr>
                <w:rFonts w:ascii="Arial" w:eastAsia="Times New Roman" w:hAnsi="Arial" w:cs="Arial"/>
                <w:sz w:val="16"/>
                <w:szCs w:val="16"/>
                <w:lang w:eastAsia="ru-RU"/>
              </w:rPr>
            </w:pPr>
            <w:r w:rsidRPr="00073C8A">
              <w:rPr>
                <w:rFonts w:ascii="Arial" w:eastAsia="Times New Roman" w:hAnsi="Arial" w:cs="Arial"/>
                <w:sz w:val="16"/>
                <w:szCs w:val="16"/>
                <w:lang w:eastAsia="ru-RU"/>
              </w:rPr>
              <w:t>Данное требование установлено по причине удобства использования данной фасовки при раздаче товара со склада в отделения</w:t>
            </w:r>
          </w:p>
        </w:tc>
        <w:tc>
          <w:tcPr>
            <w:tcW w:w="282" w:type="pct"/>
            <w:vMerge/>
            <w:tcBorders>
              <w:top w:val="nil"/>
              <w:left w:val="single" w:sz="4" w:space="0" w:color="000000"/>
              <w:bottom w:val="single" w:sz="4" w:space="0" w:color="000000"/>
              <w:right w:val="single" w:sz="4" w:space="0" w:color="000000"/>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267" w:type="pct"/>
            <w:vMerge/>
            <w:tcBorders>
              <w:top w:val="nil"/>
              <w:left w:val="single" w:sz="4" w:space="0" w:color="000000"/>
              <w:bottom w:val="single" w:sz="4" w:space="0" w:color="000000"/>
              <w:right w:val="nil"/>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c>
          <w:tcPr>
            <w:tcW w:w="193" w:type="pct"/>
            <w:vMerge/>
            <w:tcBorders>
              <w:top w:val="nil"/>
              <w:left w:val="single" w:sz="4" w:space="0" w:color="auto"/>
              <w:bottom w:val="single" w:sz="4" w:space="0" w:color="000000"/>
              <w:right w:val="single" w:sz="4" w:space="0" w:color="auto"/>
            </w:tcBorders>
            <w:vAlign w:val="center"/>
            <w:hideMark/>
          </w:tcPr>
          <w:p w:rsidR="00DA7E3D" w:rsidRPr="00073C8A" w:rsidRDefault="00DA7E3D" w:rsidP="00072F0C">
            <w:pPr>
              <w:spacing w:after="0" w:line="240" w:lineRule="auto"/>
              <w:rPr>
                <w:rFonts w:ascii="Arial" w:eastAsia="Times New Roman" w:hAnsi="Arial" w:cs="Arial"/>
                <w:sz w:val="16"/>
                <w:szCs w:val="16"/>
                <w:lang w:eastAsia="ru-RU"/>
              </w:rPr>
            </w:pPr>
          </w:p>
        </w:tc>
      </w:tr>
    </w:tbl>
    <w:p w:rsidR="00DA7E3D" w:rsidRDefault="00DA7E3D" w:rsidP="00DA7E3D">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170252" w:rsidRDefault="00170252" w:rsidP="000820E3">
      <w:pPr>
        <w:rPr>
          <w:rFonts w:ascii="Times New Roman" w:hAnsi="Times New Roman" w:cs="Times New Roman"/>
          <w:b/>
          <w:sz w:val="28"/>
          <w:szCs w:val="28"/>
        </w:rPr>
      </w:pPr>
    </w:p>
    <w:sectPr w:rsidR="00170252" w:rsidSect="00DA7E3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30" w:rsidRDefault="00EC2930">
      <w:pPr>
        <w:spacing w:after="0" w:line="240" w:lineRule="auto"/>
      </w:pPr>
      <w:r>
        <w:separator/>
      </w:r>
    </w:p>
  </w:endnote>
  <w:endnote w:type="continuationSeparator" w:id="0">
    <w:p w:rsidR="00EC2930" w:rsidRDefault="00EC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6AA1" w:rsidRDefault="00E06AA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06AA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06AA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06AA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06AA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06AA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A7E3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30" w:rsidRDefault="00EC2930">
      <w:pPr>
        <w:spacing w:after="0" w:line="240" w:lineRule="auto"/>
      </w:pPr>
      <w:r>
        <w:separator/>
      </w:r>
    </w:p>
  </w:footnote>
  <w:footnote w:type="continuationSeparator" w:id="0">
    <w:p w:rsidR="00EC2930" w:rsidRDefault="00EC293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6AA1" w:rsidRDefault="00E06AA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6AA1" w:rsidRDefault="00E06AA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6AA1" w:rsidRDefault="00E06AA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A7E3D"/>
    <w:rsid w:val="00DB0473"/>
    <w:rsid w:val="00DB54FF"/>
    <w:rsid w:val="00DB5EE8"/>
    <w:rsid w:val="00DB6A09"/>
    <w:rsid w:val="00DC11FC"/>
    <w:rsid w:val="00DD6DFD"/>
    <w:rsid w:val="00DE242D"/>
    <w:rsid w:val="00DE5680"/>
    <w:rsid w:val="00DF64BD"/>
    <w:rsid w:val="00DF79BE"/>
    <w:rsid w:val="00E02EB4"/>
    <w:rsid w:val="00E06AA1"/>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293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24B4-5E07-49BA-AB24-D65A5E68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2024-10-07T09:00:00Z</dcterms:created>
  <dcterms:modified xsi:type="dcterms:W3CDTF">2024-10-07T09:00:00Z</dcterms:modified>
</cp:coreProperties>
</file>