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16.01.2025 № 05-07/38</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22.01.2025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2F1966">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8F3435">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8F3435">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BA0717">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реагентов</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8F3435">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8F3435">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BA071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8F3435">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8F3435">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BA071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8F3435">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8F3435">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BA071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8F3435">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8F3435">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BA071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180 (ста восьмидесяти) календарных дней с момента подписания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8F3435">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8F3435">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BA071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Допускается частичная поставка товара отдельными партиями в пределах данного срока.</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8F3435">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8F3435">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BA071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8F3435">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8F3435">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BA071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8F3435">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8F3435">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BA071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8F3435">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8F3435">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BA071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8F3435">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8F3435">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BA071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ПП РФ от 23.12.2024 № 1875 – преимущество
                <w:br/>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8F3435">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8F3435">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BA071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8F3435">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8F3435">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BA0717">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8F3435">
            <w:pPr>
              <w:ind w:right="-1"/>
              <w:rPr>
                <w:rFonts w:ascii="Times New Roman" w:hAnsi="Times New Roman" w:cs="Times New Roman"/>
                <w:lang w:val="en-US"/>
              </w:rPr>
            </w:pPr>
            <w:r>
              <w:rPr>
                <w:rFonts w:ascii="Times New Roman" w:hAnsi="Times New Roman" w:cs="Times New Roman"/>
                <w:lang w:val="en-US"/>
              </w:rPr>
              <w:lastRenderedPageBreak/>
              <w:t>9.3.</w:t>
            </w:r>
          </w:p>
        </w:tc>
        <w:tc>
          <w:tcPr>
            <w:tcW w:w="10150" w:type="dxa"/>
          </w:tcPr>
          <w:p w:rsidR="00C14573" w:rsidRPr="00FF12AF" w:rsidRDefault="00C14573" w:rsidP="008F3435">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8F3435">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8F3435">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8F3435">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8F3435">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8F3435">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8F3435">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8F3435">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8F3435">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8F3435">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8F3435">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Ind w:w="-289" w:type="dxa"/>
        <w:tblLayout w:type="fixed"/>
        <w:tblLook w:val="04A0" w:firstRow="1" w:lastRow="0" w:firstColumn="1" w:lastColumn="0" w:noHBand="0" w:noVBand="1"/>
      </w:tblPr>
      <w:tblGrid>
        <w:gridCol w:w="463"/>
        <w:gridCol w:w="1636"/>
        <w:gridCol w:w="1116"/>
        <w:gridCol w:w="727"/>
        <w:gridCol w:w="2124"/>
        <w:gridCol w:w="1700"/>
        <w:gridCol w:w="992"/>
        <w:gridCol w:w="1560"/>
        <w:gridCol w:w="1844"/>
        <w:gridCol w:w="568"/>
        <w:gridCol w:w="852"/>
        <w:gridCol w:w="848"/>
        <w:gridCol w:w="708"/>
        <w:gridCol w:w="810"/>
      </w:tblGrid>
      <w:tr w:rsidR="00BA0717" w:rsidRPr="006C537B" w:rsidTr="008F3435">
        <w:trPr>
          <w:trHeight w:val="402"/>
        </w:trPr>
        <w:tc>
          <w:tcPr>
            <w:tcW w:w="1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w:t>
            </w:r>
          </w:p>
        </w:tc>
        <w:tc>
          <w:tcPr>
            <w:tcW w:w="51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 xml:space="preserve">Наименование товара, </w:t>
            </w:r>
          </w:p>
        </w:tc>
        <w:tc>
          <w:tcPr>
            <w:tcW w:w="35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КТРУ/ОКПД2</w:t>
            </w:r>
          </w:p>
        </w:tc>
        <w:tc>
          <w:tcPr>
            <w:tcW w:w="22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Единица измерения</w:t>
            </w:r>
          </w:p>
        </w:tc>
        <w:tc>
          <w:tcPr>
            <w:tcW w:w="66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Функциональные, технические, качественные, эксплуатационные характеристики товара (единицы измерения)</w:t>
            </w:r>
          </w:p>
        </w:tc>
        <w:tc>
          <w:tcPr>
            <w:tcW w:w="53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Значения характеристик товара, которые не подлежат изменению участником закупки, или минимальные и (или) максимальные значения характеристик товара</w:t>
            </w:r>
          </w:p>
        </w:tc>
        <w:tc>
          <w:tcPr>
            <w:tcW w:w="31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Единица измерения значения</w:t>
            </w:r>
          </w:p>
        </w:tc>
        <w:tc>
          <w:tcPr>
            <w:tcW w:w="48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Обоснование дополнительных характеристик</w:t>
            </w:r>
          </w:p>
        </w:tc>
        <w:tc>
          <w:tcPr>
            <w:tcW w:w="578" w:type="pct"/>
            <w:vMerge w:val="restart"/>
            <w:tcBorders>
              <w:top w:val="single" w:sz="8" w:space="0" w:color="000000"/>
              <w:left w:val="single" w:sz="8" w:space="0" w:color="000000"/>
              <w:bottom w:val="single" w:sz="8" w:space="0" w:color="000000"/>
              <w:right w:val="nil"/>
            </w:tcBorders>
            <w:shd w:val="clear" w:color="auto" w:fill="auto"/>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Инструкция заказчика по указанию значений характеристик товара участником закупки</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Кол-во</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Страна происхождения Товара</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Ставка НДС</w:t>
            </w:r>
            <w:r w:rsidR="00B33129">
              <w:rPr>
                <w:rFonts w:ascii="Times New Roman" w:eastAsia="Times New Roman" w:hAnsi="Times New Roman" w:cs="Times New Roman"/>
                <w:b/>
                <w:bCs/>
                <w:color w:val="000000"/>
                <w:sz w:val="16"/>
                <w:szCs w:val="16"/>
                <w:lang w:eastAsia="ru-RU"/>
              </w:rPr>
              <w:t>,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Цена за ед. без НДС</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r w:rsidRPr="006C537B">
              <w:rPr>
                <w:rFonts w:ascii="Times New Roman" w:eastAsia="Times New Roman" w:hAnsi="Times New Roman" w:cs="Times New Roman"/>
                <w:b/>
                <w:bCs/>
                <w:color w:val="000000"/>
                <w:sz w:val="16"/>
                <w:szCs w:val="16"/>
                <w:lang w:eastAsia="ru-RU"/>
              </w:rPr>
              <w:t>Сумма без НДС</w:t>
            </w:r>
          </w:p>
        </w:tc>
      </w:tr>
      <w:tr w:rsidR="00BA0717" w:rsidRPr="006C537B" w:rsidTr="008F3435">
        <w:trPr>
          <w:trHeight w:val="402"/>
        </w:trPr>
        <w:tc>
          <w:tcPr>
            <w:tcW w:w="145" w:type="pct"/>
            <w:vMerge/>
            <w:tcBorders>
              <w:top w:val="single" w:sz="4" w:space="0" w:color="000000"/>
              <w:left w:val="single" w:sz="4" w:space="0" w:color="000000"/>
              <w:bottom w:val="single" w:sz="4" w:space="0" w:color="000000"/>
              <w:right w:val="single" w:sz="4" w:space="0" w:color="000000"/>
            </w:tcBorders>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p>
        </w:tc>
        <w:tc>
          <w:tcPr>
            <w:tcW w:w="513" w:type="pct"/>
            <w:vMerge/>
            <w:tcBorders>
              <w:top w:val="single" w:sz="8" w:space="0" w:color="000000"/>
              <w:left w:val="single" w:sz="8" w:space="0" w:color="000000"/>
              <w:bottom w:val="single" w:sz="8" w:space="0" w:color="000000"/>
              <w:right w:val="single" w:sz="8" w:space="0" w:color="000000"/>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c>
          <w:tcPr>
            <w:tcW w:w="350" w:type="pct"/>
            <w:vMerge/>
            <w:tcBorders>
              <w:top w:val="single" w:sz="8" w:space="0" w:color="000000"/>
              <w:left w:val="single" w:sz="8" w:space="0" w:color="000000"/>
              <w:bottom w:val="single" w:sz="8" w:space="0" w:color="000000"/>
              <w:right w:val="single" w:sz="8" w:space="0" w:color="000000"/>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c>
          <w:tcPr>
            <w:tcW w:w="228" w:type="pct"/>
            <w:vMerge/>
            <w:tcBorders>
              <w:top w:val="single" w:sz="8" w:space="0" w:color="000000"/>
              <w:left w:val="single" w:sz="8" w:space="0" w:color="000000"/>
              <w:bottom w:val="single" w:sz="8" w:space="0" w:color="000000"/>
              <w:right w:val="single" w:sz="8" w:space="0" w:color="000000"/>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c>
          <w:tcPr>
            <w:tcW w:w="666" w:type="pct"/>
            <w:vMerge/>
            <w:tcBorders>
              <w:top w:val="single" w:sz="8" w:space="0" w:color="000000"/>
              <w:left w:val="single" w:sz="8" w:space="0" w:color="000000"/>
              <w:bottom w:val="single" w:sz="8" w:space="0" w:color="000000"/>
              <w:right w:val="single" w:sz="8" w:space="0" w:color="000000"/>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c>
          <w:tcPr>
            <w:tcW w:w="533" w:type="pct"/>
            <w:vMerge/>
            <w:tcBorders>
              <w:top w:val="single" w:sz="8" w:space="0" w:color="000000"/>
              <w:left w:val="single" w:sz="8" w:space="0" w:color="000000"/>
              <w:bottom w:val="single" w:sz="8" w:space="0" w:color="000000"/>
              <w:right w:val="single" w:sz="8" w:space="0" w:color="000000"/>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c>
          <w:tcPr>
            <w:tcW w:w="311" w:type="pct"/>
            <w:vMerge/>
            <w:tcBorders>
              <w:top w:val="single" w:sz="8" w:space="0" w:color="000000"/>
              <w:left w:val="single" w:sz="8" w:space="0" w:color="000000"/>
              <w:bottom w:val="single" w:sz="8" w:space="0" w:color="000000"/>
              <w:right w:val="single" w:sz="8" w:space="0" w:color="000000"/>
            </w:tcBorders>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p>
        </w:tc>
        <w:tc>
          <w:tcPr>
            <w:tcW w:w="489" w:type="pct"/>
            <w:vMerge/>
            <w:tcBorders>
              <w:top w:val="single" w:sz="8" w:space="0" w:color="000000"/>
              <w:left w:val="single" w:sz="8" w:space="0" w:color="000000"/>
              <w:bottom w:val="single" w:sz="8" w:space="0" w:color="000000"/>
              <w:right w:val="single" w:sz="8" w:space="0" w:color="000000"/>
            </w:tcBorders>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p>
        </w:tc>
        <w:tc>
          <w:tcPr>
            <w:tcW w:w="578" w:type="pct"/>
            <w:vMerge/>
            <w:tcBorders>
              <w:top w:val="single" w:sz="8" w:space="0" w:color="000000"/>
              <w:left w:val="single" w:sz="8" w:space="0" w:color="000000"/>
              <w:bottom w:val="single" w:sz="8" w:space="0" w:color="000000"/>
              <w:right w:val="nil"/>
            </w:tcBorders>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r>
      <w:tr w:rsidR="00BA0717" w:rsidRPr="006C537B" w:rsidTr="008F3435">
        <w:trPr>
          <w:trHeight w:val="402"/>
        </w:trPr>
        <w:tc>
          <w:tcPr>
            <w:tcW w:w="145" w:type="pct"/>
            <w:vMerge/>
            <w:tcBorders>
              <w:top w:val="single" w:sz="4" w:space="0" w:color="000000"/>
              <w:left w:val="single" w:sz="4" w:space="0" w:color="000000"/>
              <w:bottom w:val="single" w:sz="4" w:space="0" w:color="000000"/>
              <w:right w:val="single" w:sz="4" w:space="0" w:color="000000"/>
            </w:tcBorders>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p>
        </w:tc>
        <w:tc>
          <w:tcPr>
            <w:tcW w:w="513" w:type="pct"/>
            <w:vMerge/>
            <w:tcBorders>
              <w:top w:val="single" w:sz="8" w:space="0" w:color="000000"/>
              <w:left w:val="single" w:sz="8" w:space="0" w:color="000000"/>
              <w:bottom w:val="single" w:sz="8" w:space="0" w:color="000000"/>
              <w:right w:val="single" w:sz="8" w:space="0" w:color="000000"/>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c>
          <w:tcPr>
            <w:tcW w:w="350" w:type="pct"/>
            <w:vMerge/>
            <w:tcBorders>
              <w:top w:val="single" w:sz="8" w:space="0" w:color="000000"/>
              <w:left w:val="single" w:sz="8" w:space="0" w:color="000000"/>
              <w:bottom w:val="single" w:sz="8" w:space="0" w:color="000000"/>
              <w:right w:val="single" w:sz="8" w:space="0" w:color="000000"/>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c>
          <w:tcPr>
            <w:tcW w:w="228" w:type="pct"/>
            <w:vMerge/>
            <w:tcBorders>
              <w:top w:val="single" w:sz="8" w:space="0" w:color="000000"/>
              <w:left w:val="single" w:sz="8" w:space="0" w:color="000000"/>
              <w:bottom w:val="single" w:sz="8" w:space="0" w:color="000000"/>
              <w:right w:val="single" w:sz="8" w:space="0" w:color="000000"/>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c>
          <w:tcPr>
            <w:tcW w:w="666" w:type="pct"/>
            <w:vMerge/>
            <w:tcBorders>
              <w:top w:val="single" w:sz="8" w:space="0" w:color="000000"/>
              <w:left w:val="single" w:sz="8" w:space="0" w:color="000000"/>
              <w:bottom w:val="single" w:sz="8" w:space="0" w:color="000000"/>
              <w:right w:val="single" w:sz="8" w:space="0" w:color="000000"/>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c>
          <w:tcPr>
            <w:tcW w:w="533" w:type="pct"/>
            <w:vMerge/>
            <w:tcBorders>
              <w:top w:val="single" w:sz="8" w:space="0" w:color="000000"/>
              <w:left w:val="single" w:sz="8" w:space="0" w:color="000000"/>
              <w:bottom w:val="single" w:sz="8" w:space="0" w:color="000000"/>
              <w:right w:val="single" w:sz="8" w:space="0" w:color="000000"/>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c>
          <w:tcPr>
            <w:tcW w:w="311" w:type="pct"/>
            <w:vMerge/>
            <w:tcBorders>
              <w:top w:val="single" w:sz="8" w:space="0" w:color="000000"/>
              <w:left w:val="single" w:sz="8" w:space="0" w:color="000000"/>
              <w:bottom w:val="single" w:sz="8" w:space="0" w:color="000000"/>
              <w:right w:val="single" w:sz="8" w:space="0" w:color="000000"/>
            </w:tcBorders>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p>
        </w:tc>
        <w:tc>
          <w:tcPr>
            <w:tcW w:w="489" w:type="pct"/>
            <w:vMerge/>
            <w:tcBorders>
              <w:top w:val="single" w:sz="8" w:space="0" w:color="000000"/>
              <w:left w:val="single" w:sz="8" w:space="0" w:color="000000"/>
              <w:bottom w:val="single" w:sz="8" w:space="0" w:color="000000"/>
              <w:right w:val="single" w:sz="8" w:space="0" w:color="000000"/>
            </w:tcBorders>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p>
        </w:tc>
        <w:tc>
          <w:tcPr>
            <w:tcW w:w="578" w:type="pct"/>
            <w:vMerge/>
            <w:tcBorders>
              <w:top w:val="single" w:sz="8" w:space="0" w:color="000000"/>
              <w:left w:val="single" w:sz="8" w:space="0" w:color="000000"/>
              <w:bottom w:val="single" w:sz="8" w:space="0" w:color="000000"/>
              <w:right w:val="nil"/>
            </w:tcBorders>
            <w:vAlign w:val="center"/>
            <w:hideMark/>
          </w:tcPr>
          <w:p w:rsidR="00BA0717" w:rsidRPr="006C537B" w:rsidRDefault="00BA0717" w:rsidP="008F3435">
            <w:pPr>
              <w:spacing w:after="0" w:line="240" w:lineRule="auto"/>
              <w:jc w:val="center"/>
              <w:rPr>
                <w:rFonts w:ascii="Times New Roman" w:eastAsia="Times New Roman" w:hAnsi="Times New Roman" w:cs="Times New Roman"/>
                <w:b/>
                <w:bCs/>
                <w:color w:val="000000"/>
                <w:sz w:val="16"/>
                <w:szCs w:val="16"/>
                <w:lang w:eastAsia="ru-RU"/>
              </w:rPr>
            </w:pPr>
          </w:p>
        </w:tc>
        <w:tc>
          <w:tcPr>
            <w:tcW w:w="178" w:type="pct"/>
            <w:vMerge/>
            <w:tcBorders>
              <w:top w:val="single" w:sz="4" w:space="0" w:color="auto"/>
              <w:left w:val="single" w:sz="4" w:space="0" w:color="auto"/>
              <w:bottom w:val="single" w:sz="4" w:space="0" w:color="auto"/>
              <w:right w:val="single" w:sz="4" w:space="0" w:color="auto"/>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BA0717" w:rsidRPr="006C537B" w:rsidRDefault="00BA0717" w:rsidP="008F3435">
            <w:pPr>
              <w:spacing w:after="0" w:line="240" w:lineRule="auto"/>
              <w:rPr>
                <w:rFonts w:ascii="Times New Roman" w:eastAsia="Times New Roman" w:hAnsi="Times New Roman" w:cs="Times New Roman"/>
                <w:b/>
                <w:bCs/>
                <w:color w:val="000000"/>
                <w:sz w:val="16"/>
                <w:szCs w:val="16"/>
                <w:lang w:eastAsia="ru-RU"/>
              </w:rPr>
            </w:pPr>
          </w:p>
        </w:tc>
      </w:tr>
      <w:tr w:rsidR="00BA0717" w:rsidRPr="006C537B" w:rsidTr="008F3435">
        <w:trPr>
          <w:trHeight w:val="402"/>
        </w:trPr>
        <w:tc>
          <w:tcPr>
            <w:tcW w:w="145"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513"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C50E6">
              <w:rPr>
                <w:rFonts w:ascii="Times New Roman" w:eastAsia="Times New Roman" w:hAnsi="Times New Roman" w:cs="Times New Roman"/>
                <w:color w:val="000000"/>
                <w:sz w:val="16"/>
                <w:szCs w:val="16"/>
                <w:lang w:eastAsia="ru-RU"/>
              </w:rPr>
              <w:t>Окрашивание по Романовскому ИВД, набор</w:t>
            </w:r>
          </w:p>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350"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21.20.23.110-00005714</w:t>
            </w:r>
            <w:r>
              <w:rPr>
                <w:rFonts w:ascii="Times New Roman" w:eastAsia="Times New Roman" w:hAnsi="Times New Roman" w:cs="Times New Roman"/>
                <w:color w:val="000000"/>
                <w:sz w:val="16"/>
                <w:szCs w:val="16"/>
                <w:lang w:eastAsia="ru-RU"/>
              </w:rPr>
              <w:t>*</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набор</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Количество выполняемых тестов</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1000</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Штука</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26</w:t>
            </w: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Назначение</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Для ручной постановки</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33129" w:rsidRPr="006C537B" w:rsidTr="008F3435">
        <w:trPr>
          <w:trHeight w:val="402"/>
        </w:trPr>
        <w:tc>
          <w:tcPr>
            <w:tcW w:w="145"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Окраска 6000-8000 препаратов в зависимости от разведения и метода окрашивания</w:t>
            </w:r>
          </w:p>
        </w:tc>
        <w:tc>
          <w:tcPr>
            <w:tcW w:w="533" w:type="pct"/>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489" w:type="pct"/>
            <w:vMerge w:val="restart"/>
            <w:tcBorders>
              <w:top w:val="single" w:sz="4" w:space="0" w:color="auto"/>
              <w:left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Количество исследований, проводимых с использованием данного реагента, определяет общий объем требуемый к поставке</w:t>
            </w:r>
          </w:p>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r>
      <w:tr w:rsidR="00B33129" w:rsidRPr="006C537B" w:rsidTr="008F3435">
        <w:trPr>
          <w:trHeight w:val="402"/>
        </w:trPr>
        <w:tc>
          <w:tcPr>
            <w:tcW w:w="145"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1 флакон</w:t>
            </w:r>
          </w:p>
        </w:tc>
        <w:tc>
          <w:tcPr>
            <w:tcW w:w="533" w:type="pct"/>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20</w:t>
            </w:r>
          </w:p>
        </w:tc>
        <w:tc>
          <w:tcPr>
            <w:tcW w:w="311" w:type="pct"/>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Кубический сантиметр;^миллилитр</w:t>
            </w:r>
          </w:p>
        </w:tc>
        <w:tc>
          <w:tcPr>
            <w:tcW w:w="489" w:type="pct"/>
            <w:vMerge/>
            <w:tcBorders>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r>
      <w:tr w:rsidR="00B33129" w:rsidRPr="006C537B" w:rsidTr="008F3435">
        <w:trPr>
          <w:trHeight w:val="402"/>
        </w:trPr>
        <w:tc>
          <w:tcPr>
            <w:tcW w:w="145" w:type="pct"/>
            <w:vMerge/>
            <w:tcBorders>
              <w:top w:val="single" w:sz="4" w:space="0" w:color="auto"/>
              <w:left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top w:val="single" w:sz="4" w:space="0" w:color="auto"/>
              <w:left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top w:val="single" w:sz="4" w:space="0" w:color="auto"/>
              <w:left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top w:val="single" w:sz="4" w:space="0" w:color="auto"/>
              <w:left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xml:space="preserve">Состав набора </w:t>
            </w:r>
          </w:p>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(Комплектация 3):</w:t>
            </w:r>
          </w:p>
        </w:tc>
        <w:tc>
          <w:tcPr>
            <w:tcW w:w="533" w:type="pct"/>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xml:space="preserve">- Краситель азур-эозин по Романовскому (Профессионал) - 1 флакон не менее 1 л. </w:t>
            </w:r>
          </w:p>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Диахим-Буфер Г - 1 флакон не менее 20 мл.</w:t>
            </w:r>
          </w:p>
        </w:tc>
        <w:tc>
          <w:tcPr>
            <w:tcW w:w="311" w:type="pct"/>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vMerge w:val="restart"/>
            <w:tcBorders>
              <w:top w:val="single" w:sz="4" w:space="0" w:color="auto"/>
              <w:left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В соответствии с особенностями проводимых исследований и четко проработанными раннее методиками, дающими гарантированный положительный результат исследования</w:t>
            </w:r>
          </w:p>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top w:val="single" w:sz="4" w:space="0" w:color="auto"/>
              <w:left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r>
      <w:tr w:rsidR="00B33129" w:rsidRPr="006C537B" w:rsidTr="008F3435">
        <w:trPr>
          <w:trHeight w:val="402"/>
        </w:trPr>
        <w:tc>
          <w:tcPr>
            <w:tcW w:w="145" w:type="pct"/>
            <w:vMerge/>
            <w:tcBorders>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Готовится разведением 20 мл в 20 литрах воды</w:t>
            </w:r>
          </w:p>
        </w:tc>
        <w:tc>
          <w:tcPr>
            <w:tcW w:w="533" w:type="pct"/>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vMerge/>
            <w:tcBorders>
              <w:left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r>
      <w:tr w:rsidR="00B33129" w:rsidRPr="006C537B" w:rsidTr="008F3435">
        <w:trPr>
          <w:trHeight w:val="402"/>
        </w:trPr>
        <w:tc>
          <w:tcPr>
            <w:tcW w:w="145"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Краситель по Романовскому используется для универсальной окраски препаратов крови, костного мозга, лимфоузлов, хромосом, выпотных жидкостей, малярии, цитологических, цитохимических и др. препаратов</w:t>
            </w:r>
          </w:p>
        </w:tc>
        <w:tc>
          <w:tcPr>
            <w:tcW w:w="533" w:type="pct"/>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vMerge/>
            <w:tcBorders>
              <w:left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r>
      <w:tr w:rsidR="00B33129" w:rsidRPr="006C537B" w:rsidTr="008F3435">
        <w:trPr>
          <w:trHeight w:val="402"/>
        </w:trPr>
        <w:tc>
          <w:tcPr>
            <w:tcW w:w="145"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Буфер для приготовления забуференной воды, необходимой для приготовления рабочих растворов красителей для гематологии (рН 6,8-7,2). Представляет собой смесь жидких реагентов: двузамещенного фосфата натрия и однозамещенного фосфата калия. Бесцветная, прозрачная жидкость, флакон из матового полиэтилена, с цветной крышкой.</w:t>
            </w:r>
          </w:p>
        </w:tc>
        <w:tc>
          <w:tcPr>
            <w:tcW w:w="533" w:type="pct"/>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vMerge/>
            <w:tcBorders>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B33129" w:rsidRPr="006C537B" w:rsidRDefault="00B33129"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w:t>
            </w:r>
          </w:p>
        </w:tc>
        <w:tc>
          <w:tcPr>
            <w:tcW w:w="513"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C50E6">
              <w:rPr>
                <w:rFonts w:ascii="Times New Roman" w:eastAsia="Times New Roman" w:hAnsi="Times New Roman" w:cs="Times New Roman"/>
                <w:color w:val="000000"/>
                <w:sz w:val="16"/>
                <w:szCs w:val="16"/>
                <w:lang w:eastAsia="ru-RU"/>
              </w:rPr>
              <w:t>Май-Грюнвальда красящий раствор ИВД</w:t>
            </w:r>
          </w:p>
        </w:tc>
        <w:tc>
          <w:tcPr>
            <w:tcW w:w="350"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21.20.23.110-00006612*</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w:t>
            </w:r>
          </w:p>
        </w:tc>
        <w:tc>
          <w:tcPr>
            <w:tcW w:w="666"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Объём реагентов</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1000</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Кубический сантиметр;^миллилитр</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32</w:t>
            </w: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Назначение</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Для ручной постановки</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73150F" w:rsidRPr="006C537B" w:rsidTr="00E8131F">
        <w:trPr>
          <w:trHeight w:val="402"/>
        </w:trPr>
        <w:tc>
          <w:tcPr>
            <w:tcW w:w="145"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Возможна фиксация 3000 препаратов и окраска 4000 препаратов:</w:t>
            </w:r>
          </w:p>
        </w:tc>
        <w:tc>
          <w:tcPr>
            <w:tcW w:w="533"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Наличие</w:t>
            </w:r>
          </w:p>
        </w:tc>
        <w:tc>
          <w:tcPr>
            <w:tcW w:w="311"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vMerge w:val="restart"/>
            <w:tcBorders>
              <w:top w:val="single" w:sz="4" w:space="0" w:color="auto"/>
              <w:left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В соответствии с особенностями проводимых исследований и четко проработанными раннее методиками, дающими гарантированный положительный результат исследования</w:t>
            </w:r>
          </w:p>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p>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r>
      <w:tr w:rsidR="0073150F" w:rsidRPr="006C537B" w:rsidTr="00E8131F">
        <w:trPr>
          <w:trHeight w:val="402"/>
        </w:trPr>
        <w:tc>
          <w:tcPr>
            <w:tcW w:w="145"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Готовится разведением 20 мл в 20 литрах воды</w:t>
            </w:r>
          </w:p>
        </w:tc>
        <w:tc>
          <w:tcPr>
            <w:tcW w:w="533"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vMerge/>
            <w:tcBorders>
              <w:left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r>
      <w:tr w:rsidR="0073150F" w:rsidRPr="006C537B" w:rsidTr="008F3435">
        <w:trPr>
          <w:trHeight w:val="402"/>
        </w:trPr>
        <w:tc>
          <w:tcPr>
            <w:tcW w:w="145" w:type="pct"/>
            <w:vMerge/>
            <w:tcBorders>
              <w:top w:val="single" w:sz="4" w:space="0" w:color="auto"/>
              <w:left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top w:val="single" w:sz="4" w:space="0" w:color="auto"/>
              <w:left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top w:val="single" w:sz="4" w:space="0" w:color="auto"/>
              <w:left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top w:val="single" w:sz="4" w:space="0" w:color="auto"/>
              <w:left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6" w:space="0" w:color="000000"/>
              <w:bottom w:val="single" w:sz="6" w:space="0" w:color="000000"/>
              <w:right w:val="single" w:sz="6" w:space="0" w:color="000000"/>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Фиксатор-краситель форменных элементов представляет собой раствор сухого красителя эозин метиленовый синий по Май-Грюнвальду в метаноле:</w:t>
            </w:r>
          </w:p>
        </w:tc>
        <w:tc>
          <w:tcPr>
            <w:tcW w:w="533" w:type="pct"/>
            <w:tcBorders>
              <w:top w:val="single" w:sz="4" w:space="0" w:color="auto"/>
              <w:left w:val="single" w:sz="6" w:space="0" w:color="000000"/>
              <w:bottom w:val="single" w:sz="6" w:space="0" w:color="000000"/>
              <w:right w:val="single" w:sz="6" w:space="0" w:color="000000"/>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Наличие.</w:t>
            </w:r>
          </w:p>
        </w:tc>
        <w:tc>
          <w:tcPr>
            <w:tcW w:w="311" w:type="pct"/>
            <w:tcBorders>
              <w:top w:val="single" w:sz="4" w:space="0" w:color="auto"/>
              <w:left w:val="single" w:sz="6" w:space="0" w:color="000000"/>
              <w:bottom w:val="single" w:sz="6" w:space="0" w:color="000000"/>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vMerge/>
            <w:tcBorders>
              <w:left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6" w:space="0" w:color="000000"/>
              <w:right w:val="single" w:sz="6" w:space="0" w:color="000000"/>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top w:val="single" w:sz="4" w:space="0" w:color="auto"/>
              <w:left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r>
      <w:tr w:rsidR="0073150F" w:rsidRPr="006C537B" w:rsidTr="008F3435">
        <w:trPr>
          <w:trHeight w:val="402"/>
        </w:trPr>
        <w:tc>
          <w:tcPr>
            <w:tcW w:w="145" w:type="pct"/>
            <w:vMerge/>
            <w:tcBorders>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nil"/>
              <w:left w:val="single" w:sz="6" w:space="0" w:color="000000"/>
              <w:bottom w:val="single" w:sz="4" w:space="0" w:color="auto"/>
              <w:right w:val="single" w:sz="6" w:space="0" w:color="000000"/>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Фиксация в течение 2-3 минут (кровь), 2-3 мин костный мозг, 1-2 мин другие биопрепараты:</w:t>
            </w:r>
          </w:p>
        </w:tc>
        <w:tc>
          <w:tcPr>
            <w:tcW w:w="533" w:type="pct"/>
            <w:tcBorders>
              <w:top w:val="nil"/>
              <w:left w:val="single" w:sz="6" w:space="0" w:color="000000"/>
              <w:bottom w:val="single" w:sz="4" w:space="0" w:color="auto"/>
              <w:right w:val="single" w:sz="6" w:space="0" w:color="000000"/>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Наличие</w:t>
            </w:r>
          </w:p>
        </w:tc>
        <w:tc>
          <w:tcPr>
            <w:tcW w:w="311" w:type="pct"/>
            <w:tcBorders>
              <w:top w:val="nil"/>
              <w:left w:val="single" w:sz="6" w:space="0" w:color="000000"/>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vMerge/>
            <w:tcBorders>
              <w:left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nil"/>
              <w:left w:val="single" w:sz="4" w:space="0" w:color="auto"/>
              <w:bottom w:val="single" w:sz="4" w:space="0" w:color="auto"/>
              <w:right w:val="single" w:sz="6" w:space="0" w:color="000000"/>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r>
      <w:tr w:rsidR="0073150F" w:rsidRPr="006C537B" w:rsidTr="008F3435">
        <w:trPr>
          <w:trHeight w:val="402"/>
        </w:trPr>
        <w:tc>
          <w:tcPr>
            <w:tcW w:w="145"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Возможно докрашивание рабочим раствором фиксатора, приготовленным из расчета 1:3 (фиксатор-забуференная вода) в течение 10-15 мин:</w:t>
            </w:r>
          </w:p>
        </w:tc>
        <w:tc>
          <w:tcPr>
            <w:tcW w:w="533"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Наличие</w:t>
            </w:r>
          </w:p>
        </w:tc>
        <w:tc>
          <w:tcPr>
            <w:tcW w:w="311"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vMerge/>
            <w:tcBorders>
              <w:left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r>
      <w:tr w:rsidR="0073150F" w:rsidRPr="006C537B" w:rsidTr="008F3435">
        <w:trPr>
          <w:trHeight w:val="402"/>
        </w:trPr>
        <w:tc>
          <w:tcPr>
            <w:tcW w:w="145"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Состав набора:</w:t>
            </w:r>
          </w:p>
        </w:tc>
        <w:tc>
          <w:tcPr>
            <w:tcW w:w="533"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Фиксатор-краситель эозин метиленовый синий по Май-Грюнвальду - 1 флакон (не менее 1 л); Буфер Г - 1 флакон (не менее 20мл.)</w:t>
            </w:r>
          </w:p>
        </w:tc>
        <w:tc>
          <w:tcPr>
            <w:tcW w:w="311"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vMerge/>
            <w:tcBorders>
              <w:left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r>
      <w:tr w:rsidR="0073150F" w:rsidRPr="006C537B" w:rsidTr="008F3435">
        <w:trPr>
          <w:trHeight w:val="402"/>
        </w:trPr>
        <w:tc>
          <w:tcPr>
            <w:tcW w:w="145"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Буфер для приготовления забуференной воды, представляет собой смесь жидких реагентов: двузамещенного фосфата натрия и однозамещенного фосфата калия</w:t>
            </w:r>
          </w:p>
        </w:tc>
        <w:tc>
          <w:tcPr>
            <w:tcW w:w="533"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vMerge/>
            <w:tcBorders>
              <w:left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r>
      <w:tr w:rsidR="0073150F" w:rsidRPr="006C537B" w:rsidTr="008F3435">
        <w:trPr>
          <w:trHeight w:val="402"/>
        </w:trPr>
        <w:tc>
          <w:tcPr>
            <w:tcW w:w="145" w:type="pct"/>
            <w:vMerge/>
            <w:tcBorders>
              <w:top w:val="single" w:sz="4" w:space="0" w:color="auto"/>
              <w:left w:val="single" w:sz="4" w:space="0" w:color="auto"/>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top w:val="single" w:sz="4" w:space="0" w:color="auto"/>
              <w:left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top w:val="single" w:sz="4" w:space="0" w:color="auto"/>
              <w:left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top w:val="single" w:sz="4" w:space="0" w:color="auto"/>
              <w:left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6" w:space="0" w:color="000000"/>
              <w:bottom w:val="single" w:sz="6" w:space="0" w:color="000000"/>
              <w:right w:val="single" w:sz="6" w:space="0" w:color="000000"/>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Бесцветная, прозрачная жидкость, флакон из матового полиэтилена, с цветной крышкой.</w:t>
            </w:r>
          </w:p>
        </w:tc>
        <w:tc>
          <w:tcPr>
            <w:tcW w:w="533" w:type="pct"/>
            <w:tcBorders>
              <w:top w:val="single" w:sz="4" w:space="0" w:color="auto"/>
              <w:left w:val="single" w:sz="6" w:space="0" w:color="000000"/>
              <w:bottom w:val="single" w:sz="6" w:space="0" w:color="000000"/>
              <w:right w:val="single" w:sz="6" w:space="0" w:color="000000"/>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6" w:space="0" w:color="000000"/>
              <w:bottom w:val="single" w:sz="6" w:space="0" w:color="000000"/>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vMerge/>
            <w:tcBorders>
              <w:left w:val="single" w:sz="4" w:space="0" w:color="auto"/>
              <w:bottom w:val="single" w:sz="6" w:space="0" w:color="000000"/>
              <w:right w:val="single" w:sz="4" w:space="0" w:color="auto"/>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6" w:space="0" w:color="000000"/>
              <w:right w:val="single" w:sz="6" w:space="0" w:color="000000"/>
            </w:tcBorders>
            <w:vAlign w:val="center"/>
          </w:tcPr>
          <w:p w:rsidR="0073150F" w:rsidRPr="006C537B" w:rsidRDefault="0073150F"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top w:val="single" w:sz="4" w:space="0" w:color="auto"/>
              <w:left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right w:val="single" w:sz="4" w:space="0" w:color="auto"/>
            </w:tcBorders>
            <w:vAlign w:val="center"/>
          </w:tcPr>
          <w:p w:rsidR="0073150F" w:rsidRPr="006C537B" w:rsidRDefault="0073150F"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nil"/>
              <w:left w:val="single" w:sz="6" w:space="0" w:color="000000"/>
              <w:bottom w:val="single" w:sz="4" w:space="0" w:color="auto"/>
              <w:right w:val="single" w:sz="6" w:space="0" w:color="000000"/>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1 флакон</w:t>
            </w:r>
          </w:p>
        </w:tc>
        <w:tc>
          <w:tcPr>
            <w:tcW w:w="533" w:type="pct"/>
            <w:tcBorders>
              <w:top w:val="nil"/>
              <w:left w:val="single" w:sz="6" w:space="0" w:color="000000"/>
              <w:bottom w:val="single" w:sz="4" w:space="0" w:color="auto"/>
              <w:right w:val="single" w:sz="6" w:space="0" w:color="000000"/>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20</w:t>
            </w:r>
          </w:p>
        </w:tc>
        <w:tc>
          <w:tcPr>
            <w:tcW w:w="311" w:type="pct"/>
            <w:tcBorders>
              <w:top w:val="nil"/>
              <w:left w:val="single" w:sz="6" w:space="0" w:color="000000"/>
              <w:bottom w:val="single" w:sz="4" w:space="0" w:color="auto"/>
              <w:right w:val="single" w:sz="6" w:space="0" w:color="000000"/>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Кубический сантиметр;^миллилитр</w:t>
            </w:r>
          </w:p>
        </w:tc>
        <w:tc>
          <w:tcPr>
            <w:tcW w:w="489" w:type="pct"/>
            <w:tcBorders>
              <w:top w:val="nil"/>
              <w:left w:val="single" w:sz="6" w:space="0" w:color="000000"/>
              <w:bottom w:val="single" w:sz="4" w:space="0" w:color="auto"/>
              <w:right w:val="single" w:sz="6" w:space="0" w:color="000000"/>
            </w:tcBorders>
            <w:vAlign w:val="center"/>
          </w:tcPr>
          <w:p w:rsidR="00BA0717" w:rsidRPr="006C537B" w:rsidRDefault="008F3435"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Количество исследований, проводимых с использованием данного антитела, определяет общий объем требуемого к поставке реактива</w:t>
            </w:r>
          </w:p>
        </w:tc>
        <w:tc>
          <w:tcPr>
            <w:tcW w:w="578" w:type="pct"/>
            <w:tcBorders>
              <w:top w:val="nil"/>
              <w:left w:val="single" w:sz="6" w:space="0" w:color="000000"/>
              <w:bottom w:val="single" w:sz="4" w:space="0" w:color="auto"/>
              <w:right w:val="single" w:sz="6" w:space="0" w:color="000000"/>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3</w:t>
            </w:r>
          </w:p>
        </w:tc>
        <w:tc>
          <w:tcPr>
            <w:tcW w:w="513"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C50E6">
              <w:rPr>
                <w:rFonts w:ascii="Times New Roman" w:eastAsia="Times New Roman" w:hAnsi="Times New Roman" w:cs="Times New Roman"/>
                <w:color w:val="000000"/>
                <w:sz w:val="16"/>
                <w:szCs w:val="16"/>
                <w:lang w:eastAsia="ru-RU"/>
              </w:rPr>
              <w:t>Лейшмана красящий раствор ИВД.</w:t>
            </w:r>
          </w:p>
        </w:tc>
        <w:tc>
          <w:tcPr>
            <w:tcW w:w="350"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21.20.23.110-00006647</w:t>
            </w:r>
            <w:r>
              <w:rPr>
                <w:rFonts w:ascii="Times New Roman" w:eastAsia="Times New Roman" w:hAnsi="Times New Roman" w:cs="Times New Roman"/>
                <w:color w:val="000000"/>
                <w:sz w:val="16"/>
                <w:szCs w:val="16"/>
                <w:lang w:eastAsia="ru-RU"/>
              </w:rPr>
              <w:t>*</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упак</w:t>
            </w:r>
          </w:p>
        </w:tc>
        <w:tc>
          <w:tcPr>
            <w:tcW w:w="666"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Объем реагента</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1000</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Кубический сантиметр;^миллилитр</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val="en-US" w:eastAsia="ru-RU"/>
              </w:rPr>
            </w:pPr>
            <w:r w:rsidRPr="006C537B">
              <w:rPr>
                <w:rFonts w:ascii="Times New Roman" w:eastAsia="Times New Roman" w:hAnsi="Times New Roman" w:cs="Times New Roman"/>
                <w:color w:val="000000"/>
                <w:sz w:val="16"/>
                <w:szCs w:val="16"/>
                <w:lang w:val="en-US"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4</w:t>
            </w: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FF0A6B" w:rsidRPr="006C537B" w:rsidTr="00BB0588">
        <w:trPr>
          <w:trHeight w:val="402"/>
        </w:trPr>
        <w:tc>
          <w:tcPr>
            <w:tcW w:w="145" w:type="pct"/>
            <w:vMerge/>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Для приготовления рабочего раствора фиксатора-красителя необходимо использование забуференной воды (рН 6,8 - 7,2).</w:t>
            </w:r>
          </w:p>
        </w:tc>
        <w:tc>
          <w:tcPr>
            <w:tcW w:w="533" w:type="pct"/>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jc w:val="center"/>
              <w:rPr>
                <w:rFonts w:ascii="Times New Roman" w:eastAsia="Times New Roman" w:hAnsi="Times New Roman" w:cs="Times New Roman"/>
                <w:color w:val="000000"/>
                <w:sz w:val="16"/>
                <w:szCs w:val="16"/>
                <w:lang w:val="en-US" w:eastAsia="ru-RU"/>
              </w:rPr>
            </w:pPr>
            <w:r w:rsidRPr="006C537B">
              <w:rPr>
                <w:rFonts w:ascii="Times New Roman" w:eastAsia="Times New Roman" w:hAnsi="Times New Roman" w:cs="Times New Roman"/>
                <w:color w:val="000000"/>
                <w:sz w:val="16"/>
                <w:szCs w:val="16"/>
                <w:lang w:val="en-US" w:eastAsia="ru-RU"/>
              </w:rPr>
              <w:t>-</w:t>
            </w:r>
          </w:p>
        </w:tc>
        <w:tc>
          <w:tcPr>
            <w:tcW w:w="489" w:type="pct"/>
            <w:vMerge w:val="restart"/>
            <w:tcBorders>
              <w:top w:val="single" w:sz="4" w:space="0" w:color="auto"/>
              <w:left w:val="single" w:sz="4" w:space="0" w:color="auto"/>
              <w:right w:val="single" w:sz="4" w:space="0" w:color="auto"/>
            </w:tcBorders>
            <w:vAlign w:val="center"/>
          </w:tcPr>
          <w:p w:rsidR="00FF0A6B" w:rsidRPr="00FF0A6B" w:rsidRDefault="00FF0A6B" w:rsidP="008F3435">
            <w:pPr>
              <w:spacing w:after="0" w:line="240" w:lineRule="auto"/>
              <w:jc w:val="center"/>
              <w:rPr>
                <w:rFonts w:ascii="Times New Roman" w:eastAsia="Times New Roman" w:hAnsi="Times New Roman" w:cs="Times New Roman"/>
                <w:color w:val="000000"/>
                <w:sz w:val="16"/>
                <w:szCs w:val="16"/>
                <w:lang w:eastAsia="ru-RU"/>
              </w:rPr>
            </w:pPr>
            <w:r w:rsidRPr="00FF0A6B">
              <w:rPr>
                <w:rFonts w:ascii="Times New Roman" w:eastAsia="Times New Roman" w:hAnsi="Times New Roman" w:cs="Times New Roman"/>
                <w:sz w:val="16"/>
                <w:szCs w:val="16"/>
              </w:rPr>
              <w:t>В соответствии с особенностями проводимых исследований и четко проработанными раннее методиками, дающими гарантированный положительный результат исследования</w:t>
            </w:r>
          </w:p>
          <w:p w:rsidR="00FF0A6B" w:rsidRPr="00FF0A6B" w:rsidRDefault="00FF0A6B"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r>
      <w:tr w:rsidR="00FF0A6B" w:rsidRPr="006C537B" w:rsidTr="00BB0588">
        <w:trPr>
          <w:trHeight w:val="402"/>
        </w:trPr>
        <w:tc>
          <w:tcPr>
            <w:tcW w:w="145" w:type="pct"/>
            <w:vMerge/>
            <w:tcBorders>
              <w:top w:val="single" w:sz="4" w:space="0" w:color="auto"/>
              <w:left w:val="single" w:sz="4" w:space="0" w:color="auto"/>
              <w:right w:val="single" w:sz="4" w:space="0" w:color="auto"/>
            </w:tcBorders>
            <w:vAlign w:val="center"/>
          </w:tcPr>
          <w:p w:rsidR="00FF0A6B" w:rsidRPr="006C537B" w:rsidRDefault="00FF0A6B"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top w:val="single" w:sz="4" w:space="0" w:color="auto"/>
              <w:left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top w:val="single" w:sz="4" w:space="0" w:color="auto"/>
              <w:left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top w:val="single" w:sz="4" w:space="0" w:color="auto"/>
              <w:left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6" w:space="0" w:color="000000"/>
              <w:bottom w:val="single" w:sz="6" w:space="0" w:color="000000"/>
              <w:right w:val="single" w:sz="6" w:space="0" w:color="000000"/>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Предназначен для применения в качестве фиксатора мазков и красителя форменных элементов крови, для дифференциации клеточных структур в клиническом образце при микроскопическом исследовании; в качестве фиксатора мазков для дальнейшего окрашивания по методу Романовского.</w:t>
            </w:r>
          </w:p>
        </w:tc>
        <w:tc>
          <w:tcPr>
            <w:tcW w:w="533" w:type="pct"/>
            <w:tcBorders>
              <w:top w:val="single" w:sz="4" w:space="0" w:color="auto"/>
              <w:left w:val="single" w:sz="6" w:space="0" w:color="000000"/>
              <w:bottom w:val="single" w:sz="6" w:space="0" w:color="000000"/>
              <w:right w:val="single" w:sz="6" w:space="0" w:color="000000"/>
            </w:tcBorders>
            <w:vAlign w:val="center"/>
          </w:tcPr>
          <w:p w:rsidR="00FF0A6B" w:rsidRPr="006C537B" w:rsidRDefault="00FF0A6B"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6" w:space="0" w:color="000000"/>
              <w:bottom w:val="single" w:sz="6" w:space="0" w:color="000000"/>
              <w:right w:val="single" w:sz="4" w:space="0" w:color="auto"/>
            </w:tcBorders>
            <w:vAlign w:val="center"/>
          </w:tcPr>
          <w:p w:rsidR="00FF0A6B" w:rsidRPr="006C537B" w:rsidRDefault="00FF0A6B" w:rsidP="008F3435">
            <w:pPr>
              <w:spacing w:after="0" w:line="240" w:lineRule="auto"/>
              <w:jc w:val="center"/>
              <w:rPr>
                <w:rFonts w:ascii="Times New Roman" w:eastAsia="Times New Roman" w:hAnsi="Times New Roman" w:cs="Times New Roman"/>
                <w:color w:val="000000"/>
                <w:sz w:val="16"/>
                <w:szCs w:val="16"/>
                <w:lang w:val="en-US" w:eastAsia="ru-RU"/>
              </w:rPr>
            </w:pPr>
            <w:r w:rsidRPr="006C537B">
              <w:rPr>
                <w:rFonts w:ascii="Times New Roman" w:eastAsia="Times New Roman" w:hAnsi="Times New Roman" w:cs="Times New Roman"/>
                <w:color w:val="000000"/>
                <w:sz w:val="16"/>
                <w:szCs w:val="16"/>
                <w:lang w:val="en-US" w:eastAsia="ru-RU"/>
              </w:rPr>
              <w:t>-</w:t>
            </w:r>
          </w:p>
        </w:tc>
        <w:tc>
          <w:tcPr>
            <w:tcW w:w="489" w:type="pct"/>
            <w:vMerge/>
            <w:tcBorders>
              <w:left w:val="single" w:sz="4" w:space="0" w:color="auto"/>
              <w:bottom w:val="single" w:sz="6" w:space="0" w:color="000000"/>
              <w:right w:val="single" w:sz="4" w:space="0" w:color="auto"/>
            </w:tcBorders>
            <w:vAlign w:val="center"/>
          </w:tcPr>
          <w:p w:rsidR="00FF0A6B" w:rsidRPr="00FF0A6B" w:rsidRDefault="00FF0A6B" w:rsidP="008F3435">
            <w:pPr>
              <w:spacing w:after="0" w:line="240" w:lineRule="auto"/>
              <w:jc w:val="center"/>
              <w:rPr>
                <w:rFonts w:ascii="Times New Roman" w:eastAsia="Times New Roman" w:hAnsi="Times New Roman" w:cs="Times New Roman"/>
                <w:color w:val="000000"/>
                <w:sz w:val="16"/>
                <w:szCs w:val="16"/>
                <w:lang w:val="en-US" w:eastAsia="ru-RU"/>
              </w:rPr>
            </w:pPr>
          </w:p>
        </w:tc>
        <w:tc>
          <w:tcPr>
            <w:tcW w:w="578" w:type="pct"/>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top w:val="single" w:sz="4" w:space="0" w:color="auto"/>
              <w:left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nil"/>
              <w:left w:val="single" w:sz="6" w:space="0" w:color="000000"/>
              <w:bottom w:val="single" w:sz="6" w:space="0" w:color="000000"/>
              <w:right w:val="single" w:sz="6" w:space="0" w:color="000000"/>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Готовится разведением 20 мл в 20 литрах воды (1:1000)</w:t>
            </w:r>
          </w:p>
        </w:tc>
        <w:tc>
          <w:tcPr>
            <w:tcW w:w="533" w:type="pct"/>
            <w:tcBorders>
              <w:top w:val="nil"/>
              <w:left w:val="single" w:sz="6" w:space="0" w:color="000000"/>
              <w:bottom w:val="single" w:sz="6" w:space="0" w:color="000000"/>
              <w:right w:val="single" w:sz="6" w:space="0" w:color="000000"/>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11" w:type="pct"/>
            <w:tcBorders>
              <w:top w:val="nil"/>
              <w:left w:val="single" w:sz="6" w:space="0" w:color="000000"/>
              <w:bottom w:val="single" w:sz="6" w:space="0" w:color="000000"/>
              <w:right w:val="single" w:sz="6" w:space="0" w:color="000000"/>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val="en-US" w:eastAsia="ru-RU"/>
              </w:rPr>
            </w:pPr>
            <w:r w:rsidRPr="006C537B">
              <w:rPr>
                <w:rFonts w:ascii="Times New Roman" w:eastAsia="Times New Roman" w:hAnsi="Times New Roman" w:cs="Times New Roman"/>
                <w:color w:val="000000"/>
                <w:sz w:val="16"/>
                <w:szCs w:val="16"/>
                <w:lang w:val="en-US" w:eastAsia="ru-RU"/>
              </w:rPr>
              <w:t>-</w:t>
            </w:r>
          </w:p>
        </w:tc>
        <w:tc>
          <w:tcPr>
            <w:tcW w:w="489" w:type="pct"/>
            <w:tcBorders>
              <w:top w:val="nil"/>
              <w:left w:val="single" w:sz="6" w:space="0" w:color="000000"/>
              <w:bottom w:val="single" w:sz="6" w:space="0" w:color="000000"/>
              <w:right w:val="single" w:sz="6" w:space="0" w:color="000000"/>
            </w:tcBorders>
            <w:vAlign w:val="center"/>
          </w:tcPr>
          <w:p w:rsidR="00BA0717" w:rsidRPr="00FF0A6B" w:rsidRDefault="00FF0A6B" w:rsidP="008F3435">
            <w:pPr>
              <w:spacing w:after="0" w:line="240" w:lineRule="auto"/>
              <w:jc w:val="center"/>
              <w:rPr>
                <w:rFonts w:ascii="Times New Roman" w:eastAsia="Times New Roman" w:hAnsi="Times New Roman" w:cs="Times New Roman"/>
                <w:color w:val="000000"/>
                <w:sz w:val="16"/>
                <w:szCs w:val="16"/>
                <w:lang w:eastAsia="ru-RU"/>
              </w:rPr>
            </w:pPr>
            <w:r w:rsidRPr="00FF0A6B">
              <w:rPr>
                <w:rFonts w:ascii="Times New Roman" w:eastAsia="Times New Roman" w:hAnsi="Times New Roman" w:cs="Times New Roman"/>
                <w:sz w:val="16"/>
                <w:szCs w:val="16"/>
              </w:rPr>
              <w:t>Количество исследований, проводимых с использованием данного антитела, определяет общий объем требуемого к поставке реактива</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FF0A6B" w:rsidRPr="006C537B" w:rsidTr="00932A3E">
        <w:trPr>
          <w:trHeight w:val="402"/>
        </w:trPr>
        <w:tc>
          <w:tcPr>
            <w:tcW w:w="145" w:type="pct"/>
            <w:vMerge/>
            <w:tcBorders>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nil"/>
              <w:left w:val="single" w:sz="6" w:space="0" w:color="000000"/>
              <w:bottom w:val="single" w:sz="4" w:space="0" w:color="auto"/>
              <w:right w:val="single" w:sz="6" w:space="0" w:color="000000"/>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Состав набора:</w:t>
            </w:r>
          </w:p>
        </w:tc>
        <w:tc>
          <w:tcPr>
            <w:tcW w:w="533" w:type="pct"/>
            <w:tcBorders>
              <w:top w:val="nil"/>
              <w:left w:val="single" w:sz="6" w:space="0" w:color="000000"/>
              <w:bottom w:val="single" w:sz="4" w:space="0" w:color="auto"/>
              <w:right w:val="single" w:sz="6" w:space="0" w:color="000000"/>
            </w:tcBorders>
            <w:vAlign w:val="center"/>
          </w:tcPr>
          <w:p w:rsidR="00FF0A6B" w:rsidRPr="006C537B" w:rsidRDefault="00FF0A6B"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Фиксатор-краситель эозин метиленовый синий типа Лейшмана - 1 флакон (не менее 1 л), Буфер Г - 1 флакон (не менее 20 мл)</w:t>
            </w:r>
          </w:p>
        </w:tc>
        <w:tc>
          <w:tcPr>
            <w:tcW w:w="311" w:type="pct"/>
            <w:tcBorders>
              <w:top w:val="nil"/>
              <w:left w:val="single" w:sz="6" w:space="0" w:color="000000"/>
              <w:bottom w:val="single" w:sz="4" w:space="0" w:color="auto"/>
              <w:right w:val="single" w:sz="6" w:space="0" w:color="000000"/>
            </w:tcBorders>
            <w:vAlign w:val="center"/>
          </w:tcPr>
          <w:p w:rsidR="00FF0A6B" w:rsidRPr="006C537B" w:rsidRDefault="00FF0A6B" w:rsidP="008F3435">
            <w:pPr>
              <w:spacing w:after="0" w:line="240" w:lineRule="auto"/>
              <w:jc w:val="center"/>
              <w:rPr>
                <w:rFonts w:ascii="Times New Roman" w:eastAsia="Times New Roman" w:hAnsi="Times New Roman" w:cs="Times New Roman"/>
                <w:color w:val="000000"/>
                <w:sz w:val="16"/>
                <w:szCs w:val="16"/>
                <w:lang w:val="en-US" w:eastAsia="ru-RU"/>
              </w:rPr>
            </w:pPr>
            <w:r w:rsidRPr="006C537B">
              <w:rPr>
                <w:rFonts w:ascii="Times New Roman" w:eastAsia="Times New Roman" w:hAnsi="Times New Roman" w:cs="Times New Roman"/>
                <w:color w:val="000000"/>
                <w:sz w:val="16"/>
                <w:szCs w:val="16"/>
                <w:lang w:val="en-US" w:eastAsia="ru-RU"/>
              </w:rPr>
              <w:t>-</w:t>
            </w:r>
          </w:p>
        </w:tc>
        <w:tc>
          <w:tcPr>
            <w:tcW w:w="489" w:type="pct"/>
            <w:vMerge w:val="restart"/>
            <w:tcBorders>
              <w:top w:val="nil"/>
              <w:left w:val="single" w:sz="6" w:space="0" w:color="000000"/>
              <w:right w:val="single" w:sz="6" w:space="0" w:color="000000"/>
            </w:tcBorders>
            <w:vAlign w:val="center"/>
          </w:tcPr>
          <w:p w:rsidR="00FF0A6B" w:rsidRPr="00FF0A6B" w:rsidRDefault="00FF0A6B" w:rsidP="008F3435">
            <w:pPr>
              <w:spacing w:after="0" w:line="240" w:lineRule="auto"/>
              <w:jc w:val="center"/>
              <w:rPr>
                <w:rFonts w:ascii="Times New Roman" w:eastAsia="Times New Roman" w:hAnsi="Times New Roman" w:cs="Times New Roman"/>
                <w:color w:val="000000"/>
                <w:sz w:val="16"/>
                <w:szCs w:val="16"/>
                <w:lang w:eastAsia="ru-RU"/>
              </w:rPr>
            </w:pPr>
            <w:r w:rsidRPr="00FF0A6B">
              <w:rPr>
                <w:rFonts w:ascii="Times New Roman" w:eastAsia="Times New Roman" w:hAnsi="Times New Roman" w:cs="Times New Roman"/>
                <w:sz w:val="16"/>
                <w:szCs w:val="16"/>
              </w:rPr>
              <w:t>B соответствии с особенностями проводимых исследований и четко проработанными раннее методиками, дающими гарантированный положительный результат исследования, необходим именно этот состав</w:t>
            </w:r>
          </w:p>
          <w:p w:rsidR="00FF0A6B" w:rsidRPr="00FF0A6B" w:rsidRDefault="00FF0A6B"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r>
      <w:tr w:rsidR="00FF0A6B" w:rsidRPr="006C537B" w:rsidTr="00932A3E">
        <w:trPr>
          <w:trHeight w:val="402"/>
        </w:trPr>
        <w:tc>
          <w:tcPr>
            <w:tcW w:w="145" w:type="pct"/>
            <w:vMerge/>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Буфер для приготовления забуференной воды, представляет собой смесь жидких реагентов: двузамещенного фосфата натрия и однозамещенного фосфата калия. Бесцветная, прозрачная жидкость, флакон из матового полиэтилена, с цветной крышкой</w:t>
            </w:r>
          </w:p>
        </w:tc>
        <w:tc>
          <w:tcPr>
            <w:tcW w:w="533" w:type="pct"/>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6" w:space="0" w:color="000000"/>
            </w:tcBorders>
            <w:vAlign w:val="center"/>
          </w:tcPr>
          <w:p w:rsidR="00FF0A6B" w:rsidRPr="006C537B" w:rsidRDefault="00FF0A6B" w:rsidP="008F3435">
            <w:pPr>
              <w:spacing w:after="0" w:line="240" w:lineRule="auto"/>
              <w:jc w:val="center"/>
              <w:rPr>
                <w:rFonts w:ascii="Times New Roman" w:eastAsia="Times New Roman" w:hAnsi="Times New Roman" w:cs="Times New Roman"/>
                <w:color w:val="000000"/>
                <w:sz w:val="16"/>
                <w:szCs w:val="16"/>
                <w:lang w:val="en-US" w:eastAsia="ru-RU"/>
              </w:rPr>
            </w:pPr>
            <w:r w:rsidRPr="006C537B">
              <w:rPr>
                <w:rFonts w:ascii="Times New Roman" w:eastAsia="Times New Roman" w:hAnsi="Times New Roman" w:cs="Times New Roman"/>
                <w:color w:val="000000"/>
                <w:sz w:val="16"/>
                <w:szCs w:val="16"/>
                <w:lang w:val="en-US" w:eastAsia="ru-RU"/>
              </w:rPr>
              <w:t>-</w:t>
            </w:r>
          </w:p>
        </w:tc>
        <w:tc>
          <w:tcPr>
            <w:tcW w:w="489" w:type="pct"/>
            <w:vMerge/>
            <w:tcBorders>
              <w:left w:val="single" w:sz="6" w:space="0" w:color="000000"/>
              <w:bottom w:val="single" w:sz="4" w:space="0" w:color="auto"/>
              <w:right w:val="single" w:sz="6" w:space="0" w:color="000000"/>
            </w:tcBorders>
            <w:vAlign w:val="center"/>
          </w:tcPr>
          <w:p w:rsidR="00FF0A6B" w:rsidRPr="006C537B" w:rsidRDefault="00FF0A6B" w:rsidP="008F3435">
            <w:pPr>
              <w:spacing w:after="0" w:line="240" w:lineRule="auto"/>
              <w:jc w:val="center"/>
              <w:rPr>
                <w:rFonts w:ascii="Times New Roman" w:eastAsia="Times New Roman" w:hAnsi="Times New Roman" w:cs="Times New Roman"/>
                <w:color w:val="000000"/>
                <w:sz w:val="16"/>
                <w:szCs w:val="16"/>
                <w:lang w:val="en-US" w:eastAsia="ru-RU"/>
              </w:rPr>
            </w:pPr>
          </w:p>
        </w:tc>
        <w:tc>
          <w:tcPr>
            <w:tcW w:w="578" w:type="pct"/>
            <w:tcBorders>
              <w:top w:val="single" w:sz="4" w:space="0" w:color="auto"/>
              <w:left w:val="single" w:sz="6" w:space="0" w:color="000000"/>
              <w:bottom w:val="single" w:sz="4" w:space="0" w:color="auto"/>
              <w:right w:val="single" w:sz="4" w:space="0" w:color="auto"/>
            </w:tcBorders>
            <w:vAlign w:val="center"/>
          </w:tcPr>
          <w:p w:rsidR="00FF0A6B" w:rsidRPr="006C537B" w:rsidRDefault="00FF0A6B"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FF0A6B" w:rsidRPr="006C537B" w:rsidRDefault="00FF0A6B"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val="restart"/>
            <w:tcBorders>
              <w:top w:val="single" w:sz="4" w:space="0" w:color="auto"/>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val="en-US" w:eastAsia="ru-RU"/>
              </w:rPr>
            </w:pPr>
            <w:r w:rsidRPr="006C537B">
              <w:rPr>
                <w:rFonts w:ascii="Times New Roman" w:eastAsia="Times New Roman" w:hAnsi="Times New Roman" w:cs="Times New Roman"/>
                <w:color w:val="000000"/>
                <w:sz w:val="16"/>
                <w:szCs w:val="16"/>
                <w:lang w:val="en-US" w:eastAsia="ru-RU"/>
              </w:rPr>
              <w:t>4</w:t>
            </w:r>
          </w:p>
        </w:tc>
        <w:tc>
          <w:tcPr>
            <w:tcW w:w="513" w:type="pct"/>
            <w:vMerge w:val="restart"/>
            <w:tcBorders>
              <w:top w:val="single" w:sz="4" w:space="0" w:color="auto"/>
              <w:left w:val="single" w:sz="4" w:space="0" w:color="auto"/>
              <w:right w:val="single" w:sz="4" w:space="0" w:color="auto"/>
            </w:tcBorders>
            <w:vAlign w:val="center"/>
          </w:tcPr>
          <w:p w:rsidR="00BA0717" w:rsidRPr="00BC50E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C50E6">
              <w:rPr>
                <w:rFonts w:ascii="Times New Roman" w:eastAsia="Times New Roman" w:hAnsi="Times New Roman" w:cs="Times New Roman"/>
                <w:color w:val="000000"/>
                <w:sz w:val="16"/>
                <w:szCs w:val="16"/>
                <w:lang w:eastAsia="ru-RU"/>
              </w:rPr>
              <w:t>Набор реагентов для цитохимического определения сидеробластов и сидероцитов</w:t>
            </w:r>
          </w:p>
        </w:tc>
        <w:tc>
          <w:tcPr>
            <w:tcW w:w="350" w:type="pct"/>
            <w:vMerge w:val="restart"/>
            <w:tcBorders>
              <w:top w:val="single" w:sz="4" w:space="0" w:color="auto"/>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21.20.23.110</w:t>
            </w:r>
          </w:p>
        </w:tc>
        <w:tc>
          <w:tcPr>
            <w:tcW w:w="228" w:type="pct"/>
            <w:vMerge w:val="restart"/>
            <w:tcBorders>
              <w:top w:val="single" w:sz="4" w:space="0" w:color="auto"/>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набор</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Набор реагентов для цитохимического определения сидеробластов и сидероцитов в клетках эритроидного ряда.</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val="restart"/>
            <w:tcBorders>
              <w:top w:val="single" w:sz="4" w:space="0" w:color="auto"/>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w:t>
            </w:r>
          </w:p>
        </w:tc>
        <w:tc>
          <w:tcPr>
            <w:tcW w:w="267" w:type="pct"/>
            <w:vMerge w:val="restart"/>
            <w:tcBorders>
              <w:top w:val="single" w:sz="4" w:space="0" w:color="auto"/>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val="restart"/>
            <w:tcBorders>
              <w:top w:val="single" w:sz="4" w:space="0" w:color="auto"/>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val="restart"/>
            <w:tcBorders>
              <w:top w:val="single" w:sz="4" w:space="0" w:color="auto"/>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val="restart"/>
            <w:tcBorders>
              <w:top w:val="single" w:sz="4" w:space="0" w:color="auto"/>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BC50E6"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Количество определений:</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100</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bottom w:val="single" w:sz="4" w:space="0" w:color="auto"/>
              <w:right w:val="single" w:sz="4" w:space="0" w:color="auto"/>
            </w:tcBorders>
            <w:vAlign w:val="center"/>
          </w:tcPr>
          <w:p w:rsidR="00BA0717" w:rsidRPr="00BC50E6"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350"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22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Состав набора:</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реактив для фиксации мазков – 1 флакон не менее 100 мл, раствор хлористоводородной кислоты - 1 флакон не менее 8,2мл, раствор желтой кровяной соли - 3 флакона по не менее 10 мл, раствор сафранина - 1 флакон не менее 100 мл.</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5</w:t>
            </w:r>
          </w:p>
        </w:tc>
        <w:tc>
          <w:tcPr>
            <w:tcW w:w="513" w:type="pct"/>
            <w:vMerge w:val="restart"/>
            <w:tcBorders>
              <w:top w:val="single" w:sz="4" w:space="0" w:color="auto"/>
              <w:left w:val="single" w:sz="4" w:space="0" w:color="auto"/>
              <w:bottom w:val="single" w:sz="4" w:space="0" w:color="auto"/>
              <w:right w:val="single" w:sz="4" w:space="0" w:color="auto"/>
            </w:tcBorders>
            <w:vAlign w:val="center"/>
          </w:tcPr>
          <w:p w:rsidR="00BA0717" w:rsidRPr="00BC50E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C50E6">
              <w:rPr>
                <w:rFonts w:ascii="Times New Roman" w:eastAsia="Times New Roman" w:hAnsi="Times New Roman" w:cs="Times New Roman"/>
                <w:color w:val="000000"/>
                <w:sz w:val="16"/>
                <w:szCs w:val="16"/>
                <w:lang w:eastAsia="ru-RU"/>
              </w:rPr>
              <w:t>Набор реагентов для быстрого дифференцированного окрашивания биопрепаратов</w:t>
            </w:r>
          </w:p>
        </w:tc>
        <w:tc>
          <w:tcPr>
            <w:tcW w:w="350"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21.20.23.110</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набор</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xml:space="preserve">Набор реагентов для быстрого дифференцированного окрашивания биопрепаратов (кровь, эякулят, выпотные жидкости, цитологические препараты и др.) </w:t>
            </w:r>
          </w:p>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1</w:t>
            </w: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val="restar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xml:space="preserve">Состав набора: </w:t>
            </w:r>
          </w:p>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xml:space="preserve">раствор № 1 - фиксатор (не менее 100 мл), </w:t>
            </w:r>
          </w:p>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xml:space="preserve">раствор № 2 - "розовый" (не менее 100 мл), </w:t>
            </w:r>
          </w:p>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xml:space="preserve">раствор № 3 - "синий" (не менее 100 мл), </w:t>
            </w:r>
          </w:p>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буфер-Г - 1 флакон (не менее 10мл).</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 xml:space="preserve">Окраска </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не менее 100 препаратов</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6C537B">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top w:val="single" w:sz="4" w:space="0" w:color="auto"/>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val="restart"/>
            <w:tcBorders>
              <w:top w:val="single" w:sz="4" w:space="0" w:color="auto"/>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513" w:type="pct"/>
            <w:vMerge w:val="restart"/>
            <w:tcBorders>
              <w:top w:val="single" w:sz="4" w:space="0" w:color="auto"/>
              <w:left w:val="single" w:sz="4" w:space="0" w:color="auto"/>
              <w:bottom w:val="single" w:sz="4" w:space="0" w:color="auto"/>
              <w:right w:val="single" w:sz="4" w:space="0" w:color="auto"/>
            </w:tcBorders>
            <w:vAlign w:val="center"/>
          </w:tcPr>
          <w:p w:rsidR="00BA0717" w:rsidRPr="00097A24"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097A24">
              <w:rPr>
                <w:rFonts w:ascii="Times New Roman" w:eastAsia="Times New Roman" w:hAnsi="Times New Roman" w:cs="Times New Roman"/>
                <w:color w:val="000000"/>
                <w:sz w:val="16"/>
                <w:szCs w:val="16"/>
                <w:lang w:eastAsia="ru-RU"/>
              </w:rPr>
              <w:t>Альциановый синий раствор ИВД</w:t>
            </w:r>
          </w:p>
        </w:tc>
        <w:tc>
          <w:tcPr>
            <w:tcW w:w="350" w:type="pct"/>
            <w:vMerge w:val="restart"/>
            <w:tcBorders>
              <w:top w:val="single" w:sz="4" w:space="0" w:color="auto"/>
              <w:left w:val="single" w:sz="4" w:space="0" w:color="auto"/>
              <w:bottom w:val="single" w:sz="4" w:space="0" w:color="auto"/>
              <w:right w:val="single" w:sz="4" w:space="0" w:color="auto"/>
            </w:tcBorders>
            <w:vAlign w:val="center"/>
          </w:tcPr>
          <w:p w:rsidR="00BA0717" w:rsidRPr="00097A24"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097A24">
              <w:rPr>
                <w:rFonts w:ascii="Times New Roman" w:eastAsia="Times New Roman" w:hAnsi="Times New Roman" w:cs="Times New Roman"/>
                <w:color w:val="000000"/>
                <w:sz w:val="16"/>
                <w:szCs w:val="16"/>
                <w:lang w:eastAsia="ru-RU"/>
              </w:rPr>
              <w:t>21.20.23.110-00000718</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A0717" w:rsidRPr="00097A24"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097A24">
              <w:rPr>
                <w:rFonts w:ascii="Times New Roman" w:eastAsia="Times New Roman" w:hAnsi="Times New Roman" w:cs="Times New Roman"/>
                <w:color w:val="000000"/>
                <w:sz w:val="16"/>
                <w:szCs w:val="16"/>
                <w:lang w:eastAsia="ru-RU"/>
              </w:rPr>
              <w:t>упак</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097A24" w:rsidRDefault="00BA0717" w:rsidP="008F3435">
            <w:pPr>
              <w:spacing w:after="0" w:line="240" w:lineRule="auto"/>
              <w:rPr>
                <w:rFonts w:ascii="Times New Roman" w:eastAsia="Times New Roman" w:hAnsi="Times New Roman" w:cs="Times New Roman"/>
                <w:color w:val="000000"/>
                <w:sz w:val="16"/>
                <w:szCs w:val="16"/>
                <w:lang w:eastAsia="ru-RU"/>
              </w:rPr>
            </w:pPr>
            <w:r w:rsidRPr="00097A24">
              <w:rPr>
                <w:rFonts w:ascii="Times New Roman" w:eastAsia="Times New Roman" w:hAnsi="Times New Roman" w:cs="Times New Roman"/>
                <w:color w:val="000000"/>
                <w:sz w:val="16"/>
                <w:szCs w:val="16"/>
                <w:lang w:eastAsia="ru-RU"/>
              </w:rPr>
              <w:t>Показатель Ph</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097A24"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097A24">
              <w:rPr>
                <w:rFonts w:ascii="Times New Roman" w:eastAsia="Times New Roman" w:hAnsi="Times New Roman" w:cs="Times New Roman"/>
                <w:color w:val="000000"/>
                <w:sz w:val="16"/>
                <w:szCs w:val="16"/>
                <w:lang w:eastAsia="ru-RU"/>
              </w:rPr>
              <w:t>2,5</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097A24"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097A24">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097A24"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097A24">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097A24"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097A24">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val="restart"/>
            <w:tcBorders>
              <w:top w:val="single" w:sz="4" w:space="0" w:color="auto"/>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67" w:type="pct"/>
            <w:vMerge w:val="restart"/>
            <w:tcBorders>
              <w:top w:val="single" w:sz="4" w:space="0" w:color="auto"/>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266" w:type="pct"/>
            <w:vMerge w:val="restart"/>
            <w:tcBorders>
              <w:top w:val="single" w:sz="4" w:space="0" w:color="auto"/>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val="restart"/>
            <w:tcBorders>
              <w:top w:val="single" w:sz="4" w:space="0" w:color="auto"/>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val="restart"/>
            <w:tcBorders>
              <w:top w:val="single" w:sz="4" w:space="0" w:color="auto"/>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097A24" w:rsidRDefault="00BA0717" w:rsidP="008F3435">
            <w:pPr>
              <w:spacing w:after="0" w:line="240" w:lineRule="auto"/>
              <w:rPr>
                <w:rFonts w:ascii="Times New Roman" w:eastAsia="Times New Roman" w:hAnsi="Times New Roman" w:cs="Times New Roman"/>
                <w:color w:val="000000"/>
                <w:sz w:val="16"/>
                <w:szCs w:val="16"/>
                <w:lang w:eastAsia="ru-RU"/>
              </w:rPr>
            </w:pPr>
            <w:r w:rsidRPr="00097A24">
              <w:rPr>
                <w:rFonts w:ascii="Times New Roman" w:eastAsia="Times New Roman" w:hAnsi="Times New Roman" w:cs="Times New Roman"/>
                <w:color w:val="000000"/>
                <w:sz w:val="16"/>
                <w:szCs w:val="16"/>
                <w:lang w:eastAsia="ru-RU"/>
              </w:rPr>
              <w:t>Объем реагента</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097A24"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097A24">
              <w:rPr>
                <w:rFonts w:ascii="Times New Roman" w:eastAsia="Times New Roman" w:hAnsi="Times New Roman" w:cs="Times New Roman"/>
                <w:color w:val="000000"/>
                <w:sz w:val="16"/>
                <w:szCs w:val="16"/>
                <w:lang w:eastAsia="ru-RU"/>
              </w:rPr>
              <w:t>≥ 500</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097A24"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097A24">
              <w:rPr>
                <w:rFonts w:ascii="Times New Roman" w:eastAsia="Times New Roman" w:hAnsi="Times New Roman" w:cs="Times New Roman"/>
                <w:color w:val="000000"/>
                <w:sz w:val="16"/>
                <w:szCs w:val="16"/>
                <w:lang w:eastAsia="ru-RU"/>
              </w:rPr>
              <w:t>Кубический сантиметр;^миллилитр</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097A24"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097A24">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097A24"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097A24">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CD1CC7" w:rsidRPr="006C537B" w:rsidTr="00AF4362">
        <w:trPr>
          <w:trHeight w:val="402"/>
        </w:trPr>
        <w:tc>
          <w:tcPr>
            <w:tcW w:w="145" w:type="pct"/>
            <w:vMerge w:val="restart"/>
            <w:tcBorders>
              <w:left w:val="single" w:sz="4" w:space="0" w:color="auto"/>
              <w:right w:val="single" w:sz="4" w:space="0" w:color="auto"/>
            </w:tcBorders>
            <w:vAlign w:val="center"/>
          </w:tcPr>
          <w:p w:rsidR="00CD1CC7" w:rsidRPr="006C537B" w:rsidRDefault="00CD1CC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w:t>
            </w:r>
          </w:p>
        </w:tc>
        <w:tc>
          <w:tcPr>
            <w:tcW w:w="513" w:type="pct"/>
            <w:vMerge w:val="restart"/>
            <w:tcBorders>
              <w:top w:val="single" w:sz="4" w:space="0" w:color="auto"/>
              <w:left w:val="single" w:sz="4" w:space="0" w:color="auto"/>
              <w:bottom w:val="single" w:sz="4" w:space="0" w:color="auto"/>
              <w:right w:val="single" w:sz="4" w:space="0" w:color="auto"/>
            </w:tcBorders>
            <w:vAlign w:val="center"/>
          </w:tcPr>
          <w:p w:rsidR="00CD1CC7" w:rsidRPr="00013A41" w:rsidRDefault="00CD1CC7" w:rsidP="008F3435">
            <w:pPr>
              <w:spacing w:after="0" w:line="240" w:lineRule="auto"/>
              <w:jc w:val="center"/>
              <w:rPr>
                <w:rFonts w:ascii="Times New Roman" w:eastAsia="Times New Roman" w:hAnsi="Times New Roman" w:cs="Times New Roman"/>
                <w:color w:val="000000"/>
                <w:sz w:val="16"/>
                <w:szCs w:val="16"/>
                <w:lang w:eastAsia="ru-RU"/>
              </w:rPr>
            </w:pPr>
            <w:r w:rsidRPr="00013A41">
              <w:rPr>
                <w:rFonts w:ascii="Times New Roman" w:eastAsia="Times New Roman" w:hAnsi="Times New Roman" w:cs="Times New Roman"/>
                <w:color w:val="000000"/>
                <w:sz w:val="16"/>
                <w:szCs w:val="16"/>
                <w:lang w:eastAsia="ru-RU"/>
              </w:rPr>
              <w:t>Окраска по Перлсу ИВД, набор</w:t>
            </w:r>
          </w:p>
        </w:tc>
        <w:tc>
          <w:tcPr>
            <w:tcW w:w="350" w:type="pct"/>
            <w:vMerge w:val="restart"/>
            <w:tcBorders>
              <w:top w:val="single" w:sz="4" w:space="0" w:color="auto"/>
              <w:left w:val="single" w:sz="4" w:space="0" w:color="auto"/>
              <w:bottom w:val="single" w:sz="4" w:space="0" w:color="auto"/>
              <w:right w:val="single" w:sz="4" w:space="0" w:color="auto"/>
            </w:tcBorders>
            <w:vAlign w:val="center"/>
          </w:tcPr>
          <w:p w:rsidR="00CD1CC7" w:rsidRPr="00013A41" w:rsidRDefault="00CD1CC7" w:rsidP="008F3435">
            <w:pPr>
              <w:spacing w:after="0" w:line="240" w:lineRule="auto"/>
              <w:jc w:val="center"/>
              <w:rPr>
                <w:rFonts w:ascii="Times New Roman" w:eastAsia="Times New Roman" w:hAnsi="Times New Roman" w:cs="Times New Roman"/>
                <w:color w:val="000000"/>
                <w:sz w:val="16"/>
                <w:szCs w:val="16"/>
                <w:lang w:eastAsia="ru-RU"/>
              </w:rPr>
            </w:pPr>
            <w:r w:rsidRPr="00013A41">
              <w:rPr>
                <w:rFonts w:ascii="Times New Roman" w:eastAsia="Times New Roman" w:hAnsi="Times New Roman" w:cs="Times New Roman"/>
                <w:color w:val="000000"/>
                <w:sz w:val="16"/>
                <w:szCs w:val="16"/>
                <w:lang w:eastAsia="ru-RU"/>
              </w:rPr>
              <w:t>21.20.23.110-00005414</w:t>
            </w:r>
            <w:r>
              <w:rPr>
                <w:rFonts w:ascii="Times New Roman" w:eastAsia="Times New Roman" w:hAnsi="Times New Roman" w:cs="Times New Roman"/>
                <w:color w:val="000000"/>
                <w:sz w:val="16"/>
                <w:szCs w:val="16"/>
                <w:lang w:eastAsia="ru-RU"/>
              </w:rPr>
              <w:t>**</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CD1CC7" w:rsidRPr="00013A41" w:rsidRDefault="00CD1CC7" w:rsidP="008F3435">
            <w:pPr>
              <w:spacing w:after="0" w:line="240" w:lineRule="auto"/>
              <w:jc w:val="center"/>
              <w:rPr>
                <w:rFonts w:ascii="Times New Roman" w:eastAsia="Times New Roman" w:hAnsi="Times New Roman" w:cs="Times New Roman"/>
                <w:color w:val="000000"/>
                <w:sz w:val="16"/>
                <w:szCs w:val="16"/>
                <w:lang w:eastAsia="ru-RU"/>
              </w:rPr>
            </w:pPr>
            <w:r w:rsidRPr="00013A41">
              <w:rPr>
                <w:rFonts w:ascii="Times New Roman" w:eastAsia="Times New Roman" w:hAnsi="Times New Roman" w:cs="Times New Roman"/>
                <w:color w:val="000000"/>
                <w:sz w:val="16"/>
                <w:szCs w:val="16"/>
                <w:lang w:eastAsia="ru-RU"/>
              </w:rPr>
              <w:t>набор</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CD1CC7" w:rsidRPr="00013A41" w:rsidRDefault="00CD1CC7" w:rsidP="008F3435">
            <w:pPr>
              <w:spacing w:after="0" w:line="240" w:lineRule="auto"/>
              <w:rPr>
                <w:rFonts w:ascii="Times New Roman" w:eastAsia="Times New Roman" w:hAnsi="Times New Roman" w:cs="Times New Roman"/>
                <w:color w:val="000000"/>
                <w:sz w:val="16"/>
                <w:szCs w:val="16"/>
                <w:lang w:eastAsia="ru-RU"/>
              </w:rPr>
            </w:pPr>
            <w:r w:rsidRPr="00013A41">
              <w:rPr>
                <w:rFonts w:ascii="Times New Roman" w:eastAsia="Times New Roman" w:hAnsi="Times New Roman" w:cs="Times New Roman"/>
                <w:color w:val="000000"/>
                <w:sz w:val="16"/>
                <w:szCs w:val="16"/>
                <w:lang w:eastAsia="ru-RU"/>
              </w:rPr>
              <w:t>Расфасовка:</w:t>
            </w:r>
          </w:p>
        </w:tc>
        <w:tc>
          <w:tcPr>
            <w:tcW w:w="533" w:type="pct"/>
            <w:tcBorders>
              <w:top w:val="single" w:sz="4" w:space="0" w:color="auto"/>
              <w:left w:val="single" w:sz="4" w:space="0" w:color="auto"/>
              <w:bottom w:val="single" w:sz="4" w:space="0" w:color="auto"/>
              <w:right w:val="single" w:sz="4" w:space="0" w:color="auto"/>
            </w:tcBorders>
            <w:vAlign w:val="center"/>
          </w:tcPr>
          <w:p w:rsidR="00CD1CC7" w:rsidRPr="00013A41" w:rsidRDefault="00CD1CC7" w:rsidP="008F3435">
            <w:pPr>
              <w:spacing w:after="0" w:line="240" w:lineRule="auto"/>
              <w:jc w:val="center"/>
              <w:rPr>
                <w:rFonts w:ascii="Times New Roman" w:eastAsia="Times New Roman" w:hAnsi="Times New Roman" w:cs="Times New Roman"/>
                <w:color w:val="000000"/>
                <w:sz w:val="16"/>
                <w:szCs w:val="16"/>
                <w:lang w:eastAsia="ru-RU"/>
              </w:rPr>
            </w:pPr>
            <w:r w:rsidRPr="00013A41">
              <w:rPr>
                <w:rFonts w:ascii="Times New Roman" w:eastAsia="Times New Roman" w:hAnsi="Times New Roman" w:cs="Times New Roman"/>
                <w:color w:val="000000"/>
                <w:sz w:val="16"/>
                <w:szCs w:val="16"/>
                <w:lang w:eastAsia="ru-RU"/>
              </w:rPr>
              <w:t>Не менее 3 флаконов объемом не менее 250 мл</w:t>
            </w:r>
          </w:p>
        </w:tc>
        <w:tc>
          <w:tcPr>
            <w:tcW w:w="311" w:type="pct"/>
            <w:tcBorders>
              <w:top w:val="single" w:sz="4" w:space="0" w:color="auto"/>
              <w:left w:val="single" w:sz="4" w:space="0" w:color="auto"/>
              <w:bottom w:val="single" w:sz="4" w:space="0" w:color="auto"/>
              <w:right w:val="single" w:sz="4" w:space="0" w:color="auto"/>
            </w:tcBorders>
            <w:vAlign w:val="center"/>
          </w:tcPr>
          <w:p w:rsidR="00CD1CC7" w:rsidRPr="00013A41" w:rsidRDefault="00CD1CC7" w:rsidP="008F3435">
            <w:pPr>
              <w:spacing w:after="0" w:line="240" w:lineRule="auto"/>
              <w:jc w:val="center"/>
              <w:rPr>
                <w:rFonts w:ascii="Times New Roman" w:eastAsia="Times New Roman" w:hAnsi="Times New Roman" w:cs="Times New Roman"/>
                <w:color w:val="000000"/>
                <w:sz w:val="16"/>
                <w:szCs w:val="16"/>
                <w:lang w:eastAsia="ru-RU"/>
              </w:rPr>
            </w:pPr>
            <w:r w:rsidRPr="00013A41">
              <w:rPr>
                <w:rFonts w:ascii="Times New Roman" w:eastAsia="Times New Roman" w:hAnsi="Times New Roman" w:cs="Times New Roman"/>
                <w:color w:val="000000"/>
                <w:sz w:val="16"/>
                <w:szCs w:val="16"/>
                <w:lang w:eastAsia="ru-RU"/>
              </w:rPr>
              <w:t>-</w:t>
            </w:r>
          </w:p>
        </w:tc>
        <w:tc>
          <w:tcPr>
            <w:tcW w:w="489" w:type="pct"/>
            <w:vMerge w:val="restart"/>
            <w:tcBorders>
              <w:top w:val="single" w:sz="4" w:space="0" w:color="auto"/>
              <w:left w:val="single" w:sz="4" w:space="0" w:color="auto"/>
              <w:right w:val="single" w:sz="4" w:space="0" w:color="auto"/>
            </w:tcBorders>
            <w:vAlign w:val="center"/>
          </w:tcPr>
          <w:p w:rsidR="00CD1CC7" w:rsidRPr="00FF0A6B" w:rsidRDefault="00CD1CC7" w:rsidP="00CD1CC7">
            <w:pPr>
              <w:spacing w:after="0" w:line="240" w:lineRule="auto"/>
              <w:jc w:val="center"/>
              <w:rPr>
                <w:rFonts w:ascii="Times New Roman" w:eastAsia="Times New Roman" w:hAnsi="Times New Roman" w:cs="Times New Roman"/>
                <w:color w:val="000000"/>
                <w:sz w:val="16"/>
                <w:szCs w:val="16"/>
                <w:lang w:eastAsia="ru-RU"/>
              </w:rPr>
            </w:pPr>
            <w:r w:rsidRPr="00FF0A6B">
              <w:rPr>
                <w:rFonts w:ascii="Times New Roman" w:eastAsia="Times New Roman" w:hAnsi="Times New Roman" w:cs="Times New Roman"/>
                <w:sz w:val="16"/>
                <w:szCs w:val="16"/>
              </w:rPr>
              <w:t>B соответствии с особенностями проводимых исследований и четко проработанными раннее методиками, дающими гарантированный положительный результат исследования, необходим именно этот состав</w:t>
            </w:r>
          </w:p>
          <w:p w:rsidR="00CD1CC7" w:rsidRPr="00013A41" w:rsidRDefault="00CD1CC7"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vAlign w:val="center"/>
          </w:tcPr>
          <w:p w:rsidR="00CD1CC7" w:rsidRPr="00013A41" w:rsidRDefault="00CD1CC7" w:rsidP="008F3435">
            <w:pPr>
              <w:spacing w:after="0" w:line="240" w:lineRule="auto"/>
              <w:jc w:val="center"/>
              <w:rPr>
                <w:rFonts w:ascii="Times New Roman" w:eastAsia="Times New Roman" w:hAnsi="Times New Roman" w:cs="Times New Roman"/>
                <w:color w:val="000000"/>
                <w:sz w:val="16"/>
                <w:szCs w:val="16"/>
                <w:lang w:eastAsia="ru-RU"/>
              </w:rPr>
            </w:pPr>
            <w:r w:rsidRPr="00013A41">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val="restart"/>
            <w:tcBorders>
              <w:left w:val="single" w:sz="4" w:space="0" w:color="auto"/>
              <w:right w:val="single" w:sz="4" w:space="0" w:color="auto"/>
            </w:tcBorders>
            <w:vAlign w:val="center"/>
          </w:tcPr>
          <w:p w:rsidR="00CD1CC7" w:rsidRPr="006C537B" w:rsidRDefault="00CD1CC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67" w:type="pct"/>
            <w:vMerge w:val="restart"/>
            <w:tcBorders>
              <w:left w:val="single" w:sz="4" w:space="0" w:color="auto"/>
              <w:right w:val="single" w:sz="4" w:space="0" w:color="auto"/>
            </w:tcBorders>
            <w:vAlign w:val="center"/>
          </w:tcPr>
          <w:p w:rsidR="00CD1CC7" w:rsidRPr="006C537B" w:rsidRDefault="00CD1CC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val="restart"/>
            <w:tcBorders>
              <w:left w:val="single" w:sz="4" w:space="0" w:color="auto"/>
              <w:right w:val="single" w:sz="4" w:space="0" w:color="auto"/>
            </w:tcBorders>
            <w:vAlign w:val="center"/>
          </w:tcPr>
          <w:p w:rsidR="00CD1CC7" w:rsidRPr="006C537B" w:rsidRDefault="00CD1CC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val="restart"/>
            <w:tcBorders>
              <w:left w:val="single" w:sz="4" w:space="0" w:color="auto"/>
              <w:right w:val="single" w:sz="4" w:space="0" w:color="auto"/>
            </w:tcBorders>
            <w:vAlign w:val="center"/>
          </w:tcPr>
          <w:p w:rsidR="00CD1CC7" w:rsidRPr="006C537B" w:rsidRDefault="00CD1CC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val="restart"/>
            <w:tcBorders>
              <w:left w:val="single" w:sz="4" w:space="0" w:color="auto"/>
              <w:right w:val="single" w:sz="4" w:space="0" w:color="auto"/>
            </w:tcBorders>
            <w:vAlign w:val="center"/>
          </w:tcPr>
          <w:p w:rsidR="00CD1CC7" w:rsidRPr="006C537B" w:rsidRDefault="00CD1CC7" w:rsidP="008F3435">
            <w:pPr>
              <w:spacing w:after="0" w:line="240" w:lineRule="auto"/>
              <w:rPr>
                <w:rFonts w:ascii="Times New Roman" w:eastAsia="Times New Roman" w:hAnsi="Times New Roman" w:cs="Times New Roman"/>
                <w:color w:val="000000"/>
                <w:sz w:val="16"/>
                <w:szCs w:val="16"/>
                <w:lang w:eastAsia="ru-RU"/>
              </w:rPr>
            </w:pPr>
          </w:p>
        </w:tc>
      </w:tr>
      <w:tr w:rsidR="00CD1CC7" w:rsidRPr="006C537B" w:rsidTr="00AF4362">
        <w:trPr>
          <w:trHeight w:val="402"/>
        </w:trPr>
        <w:tc>
          <w:tcPr>
            <w:tcW w:w="145" w:type="pct"/>
            <w:vMerge/>
            <w:tcBorders>
              <w:left w:val="single" w:sz="4" w:space="0" w:color="auto"/>
              <w:bottom w:val="single" w:sz="4" w:space="0" w:color="auto"/>
              <w:right w:val="single" w:sz="4" w:space="0" w:color="auto"/>
            </w:tcBorders>
            <w:vAlign w:val="center"/>
          </w:tcPr>
          <w:p w:rsidR="00CD1CC7" w:rsidRPr="006C537B" w:rsidRDefault="00CD1CC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bottom w:val="single" w:sz="4" w:space="0" w:color="auto"/>
              <w:right w:val="single" w:sz="4" w:space="0" w:color="auto"/>
            </w:tcBorders>
            <w:vAlign w:val="center"/>
          </w:tcPr>
          <w:p w:rsidR="00CD1CC7" w:rsidRPr="006C537B" w:rsidRDefault="00CD1CC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bottom w:val="single" w:sz="4" w:space="0" w:color="auto"/>
              <w:right w:val="single" w:sz="4" w:space="0" w:color="auto"/>
            </w:tcBorders>
            <w:vAlign w:val="center"/>
          </w:tcPr>
          <w:p w:rsidR="00CD1CC7" w:rsidRPr="006C537B" w:rsidRDefault="00CD1CC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bottom w:val="single" w:sz="4" w:space="0" w:color="auto"/>
              <w:right w:val="single" w:sz="4" w:space="0" w:color="auto"/>
            </w:tcBorders>
            <w:vAlign w:val="center"/>
          </w:tcPr>
          <w:p w:rsidR="00CD1CC7" w:rsidRPr="006C537B" w:rsidRDefault="00CD1CC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CD1CC7" w:rsidRPr="00013A41" w:rsidRDefault="00CD1CC7" w:rsidP="008F3435">
            <w:pPr>
              <w:spacing w:after="0" w:line="240" w:lineRule="auto"/>
              <w:rPr>
                <w:rFonts w:ascii="Times New Roman" w:eastAsia="Times New Roman" w:hAnsi="Times New Roman" w:cs="Times New Roman"/>
                <w:color w:val="000000"/>
                <w:sz w:val="16"/>
                <w:szCs w:val="16"/>
                <w:lang w:eastAsia="ru-RU"/>
              </w:rPr>
            </w:pPr>
            <w:r w:rsidRPr="00013A41">
              <w:rPr>
                <w:rFonts w:ascii="Times New Roman" w:eastAsia="Times New Roman" w:hAnsi="Times New Roman" w:cs="Times New Roman"/>
                <w:color w:val="000000"/>
                <w:sz w:val="16"/>
                <w:szCs w:val="16"/>
                <w:lang w:eastAsia="ru-RU"/>
              </w:rPr>
              <w:t>Набор химических реактивов, красителей и/или других связанных с ними материалов для окраски по Перлсу, основанной на реакции образования Берлинской лазури, предназначенный для выявления гемосидерина (ferric iron) в биологическом/клиническом образце</w:t>
            </w:r>
          </w:p>
        </w:tc>
        <w:tc>
          <w:tcPr>
            <w:tcW w:w="533" w:type="pct"/>
            <w:tcBorders>
              <w:top w:val="single" w:sz="4" w:space="0" w:color="auto"/>
              <w:left w:val="single" w:sz="4" w:space="0" w:color="auto"/>
              <w:bottom w:val="single" w:sz="4" w:space="0" w:color="auto"/>
              <w:right w:val="single" w:sz="4" w:space="0" w:color="auto"/>
            </w:tcBorders>
            <w:vAlign w:val="center"/>
          </w:tcPr>
          <w:p w:rsidR="00CD1CC7" w:rsidRPr="00013A41" w:rsidRDefault="00CD1CC7" w:rsidP="008F3435">
            <w:pPr>
              <w:spacing w:after="0" w:line="240" w:lineRule="auto"/>
              <w:jc w:val="center"/>
              <w:rPr>
                <w:rFonts w:ascii="Times New Roman" w:eastAsia="Times New Roman" w:hAnsi="Times New Roman" w:cs="Times New Roman"/>
                <w:color w:val="000000"/>
                <w:sz w:val="16"/>
                <w:szCs w:val="16"/>
                <w:lang w:eastAsia="ru-RU"/>
              </w:rPr>
            </w:pPr>
            <w:r w:rsidRPr="00013A41">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CD1CC7" w:rsidRPr="00013A41" w:rsidRDefault="00CD1CC7" w:rsidP="008F3435">
            <w:pPr>
              <w:spacing w:after="0" w:line="240" w:lineRule="auto"/>
              <w:jc w:val="center"/>
              <w:rPr>
                <w:rFonts w:ascii="Times New Roman" w:eastAsia="Times New Roman" w:hAnsi="Times New Roman" w:cs="Times New Roman"/>
                <w:color w:val="000000"/>
                <w:sz w:val="16"/>
                <w:szCs w:val="16"/>
                <w:lang w:eastAsia="ru-RU"/>
              </w:rPr>
            </w:pPr>
            <w:r w:rsidRPr="00013A41">
              <w:rPr>
                <w:rFonts w:ascii="Times New Roman" w:eastAsia="Times New Roman" w:hAnsi="Times New Roman" w:cs="Times New Roman"/>
                <w:color w:val="000000"/>
                <w:sz w:val="16"/>
                <w:szCs w:val="16"/>
                <w:lang w:eastAsia="ru-RU"/>
              </w:rPr>
              <w:t>-</w:t>
            </w:r>
          </w:p>
        </w:tc>
        <w:tc>
          <w:tcPr>
            <w:tcW w:w="489" w:type="pct"/>
            <w:vMerge/>
            <w:tcBorders>
              <w:left w:val="single" w:sz="4" w:space="0" w:color="auto"/>
              <w:bottom w:val="single" w:sz="4" w:space="0" w:color="auto"/>
              <w:right w:val="single" w:sz="4" w:space="0" w:color="auto"/>
            </w:tcBorders>
            <w:vAlign w:val="center"/>
          </w:tcPr>
          <w:p w:rsidR="00CD1CC7" w:rsidRPr="00013A41" w:rsidRDefault="00CD1CC7"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vAlign w:val="center"/>
          </w:tcPr>
          <w:p w:rsidR="00CD1CC7" w:rsidRPr="00013A41" w:rsidRDefault="00CD1CC7" w:rsidP="008F3435">
            <w:pPr>
              <w:spacing w:after="0" w:line="240" w:lineRule="auto"/>
              <w:jc w:val="center"/>
              <w:rPr>
                <w:rFonts w:ascii="Times New Roman" w:eastAsia="Times New Roman" w:hAnsi="Times New Roman" w:cs="Times New Roman"/>
                <w:color w:val="000000"/>
                <w:sz w:val="16"/>
                <w:szCs w:val="16"/>
                <w:lang w:eastAsia="ru-RU"/>
              </w:rPr>
            </w:pPr>
            <w:r w:rsidRPr="00013A41">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bottom w:val="single" w:sz="4" w:space="0" w:color="auto"/>
              <w:right w:val="single" w:sz="4" w:space="0" w:color="auto"/>
            </w:tcBorders>
            <w:vAlign w:val="center"/>
          </w:tcPr>
          <w:p w:rsidR="00CD1CC7" w:rsidRPr="006C537B" w:rsidRDefault="00CD1CC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bottom w:val="single" w:sz="4" w:space="0" w:color="auto"/>
              <w:right w:val="single" w:sz="4" w:space="0" w:color="auto"/>
            </w:tcBorders>
            <w:vAlign w:val="center"/>
          </w:tcPr>
          <w:p w:rsidR="00CD1CC7" w:rsidRPr="006C537B" w:rsidRDefault="00CD1CC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bottom w:val="single" w:sz="4" w:space="0" w:color="auto"/>
              <w:right w:val="single" w:sz="4" w:space="0" w:color="auto"/>
            </w:tcBorders>
            <w:vAlign w:val="center"/>
          </w:tcPr>
          <w:p w:rsidR="00CD1CC7" w:rsidRPr="006C537B" w:rsidRDefault="00CD1CC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bottom w:val="single" w:sz="4" w:space="0" w:color="auto"/>
              <w:right w:val="single" w:sz="4" w:space="0" w:color="auto"/>
            </w:tcBorders>
            <w:vAlign w:val="center"/>
          </w:tcPr>
          <w:p w:rsidR="00CD1CC7" w:rsidRPr="006C537B" w:rsidRDefault="00CD1CC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bottom w:val="single" w:sz="4" w:space="0" w:color="auto"/>
              <w:right w:val="single" w:sz="4" w:space="0" w:color="auto"/>
            </w:tcBorders>
            <w:vAlign w:val="center"/>
          </w:tcPr>
          <w:p w:rsidR="00CD1CC7" w:rsidRPr="006C537B" w:rsidRDefault="00CD1CC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val="restart"/>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tc>
        <w:tc>
          <w:tcPr>
            <w:tcW w:w="513" w:type="pct"/>
            <w:vMerge w:val="restart"/>
            <w:tcBorders>
              <w:top w:val="single" w:sz="4" w:space="0" w:color="auto"/>
              <w:left w:val="single" w:sz="4" w:space="0" w:color="auto"/>
              <w:bottom w:val="single" w:sz="4" w:space="0" w:color="auto"/>
              <w:right w:val="single" w:sz="4" w:space="0" w:color="auto"/>
            </w:tcBorders>
            <w:vAlign w:val="center"/>
          </w:tcPr>
          <w:p w:rsidR="00BA0717" w:rsidRPr="005F62E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5F62E7">
              <w:rPr>
                <w:rFonts w:ascii="Times New Roman" w:eastAsia="Times New Roman" w:hAnsi="Times New Roman" w:cs="Times New Roman"/>
                <w:color w:val="000000"/>
                <w:sz w:val="16"/>
                <w:szCs w:val="16"/>
                <w:lang w:eastAsia="ru-RU"/>
              </w:rPr>
              <w:t>Гематоксилин раствор ИВД</w:t>
            </w:r>
          </w:p>
        </w:tc>
        <w:tc>
          <w:tcPr>
            <w:tcW w:w="350" w:type="pct"/>
            <w:vMerge w:val="restart"/>
            <w:tcBorders>
              <w:top w:val="single" w:sz="4" w:space="0" w:color="auto"/>
              <w:left w:val="single" w:sz="4" w:space="0" w:color="auto"/>
              <w:bottom w:val="single" w:sz="4" w:space="0" w:color="auto"/>
              <w:right w:val="single" w:sz="4" w:space="0" w:color="auto"/>
            </w:tcBorders>
            <w:vAlign w:val="center"/>
          </w:tcPr>
          <w:p w:rsidR="00BA0717" w:rsidRPr="005F62E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5F62E7">
              <w:rPr>
                <w:rFonts w:ascii="Times New Roman" w:eastAsia="Times New Roman" w:hAnsi="Times New Roman" w:cs="Times New Roman"/>
                <w:color w:val="000000"/>
                <w:sz w:val="16"/>
                <w:szCs w:val="16"/>
                <w:lang w:eastAsia="ru-RU"/>
              </w:rPr>
              <w:t>21.20.23.110-00006230</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A0717" w:rsidRPr="005F62E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5F62E7">
              <w:rPr>
                <w:rFonts w:ascii="Times New Roman" w:eastAsia="Times New Roman" w:hAnsi="Times New Roman" w:cs="Times New Roman"/>
                <w:color w:val="000000"/>
                <w:sz w:val="16"/>
                <w:szCs w:val="16"/>
                <w:lang w:eastAsia="ru-RU"/>
              </w:rPr>
              <w:t>упак</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5F62E7" w:rsidRDefault="00BA0717" w:rsidP="008F3435">
            <w:pPr>
              <w:spacing w:after="0" w:line="240" w:lineRule="auto"/>
              <w:jc w:val="both"/>
              <w:rPr>
                <w:rFonts w:ascii="Times New Roman" w:eastAsia="Times New Roman" w:hAnsi="Times New Roman" w:cs="Times New Roman"/>
                <w:color w:val="000000"/>
                <w:sz w:val="16"/>
                <w:szCs w:val="16"/>
                <w:lang w:eastAsia="ru-RU"/>
              </w:rPr>
            </w:pPr>
            <w:r w:rsidRPr="005F62E7">
              <w:rPr>
                <w:rFonts w:ascii="Times New Roman" w:eastAsia="Times New Roman" w:hAnsi="Times New Roman" w:cs="Times New Roman"/>
                <w:color w:val="000000"/>
                <w:sz w:val="16"/>
                <w:szCs w:val="16"/>
                <w:lang w:eastAsia="ru-RU"/>
              </w:rPr>
              <w:t>Назначение:</w:t>
            </w:r>
            <w:r w:rsidRPr="005F62E7">
              <w:rPr>
                <w:rFonts w:ascii="Times New Roman" w:eastAsia="Times New Roman" w:hAnsi="Times New Roman" w:cs="Times New Roman"/>
                <w:color w:val="000000"/>
                <w:sz w:val="16"/>
                <w:szCs w:val="16"/>
                <w:lang w:eastAsia="ru-RU"/>
              </w:rPr>
              <w:tab/>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5F62E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5F62E7">
              <w:rPr>
                <w:rFonts w:ascii="Times New Roman" w:eastAsia="Times New Roman" w:hAnsi="Times New Roman" w:cs="Times New Roman"/>
                <w:color w:val="000000"/>
                <w:sz w:val="16"/>
                <w:szCs w:val="16"/>
                <w:lang w:eastAsia="ru-RU"/>
              </w:rPr>
              <w:t>Для ручной постановки и анализаторов открытого типа</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5F62E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5F62E7">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5F62E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5F62E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5F62E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5F62E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val="restart"/>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34</w:t>
            </w:r>
          </w:p>
        </w:tc>
        <w:tc>
          <w:tcPr>
            <w:tcW w:w="267"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5F62E7" w:rsidRDefault="00BA0717" w:rsidP="008F3435">
            <w:pPr>
              <w:spacing w:after="0" w:line="240" w:lineRule="auto"/>
              <w:rPr>
                <w:rFonts w:ascii="Times New Roman" w:eastAsia="Times New Roman" w:hAnsi="Times New Roman" w:cs="Times New Roman"/>
                <w:color w:val="000000"/>
                <w:sz w:val="16"/>
                <w:szCs w:val="16"/>
                <w:lang w:eastAsia="ru-RU"/>
              </w:rPr>
            </w:pPr>
            <w:r w:rsidRPr="005F62E7">
              <w:rPr>
                <w:rFonts w:ascii="Times New Roman" w:eastAsia="Times New Roman" w:hAnsi="Times New Roman" w:cs="Times New Roman"/>
                <w:color w:val="000000"/>
                <w:sz w:val="16"/>
                <w:szCs w:val="16"/>
                <w:lang w:eastAsia="ru-RU"/>
              </w:rPr>
              <w:t xml:space="preserve">Объем реагента: </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5F62E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5F62E7">
              <w:rPr>
                <w:rFonts w:ascii="Times New Roman" w:eastAsia="Times New Roman" w:hAnsi="Times New Roman" w:cs="Times New Roman"/>
                <w:color w:val="000000"/>
                <w:sz w:val="16"/>
                <w:szCs w:val="16"/>
                <w:lang w:eastAsia="ru-RU"/>
              </w:rPr>
              <w:t>≥ 1000</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5F62E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5F62E7">
              <w:rPr>
                <w:rFonts w:ascii="Times New Roman" w:eastAsia="Times New Roman" w:hAnsi="Times New Roman" w:cs="Times New Roman"/>
                <w:color w:val="000000"/>
                <w:sz w:val="16"/>
                <w:szCs w:val="16"/>
                <w:lang w:eastAsia="ru-RU"/>
              </w:rPr>
              <w:t>см[3*];^мл</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5F62E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5F62E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5F62E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5F62E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val="restart"/>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w:t>
            </w:r>
          </w:p>
        </w:tc>
        <w:tc>
          <w:tcPr>
            <w:tcW w:w="513" w:type="pct"/>
            <w:vMerge w:val="restart"/>
            <w:tcBorders>
              <w:top w:val="single" w:sz="4" w:space="0" w:color="auto"/>
              <w:left w:val="single" w:sz="4" w:space="0" w:color="auto"/>
              <w:right w:val="single" w:sz="4" w:space="0" w:color="auto"/>
            </w:tcBorders>
            <w:vAlign w:val="center"/>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Фунгитест</w:t>
            </w:r>
          </w:p>
        </w:tc>
        <w:tc>
          <w:tcPr>
            <w:tcW w:w="350" w:type="pct"/>
            <w:vMerge w:val="restart"/>
            <w:tcBorders>
              <w:top w:val="single" w:sz="4" w:space="0" w:color="auto"/>
              <w:left w:val="single" w:sz="4" w:space="0" w:color="auto"/>
              <w:right w:val="single" w:sz="4" w:space="0" w:color="auto"/>
            </w:tcBorders>
            <w:vAlign w:val="center"/>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21.20.23.110</w:t>
            </w:r>
          </w:p>
        </w:tc>
        <w:tc>
          <w:tcPr>
            <w:tcW w:w="228" w:type="pct"/>
            <w:vMerge w:val="restart"/>
            <w:tcBorders>
              <w:top w:val="single" w:sz="4" w:space="0" w:color="auto"/>
              <w:left w:val="single" w:sz="4" w:space="0" w:color="auto"/>
              <w:right w:val="single" w:sz="4" w:space="0" w:color="auto"/>
            </w:tcBorders>
            <w:vAlign w:val="center"/>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упак</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Набор для определения чувствительности дрожжей к антигрибковым препаратам.</w:t>
            </w:r>
          </w:p>
        </w:tc>
        <w:tc>
          <w:tcPr>
            <w:tcW w:w="533"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489"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val="restart"/>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w:t>
            </w:r>
          </w:p>
        </w:tc>
        <w:tc>
          <w:tcPr>
            <w:tcW w:w="267"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Принцип метода</w:t>
            </w:r>
          </w:p>
        </w:tc>
        <w:tc>
          <w:tcPr>
            <w:tcW w:w="533"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Культуральный</w:t>
            </w:r>
          </w:p>
        </w:tc>
        <w:tc>
          <w:tcPr>
            <w:tcW w:w="311"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489"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Наличие возможности получения результатов в категориях: чувствительный, промежуточно чувствительный, резистентный штамм.</w:t>
            </w:r>
          </w:p>
        </w:tc>
        <w:tc>
          <w:tcPr>
            <w:tcW w:w="533"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489"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Визуальное считывание результатов.</w:t>
            </w:r>
          </w:p>
        </w:tc>
        <w:tc>
          <w:tcPr>
            <w:tcW w:w="533"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489"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Наличие цветового индикатора.</w:t>
            </w:r>
          </w:p>
        </w:tc>
        <w:tc>
          <w:tcPr>
            <w:tcW w:w="533"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489"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Панель антибиотиков: 5-флюороцитозину (2-32мкг/ мл); Амфотерицин В (2-8 мкл/мл); Миконазол (0,5-8 мкг/мл); Кетоконазол (0,5-4 мкг/мл); Итраконазол (0,5-4 мкг /мл); Флюконазол (8-64 мкг /мл)</w:t>
            </w:r>
          </w:p>
        </w:tc>
        <w:tc>
          <w:tcPr>
            <w:tcW w:w="533"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489"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Наличие лунок для контроля роста без антибиотиков.</w:t>
            </w:r>
          </w:p>
        </w:tc>
        <w:tc>
          <w:tcPr>
            <w:tcW w:w="533"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489"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Наличие лунки отрицательного контроля</w:t>
            </w:r>
          </w:p>
        </w:tc>
        <w:tc>
          <w:tcPr>
            <w:tcW w:w="533"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489"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Количество тестов</w:t>
            </w:r>
          </w:p>
        </w:tc>
        <w:tc>
          <w:tcPr>
            <w:tcW w:w="533"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 10</w:t>
            </w:r>
          </w:p>
        </w:tc>
        <w:tc>
          <w:tcPr>
            <w:tcW w:w="311"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489"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Состав набора:</w:t>
            </w:r>
          </w:p>
        </w:tc>
        <w:tc>
          <w:tcPr>
            <w:tcW w:w="533"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не менее 10 индивидуально упакованных 16-луночных микропланшетов (схема микропланшета указана на маркировке); не менее 10 липких лент (каждый микропланшет в комплекте с липкой лентой и влагопоглотителем запечатан в алюминиевую фольгу); не менее 10 флаконов, содержащих 3 мл готовой к применению среды в суспензии.</w:t>
            </w:r>
          </w:p>
        </w:tc>
        <w:tc>
          <w:tcPr>
            <w:tcW w:w="311"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489"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BA0717" w:rsidRPr="00862628" w:rsidRDefault="00BA0717" w:rsidP="008F3435">
            <w:pPr>
              <w:spacing w:after="0" w:line="240" w:lineRule="auto"/>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Продолжительность идентификации</w:t>
            </w:r>
          </w:p>
        </w:tc>
        <w:tc>
          <w:tcPr>
            <w:tcW w:w="533"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 xml:space="preserve">48-72 </w:t>
            </w:r>
          </w:p>
        </w:tc>
        <w:tc>
          <w:tcPr>
            <w:tcW w:w="311"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час</w:t>
            </w:r>
          </w:p>
        </w:tc>
        <w:tc>
          <w:tcPr>
            <w:tcW w:w="489"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tcPr>
          <w:p w:rsidR="00BA0717" w:rsidRPr="00862628"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862628">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val="restart"/>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513" w:type="pct"/>
            <w:vMerge w:val="restart"/>
            <w:tcBorders>
              <w:top w:val="single" w:sz="4" w:space="0" w:color="auto"/>
              <w:left w:val="single" w:sz="4" w:space="0" w:color="auto"/>
              <w:bottom w:val="single" w:sz="4" w:space="0" w:color="auto"/>
              <w:right w:val="single" w:sz="4" w:space="0" w:color="auto"/>
            </w:tcBorders>
            <w:vAlign w:val="center"/>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Набор реагентов для определения специфического антигена (галактоманнана) плесневого гриба рода Aspergillius группы fumigatus в сыворотке крови и бронхоальвеолярном лаваже (БАЛ)</w:t>
            </w:r>
          </w:p>
        </w:tc>
        <w:tc>
          <w:tcPr>
            <w:tcW w:w="350" w:type="pct"/>
            <w:vMerge w:val="restart"/>
            <w:tcBorders>
              <w:top w:val="single" w:sz="4" w:space="0" w:color="auto"/>
              <w:left w:val="single" w:sz="4" w:space="0" w:color="auto"/>
              <w:bottom w:val="single" w:sz="4" w:space="0" w:color="auto"/>
              <w:right w:val="single" w:sz="4" w:space="0" w:color="auto"/>
            </w:tcBorders>
            <w:vAlign w:val="center"/>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21.20.23.110</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набор</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BA0717" w:rsidRPr="00F30F67" w:rsidRDefault="00BA0717" w:rsidP="008F3435">
            <w:pPr>
              <w:spacing w:after="0" w:line="240" w:lineRule="auto"/>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Набор реагентов предназначен для определения специфического антигена (галактоманнана) плесневого гриба рода Aspergillus группы fumigatus в сыворотке крови и бронхоальвеолярном лаваже (БАЛ) человека</w:t>
            </w:r>
          </w:p>
        </w:tc>
        <w:tc>
          <w:tcPr>
            <w:tcW w:w="533"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val="restart"/>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267"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BA0717" w:rsidRPr="00F30F67" w:rsidRDefault="00BA0717" w:rsidP="008F3435">
            <w:pPr>
              <w:spacing w:after="0" w:line="240" w:lineRule="auto"/>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Тип планшета:</w:t>
            </w:r>
          </w:p>
        </w:tc>
        <w:tc>
          <w:tcPr>
            <w:tcW w:w="533"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96-луночный полистироловый стрипированный (стрип 8-луночный)</w:t>
            </w:r>
          </w:p>
        </w:tc>
        <w:tc>
          <w:tcPr>
            <w:tcW w:w="311"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BA0717" w:rsidRPr="00F30F67" w:rsidRDefault="00BA0717" w:rsidP="008F3435">
            <w:pPr>
              <w:spacing w:after="0" w:line="240" w:lineRule="auto"/>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Температура проведения иммунной реакции без шейкирования: +37 С</w:t>
            </w:r>
          </w:p>
        </w:tc>
        <w:tc>
          <w:tcPr>
            <w:tcW w:w="533"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BA0717" w:rsidRPr="00F30F67" w:rsidRDefault="00BA0717" w:rsidP="008F3435">
            <w:pPr>
              <w:spacing w:after="0" w:line="240" w:lineRule="auto"/>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Хранение приготовленного отмывочного раствора при температуре 18-25С:</w:t>
            </w:r>
          </w:p>
        </w:tc>
        <w:tc>
          <w:tcPr>
            <w:tcW w:w="533"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 xml:space="preserve">≥ 15 </w:t>
            </w:r>
          </w:p>
        </w:tc>
        <w:tc>
          <w:tcPr>
            <w:tcW w:w="311"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сутки</w:t>
            </w:r>
          </w:p>
        </w:tc>
        <w:tc>
          <w:tcPr>
            <w:tcW w:w="489"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BA0717" w:rsidRPr="00F30F67" w:rsidRDefault="00BA0717" w:rsidP="008F3435">
            <w:pPr>
              <w:spacing w:after="0" w:line="240" w:lineRule="auto"/>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Время инкубации при комнатной температуре с ТМБ:</w:t>
            </w:r>
          </w:p>
        </w:tc>
        <w:tc>
          <w:tcPr>
            <w:tcW w:w="533"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 20</w:t>
            </w:r>
          </w:p>
        </w:tc>
        <w:tc>
          <w:tcPr>
            <w:tcW w:w="311"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минута</w:t>
            </w:r>
          </w:p>
        </w:tc>
        <w:tc>
          <w:tcPr>
            <w:tcW w:w="489"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BA0717" w:rsidRPr="00F30F67" w:rsidRDefault="00BA0717" w:rsidP="008F3435">
            <w:pPr>
              <w:spacing w:after="0" w:line="240" w:lineRule="auto"/>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Хранение оставшихся неиспользованных заклеенных стрипов в течение всего срока годности:</w:t>
            </w:r>
          </w:p>
        </w:tc>
        <w:tc>
          <w:tcPr>
            <w:tcW w:w="533"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BA0717" w:rsidRPr="00F30F67" w:rsidRDefault="00BA0717" w:rsidP="008F3435">
            <w:pPr>
              <w:spacing w:after="0" w:line="240" w:lineRule="auto"/>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Хранение приготовленного отмывочного раствора при температуре 2-8С:</w:t>
            </w:r>
          </w:p>
        </w:tc>
        <w:tc>
          <w:tcPr>
            <w:tcW w:w="533"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 45</w:t>
            </w:r>
          </w:p>
        </w:tc>
        <w:tc>
          <w:tcPr>
            <w:tcW w:w="311"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сутки</w:t>
            </w:r>
          </w:p>
        </w:tc>
        <w:tc>
          <w:tcPr>
            <w:tcW w:w="489"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BA0717" w:rsidRPr="00F30F67" w:rsidRDefault="00BA0717" w:rsidP="008F3435">
            <w:pPr>
              <w:spacing w:after="0" w:line="240" w:lineRule="auto"/>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Наличие готовых к использованию положительных и отрицательных контрольных сывороток, контроль Сut-off; ТМБ, конъюгата, биотинилированных моноклональных антител к галактоманнану Aspergillus стоп-реагента, раствора для разведения образцов</w:t>
            </w:r>
          </w:p>
        </w:tc>
        <w:tc>
          <w:tcPr>
            <w:tcW w:w="533"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Наличие</w:t>
            </w:r>
          </w:p>
        </w:tc>
        <w:tc>
          <w:tcPr>
            <w:tcW w:w="311"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tcPr>
          <w:p w:rsidR="00BA0717" w:rsidRPr="00F30F6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F30F6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val="restart"/>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w:t>
            </w:r>
          </w:p>
        </w:tc>
        <w:tc>
          <w:tcPr>
            <w:tcW w:w="513" w:type="pct"/>
            <w:vMerge w:val="restart"/>
            <w:tcBorders>
              <w:top w:val="single" w:sz="4" w:space="0" w:color="auto"/>
              <w:left w:val="single" w:sz="4" w:space="0" w:color="auto"/>
              <w:bottom w:val="single" w:sz="4" w:space="0" w:color="auto"/>
              <w:right w:val="single" w:sz="4" w:space="0" w:color="auto"/>
            </w:tcBorders>
            <w:vAlign w:val="center"/>
          </w:tcPr>
          <w:p w:rsidR="00BA0717" w:rsidRPr="001A1222"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1A1222">
              <w:rPr>
                <w:rFonts w:ascii="Times New Roman" w:eastAsia="Times New Roman" w:hAnsi="Times New Roman" w:cs="Times New Roman"/>
                <w:color w:val="000000"/>
                <w:sz w:val="16"/>
                <w:szCs w:val="16"/>
                <w:lang w:eastAsia="ru-RU"/>
              </w:rPr>
              <w:t>Тампон (сваб) с транспортной средой Stuart, стерильный</w:t>
            </w:r>
          </w:p>
        </w:tc>
        <w:tc>
          <w:tcPr>
            <w:tcW w:w="350" w:type="pct"/>
            <w:vMerge w:val="restart"/>
            <w:tcBorders>
              <w:top w:val="single" w:sz="4" w:space="0" w:color="auto"/>
              <w:left w:val="single" w:sz="4" w:space="0" w:color="auto"/>
              <w:bottom w:val="single" w:sz="4" w:space="0" w:color="auto"/>
              <w:right w:val="single" w:sz="4" w:space="0" w:color="auto"/>
            </w:tcBorders>
            <w:vAlign w:val="center"/>
          </w:tcPr>
          <w:p w:rsidR="00BA0717" w:rsidRPr="001A1222"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1A1222">
              <w:rPr>
                <w:rFonts w:ascii="Times New Roman" w:eastAsia="Times New Roman" w:hAnsi="Times New Roman" w:cs="Times New Roman"/>
                <w:color w:val="000000"/>
                <w:sz w:val="16"/>
                <w:szCs w:val="16"/>
                <w:lang w:eastAsia="ru-RU"/>
              </w:rPr>
              <w:t>21.20.23.110</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A0717" w:rsidRPr="001A1222"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1A1222">
              <w:rPr>
                <w:rFonts w:ascii="Times New Roman" w:eastAsia="Times New Roman" w:hAnsi="Times New Roman" w:cs="Times New Roman"/>
                <w:color w:val="000000"/>
                <w:sz w:val="16"/>
                <w:szCs w:val="16"/>
                <w:lang w:eastAsia="ru-RU"/>
              </w:rPr>
              <w:t>штука</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1A1222" w:rsidRDefault="00BA0717" w:rsidP="008F3435">
            <w:pPr>
              <w:spacing w:after="0" w:line="240" w:lineRule="auto"/>
              <w:rPr>
                <w:rFonts w:ascii="Times New Roman" w:eastAsia="Times New Roman" w:hAnsi="Times New Roman" w:cs="Times New Roman"/>
                <w:color w:val="000000"/>
                <w:sz w:val="16"/>
                <w:szCs w:val="16"/>
                <w:lang w:eastAsia="ru-RU"/>
              </w:rPr>
            </w:pPr>
            <w:r w:rsidRPr="001A1222">
              <w:rPr>
                <w:rFonts w:ascii="Times New Roman" w:eastAsia="Times New Roman" w:hAnsi="Times New Roman" w:cs="Times New Roman"/>
                <w:color w:val="000000"/>
                <w:sz w:val="16"/>
                <w:szCs w:val="16"/>
                <w:lang w:eastAsia="ru-RU"/>
              </w:rPr>
              <w:t>Фасовка: в индивидуальной упаковке</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1A1222"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1A1222">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1A1222"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1A1222">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1A1222"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1A1222">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1A1222"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1A122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val="restart"/>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800</w:t>
            </w:r>
          </w:p>
        </w:tc>
        <w:tc>
          <w:tcPr>
            <w:tcW w:w="267"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1A1222" w:rsidRDefault="00BA0717" w:rsidP="008F3435">
            <w:pPr>
              <w:spacing w:after="0" w:line="240" w:lineRule="auto"/>
              <w:rPr>
                <w:rFonts w:ascii="Times New Roman" w:eastAsia="Times New Roman" w:hAnsi="Times New Roman" w:cs="Times New Roman"/>
                <w:color w:val="000000"/>
                <w:sz w:val="16"/>
                <w:szCs w:val="16"/>
                <w:lang w:eastAsia="ru-RU"/>
              </w:rPr>
            </w:pPr>
            <w:r w:rsidRPr="001A1222">
              <w:rPr>
                <w:rFonts w:ascii="Times New Roman" w:eastAsia="Times New Roman" w:hAnsi="Times New Roman" w:cs="Times New Roman"/>
                <w:color w:val="000000"/>
                <w:sz w:val="16"/>
                <w:szCs w:val="16"/>
                <w:lang w:eastAsia="ru-RU"/>
              </w:rPr>
              <w:t>Пробирка с транспортной средой Stuart с пластиковым аппликатором-тампоном</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1A1222"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1A1222">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1A1222"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1A1222">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1A1222"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1A1222">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1A1222"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1A122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val="restart"/>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c>
          <w:tcPr>
            <w:tcW w:w="513" w:type="pct"/>
            <w:vMerge w:val="restar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Экспресс-тест иммунохроматографический для полуколичественного определения прокальцитонина (ПКТ) в сыворотке и плазме крови человека</w:t>
            </w:r>
          </w:p>
        </w:tc>
        <w:tc>
          <w:tcPr>
            <w:tcW w:w="350" w:type="pct"/>
            <w:vMerge w:val="restar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21.20.23.110</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упак</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4667C7" w:rsidRDefault="00BA0717" w:rsidP="008F3435">
            <w:pPr>
              <w:spacing w:after="0" w:line="240" w:lineRule="auto"/>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Тест предназначен для ранней диагностики системной бактериальной и грибковой инфекции и сепсиса</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val="restart"/>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67"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4667C7" w:rsidRDefault="00BA0717" w:rsidP="008F3435">
            <w:pPr>
              <w:spacing w:after="0" w:line="240" w:lineRule="auto"/>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Одностадийный иммунохроматографический метод (принцип «сэндвича») с использованием иммуносвязанного золота</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4667C7" w:rsidRDefault="00BA0717" w:rsidP="008F3435">
            <w:pPr>
              <w:spacing w:after="0" w:line="240" w:lineRule="auto"/>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Источник образца: сыворотка или плазма</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4667C7" w:rsidRDefault="00BA0717" w:rsidP="008F3435">
            <w:pPr>
              <w:spacing w:after="0" w:line="240" w:lineRule="auto"/>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 xml:space="preserve">Объем образца: </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Не менее 200</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мкл</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4667C7" w:rsidRDefault="00BA0717" w:rsidP="008F3435">
            <w:pPr>
              <w:spacing w:after="0" w:line="240" w:lineRule="auto"/>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Время инкубации при комнатной температуре (18-300С)</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Не менее 30 минут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4667C7" w:rsidRDefault="00BA0717" w:rsidP="008F3435">
            <w:pPr>
              <w:spacing w:after="0" w:line="240" w:lineRule="auto"/>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Время полураспада 24 часа</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4667C7" w:rsidRDefault="00BA0717" w:rsidP="008F3435">
            <w:pPr>
              <w:spacing w:after="0" w:line="240" w:lineRule="auto"/>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Интервалы измерения: &lt; 0,5 нг/мл; 0,5-&lt; 2 нг/мл; 2 &lt; 10 нг/мл; &gt; 10 нг/мл</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4667C7" w:rsidRDefault="00BA0717" w:rsidP="008F3435">
            <w:pPr>
              <w:spacing w:after="0" w:line="240" w:lineRule="auto"/>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Состав набора:</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одна тестовая стрип-полоска и одна пипетка на один тест; 25 тестов + 25 карточек сравнения</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4667C7" w:rsidRDefault="00BA0717" w:rsidP="008F3435">
            <w:pPr>
              <w:spacing w:after="0" w:line="240" w:lineRule="auto"/>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PCT стабилен при -20°С в течение 3 месяцев</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4667C7" w:rsidRDefault="00BA0717" w:rsidP="008F3435">
            <w:pPr>
              <w:spacing w:after="0" w:line="240" w:lineRule="auto"/>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При комнатной температуре в течение 2 часов после забора крови распадается около 2%. При замораживании/размораживании (3 цикла) потеря</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4667C7" w:rsidRDefault="00BA0717" w:rsidP="008F3435">
            <w:pPr>
              <w:spacing w:after="0" w:line="240" w:lineRule="auto"/>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PCT в образце составляет &lt; 2%.</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4667C7" w:rsidRDefault="00BA0717" w:rsidP="008F3435">
            <w:pPr>
              <w:spacing w:after="0" w:line="240" w:lineRule="auto"/>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Результат: полуколичественный</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4667C7"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4667C7">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val="restart"/>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13</w:t>
            </w:r>
          </w:p>
        </w:tc>
        <w:tc>
          <w:tcPr>
            <w:tcW w:w="513" w:type="pct"/>
            <w:vMerge w:val="restar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Иммунохроматографический экспресс-тест для выявления токсинов А и В Clostridium Difficile в фекалиях</w:t>
            </w:r>
          </w:p>
        </w:tc>
        <w:tc>
          <w:tcPr>
            <w:tcW w:w="350" w:type="pct"/>
            <w:vMerge w:val="restar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21.20.23.110</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набор</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9C2186" w:rsidRDefault="00BA0717" w:rsidP="008F3435">
            <w:pPr>
              <w:spacing w:after="0" w:line="240" w:lineRule="auto"/>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Качественный иммунохроматографический экспресс-тест для выявления антигенов токсина А и токсина В C. difficile в пробах кала.</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val="restart"/>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12</w:t>
            </w:r>
          </w:p>
        </w:tc>
        <w:tc>
          <w:tcPr>
            <w:tcW w:w="267"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9C2186" w:rsidRDefault="00BA0717" w:rsidP="008F3435">
            <w:pPr>
              <w:spacing w:after="0" w:line="240" w:lineRule="auto"/>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Тестовое устройство состоит из пластмассового корпуса, содержащего две разные полоски для обнаружения токсина А и токсина В.</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9C2186" w:rsidRDefault="00BA0717" w:rsidP="008F3435">
            <w:pPr>
              <w:spacing w:after="0" w:line="240" w:lineRule="auto"/>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Метод определения основан на использовании специфических мышиных моноклональных антител к клостридийному токсину А и токсину В, конъюгированных с красителем, и иммобилизованных в тестовой зоне мембраны тестовой кассеты поликлональных мышиных антител к токсинам для избирательного определения клостридийных токсинов в пробах кала с высокой степенью чувствительности и специфичности.</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9C2186" w:rsidRDefault="00BA0717" w:rsidP="008F3435">
            <w:pPr>
              <w:spacing w:after="0" w:line="240" w:lineRule="auto"/>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Качественный результат теста считывается визуально.</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9C2186" w:rsidRDefault="00BA0717" w:rsidP="008F3435">
            <w:pPr>
              <w:spacing w:after="0" w:line="240" w:lineRule="auto"/>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Состав теста:</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Тестовые кассеты – не менее 20 шт;</w:t>
            </w:r>
          </w:p>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Одноразовые пластмассовые пипетки – не менее 20 шт;</w:t>
            </w:r>
          </w:p>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Пластмассовые пробирки с 2 мл экстрагента – не менее 20 шт;</w:t>
            </w:r>
          </w:p>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Аппликаторы для отбора проб – не менее 20 шт;</w:t>
            </w:r>
          </w:p>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Инструкция – не менее 1 шт.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9C2186" w:rsidRDefault="00BA0717" w:rsidP="008F3435">
            <w:pPr>
              <w:spacing w:after="0" w:line="240" w:lineRule="auto"/>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Набор хранить при температуре от +4 до +30°C в герметично закупоренной фабричной упаковке.</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9C2186" w:rsidRDefault="00BA0717" w:rsidP="008F3435">
            <w:pPr>
              <w:spacing w:after="0" w:line="240" w:lineRule="auto"/>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Тест стабилен до истечения срока хранения, указанного на этикетке.</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9C2186">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val="restart"/>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14</w:t>
            </w:r>
          </w:p>
        </w:tc>
        <w:tc>
          <w:tcPr>
            <w:tcW w:w="513" w:type="pct"/>
            <w:vMerge w:val="restart"/>
            <w:tcBorders>
              <w:top w:val="single" w:sz="4" w:space="0" w:color="auto"/>
              <w:left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Иммунохроматографический экспресс-тест для</w:t>
            </w:r>
          </w:p>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качественного определения вирусов гриппа типов А и В в носоглоточных выделениях</w:t>
            </w:r>
          </w:p>
        </w:tc>
        <w:tc>
          <w:tcPr>
            <w:tcW w:w="350" w:type="pct"/>
            <w:vMerge w:val="restart"/>
            <w:tcBorders>
              <w:top w:val="single" w:sz="4" w:space="0" w:color="auto"/>
              <w:left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21.20.23.110</w:t>
            </w:r>
          </w:p>
        </w:tc>
        <w:tc>
          <w:tcPr>
            <w:tcW w:w="228" w:type="pct"/>
            <w:vMerge w:val="restart"/>
            <w:tcBorders>
              <w:top w:val="single" w:sz="4" w:space="0" w:color="auto"/>
              <w:left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набор</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B04AA5" w:rsidRDefault="00BA0717" w:rsidP="008F3435">
            <w:pPr>
              <w:spacing w:after="0" w:line="240" w:lineRule="auto"/>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Качественный иммунохроматографический скрининговый экспресс-тест для определения вирусов гриппа типов А и В в носоглоточных выделениях.</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val="restart"/>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w:t>
            </w:r>
          </w:p>
        </w:tc>
        <w:tc>
          <w:tcPr>
            <w:tcW w:w="267"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val="restart"/>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B04AA5" w:rsidRDefault="00BA0717" w:rsidP="008F3435">
            <w:pPr>
              <w:spacing w:after="0" w:line="240" w:lineRule="auto"/>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Исследуемые пробы: экстракты аспирата и мазков из носоглотки</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Соответствует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B04AA5" w:rsidRDefault="00BA0717" w:rsidP="008F3435">
            <w:pPr>
              <w:spacing w:after="0" w:line="240" w:lineRule="auto"/>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 xml:space="preserve">Объем пробы: </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 xml:space="preserve">≥ 200 </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мкл</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9C2186"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9C2186"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B04AA5" w:rsidRDefault="00BA0717" w:rsidP="008F3435">
            <w:pPr>
              <w:spacing w:after="0" w:line="240" w:lineRule="auto"/>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Время анализа:</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 xml:space="preserve">≥ 15 </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минут</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B04AA5" w:rsidRDefault="00BA0717" w:rsidP="008F3435">
            <w:pPr>
              <w:spacing w:after="0" w:line="240" w:lineRule="auto"/>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Чувствительность для гриппа А:</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 xml:space="preserve">не менее 100 нг/мл для штамма A/Taiwan/1/86/H1N1, </w:t>
            </w:r>
          </w:p>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не менее 25 нг/мл для штамма A/Panama/2007/99/H3N2.</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B04AA5" w:rsidRDefault="00BA0717" w:rsidP="008F3435">
            <w:pPr>
              <w:spacing w:after="0" w:line="240" w:lineRule="auto"/>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Чувствительность для гриппа В:</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не менее 25 нг/мл для штамма B/Hong Kong 5/72, не менее 50 нг/мл для штамма B/Qingdao/102/91, не менее 500 нг/мл для штамма B/Victiria/504/00 и не менее 25 нг/мл для штамма B/Tokio/53/99.</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B04AA5" w:rsidRDefault="00BA0717" w:rsidP="008F3435">
            <w:pPr>
              <w:spacing w:after="0" w:line="240" w:lineRule="auto"/>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Отсутствие перекрестной реактивности к антигенам вирусов гриппа А и В.</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Соответствие</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B04AA5" w:rsidRDefault="00BA0717" w:rsidP="008F3435">
            <w:pPr>
              <w:spacing w:after="0" w:line="240" w:lineRule="auto"/>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Состав набора:</w:t>
            </w:r>
          </w:p>
          <w:p w:rsidR="00BA0717" w:rsidRPr="00B04AA5"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Тестовые кассеты – не менее 20 шт,</w:t>
            </w:r>
          </w:p>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Тампоны – не менее 20 шт,</w:t>
            </w:r>
          </w:p>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Пробирки с фильтрующими крышками – не менее 20 шт, раствор для экстракции во флаконе-капельнице – не менее 2 шт, инструкция – не менее 1 шт.</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Участник закупки указывает в заявке конкретное значение характеристики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B04AA5" w:rsidRDefault="00BA0717" w:rsidP="008F3435">
            <w:pPr>
              <w:spacing w:after="0" w:line="240" w:lineRule="auto"/>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Хранить при температуре от +4 до +30°C в герметично закупоренной фабричной упаковке.</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Соответствие</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145"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jc w:val="center"/>
              <w:rPr>
                <w:rFonts w:ascii="Times New Roman" w:eastAsia="Times New Roman" w:hAnsi="Times New Roman" w:cs="Times New Roman"/>
                <w:color w:val="000000"/>
                <w:sz w:val="16"/>
                <w:szCs w:val="16"/>
                <w:lang w:eastAsia="ru-RU"/>
              </w:rPr>
            </w:pPr>
          </w:p>
        </w:tc>
        <w:tc>
          <w:tcPr>
            <w:tcW w:w="513"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350"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A0717" w:rsidRPr="00B04AA5" w:rsidRDefault="00BA0717" w:rsidP="008F3435">
            <w:pPr>
              <w:spacing w:after="0" w:line="240" w:lineRule="auto"/>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Тест стабилен до истечения срока хранения, указанного на этикетке.</w:t>
            </w:r>
          </w:p>
        </w:tc>
        <w:tc>
          <w:tcPr>
            <w:tcW w:w="533"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Соответствие</w:t>
            </w:r>
          </w:p>
        </w:tc>
        <w:tc>
          <w:tcPr>
            <w:tcW w:w="311"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w:t>
            </w:r>
          </w:p>
        </w:tc>
        <w:tc>
          <w:tcPr>
            <w:tcW w:w="489"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w:t>
            </w:r>
          </w:p>
        </w:tc>
        <w:tc>
          <w:tcPr>
            <w:tcW w:w="578" w:type="pct"/>
            <w:tcBorders>
              <w:top w:val="single" w:sz="4" w:space="0" w:color="auto"/>
              <w:left w:val="single" w:sz="4" w:space="0" w:color="auto"/>
              <w:bottom w:val="single" w:sz="4" w:space="0" w:color="auto"/>
              <w:right w:val="single" w:sz="4" w:space="0" w:color="auto"/>
            </w:tcBorders>
            <w:vAlign w:val="center"/>
          </w:tcPr>
          <w:p w:rsidR="00BA0717" w:rsidRPr="00B04AA5" w:rsidRDefault="00BA0717" w:rsidP="008F3435">
            <w:pPr>
              <w:spacing w:after="0" w:line="240" w:lineRule="auto"/>
              <w:jc w:val="center"/>
              <w:rPr>
                <w:rFonts w:ascii="Times New Roman" w:eastAsia="Times New Roman" w:hAnsi="Times New Roman" w:cs="Times New Roman"/>
                <w:color w:val="000000"/>
                <w:sz w:val="16"/>
                <w:szCs w:val="16"/>
                <w:lang w:eastAsia="ru-RU"/>
              </w:rPr>
            </w:pPr>
            <w:r w:rsidRPr="00B04AA5">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178"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7"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66"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22"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c>
          <w:tcPr>
            <w:tcW w:w="254" w:type="pct"/>
            <w:vMerge/>
            <w:tcBorders>
              <w:left w:val="single" w:sz="4" w:space="0" w:color="auto"/>
              <w:bottom w:val="single" w:sz="4" w:space="0" w:color="auto"/>
              <w:right w:val="single" w:sz="4" w:space="0" w:color="auto"/>
            </w:tcBorders>
            <w:vAlign w:val="center"/>
          </w:tcPr>
          <w:p w:rsidR="00BA0717" w:rsidRPr="006C537B" w:rsidRDefault="00BA0717" w:rsidP="008F3435">
            <w:pPr>
              <w:spacing w:after="0" w:line="240" w:lineRule="auto"/>
              <w:rPr>
                <w:rFonts w:ascii="Times New Roman" w:eastAsia="Times New Roman" w:hAnsi="Times New Roman" w:cs="Times New Roman"/>
                <w:color w:val="000000"/>
                <w:sz w:val="16"/>
                <w:szCs w:val="16"/>
                <w:lang w:eastAsia="ru-RU"/>
              </w:rPr>
            </w:pPr>
          </w:p>
        </w:tc>
      </w:tr>
      <w:tr w:rsidR="00BA0717" w:rsidRPr="006C537B" w:rsidTr="008F3435">
        <w:trPr>
          <w:trHeight w:val="402"/>
        </w:trPr>
        <w:tc>
          <w:tcPr>
            <w:tcW w:w="5000" w:type="pct"/>
            <w:gridSpan w:val="14"/>
            <w:tcBorders>
              <w:top w:val="single" w:sz="4" w:space="0" w:color="auto"/>
              <w:left w:val="single" w:sz="4" w:space="0" w:color="auto"/>
              <w:bottom w:val="single" w:sz="4" w:space="0" w:color="auto"/>
              <w:right w:val="single" w:sz="4" w:space="0" w:color="auto"/>
            </w:tcBorders>
            <w:vAlign w:val="center"/>
          </w:tcPr>
          <w:p w:rsidR="00BA0717" w:rsidRDefault="00BA0717" w:rsidP="008F3435">
            <w:pPr>
              <w:rPr>
                <w:rFonts w:ascii="Times New Roman" w:hAnsi="Times New Roman" w:cs="Times New Roman"/>
                <w:b/>
                <w:bCs/>
                <w:i/>
              </w:rPr>
            </w:pPr>
            <w:r w:rsidRPr="00917901">
              <w:rPr>
                <w:rFonts w:ascii="Times New Roman" w:hAnsi="Times New Roman" w:cs="Times New Roman"/>
                <w:b/>
                <w:bCs/>
                <w:i/>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w:t>
            </w:r>
          </w:p>
          <w:p w:rsidR="00BA0717" w:rsidRPr="00204192" w:rsidRDefault="00BA0717" w:rsidP="008F3435">
            <w:pPr>
              <w:autoSpaceDE w:val="0"/>
              <w:autoSpaceDN w:val="0"/>
              <w:adjustRightInd w:val="0"/>
              <w:rPr>
                <w:rFonts w:ascii="Times New Roman CYR" w:hAnsi="Times New Roman CYR" w:cs="Times New Roman CYR"/>
                <w:b/>
                <w:bCs/>
              </w:rPr>
            </w:pPr>
            <w:r>
              <w:rPr>
                <w:rFonts w:ascii="Times New Roman CYR" w:hAnsi="Times New Roman CYR" w:cs="Times New Roman CYR"/>
                <w:b/>
                <w:bCs/>
              </w:rPr>
              <w:t>**</w:t>
            </w:r>
            <w:r>
              <w:rPr>
                <w:rFonts w:ascii="Times New Roman CYR" w:hAnsi="Times New Roman CYR" w:cs="Times New Roman CYR"/>
                <w:b/>
                <w:bCs/>
                <w:i/>
                <w:iCs/>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r>
              <w:rPr>
                <w:rFonts w:ascii="Times New Roman CYR" w:hAnsi="Times New Roman CYR" w:cs="Times New Roman CYR"/>
                <w:b/>
                <w:bCs/>
              </w:rPr>
              <w:t xml:space="preserve"> </w:t>
            </w:r>
            <w:r w:rsidRPr="00891AE5">
              <w:rPr>
                <w:rFonts w:ascii="Roboto" w:hAnsi="Roboto" w:cs="Roboto"/>
                <w:color w:val="333333"/>
                <w:highlight w:val="white"/>
              </w:rPr>
              <w:t>(</w:t>
            </w:r>
            <w:hyperlink r:id="rId18" w:history="1">
              <w:r>
                <w:rPr>
                  <w:rFonts w:ascii="Calibri" w:hAnsi="Calibri" w:cs="Calibri"/>
                  <w:color w:val="0064E0"/>
                  <w:highlight w:val="white"/>
                  <w:u w:val="single"/>
                </w:rPr>
                <w:t>письмо</w:t>
              </w:r>
            </w:hyperlink>
            <w:r>
              <w:rPr>
                <w:rFonts w:ascii="Roboto" w:hAnsi="Roboto" w:cs="Roboto"/>
                <w:color w:val="333333"/>
                <w:highlight w:val="white"/>
                <w:lang w:val="en-US"/>
              </w:rPr>
              <w:t> </w:t>
            </w:r>
            <w:r>
              <w:rPr>
                <w:rFonts w:ascii="Calibri" w:hAnsi="Calibri" w:cs="Calibri"/>
                <w:color w:val="333333"/>
                <w:highlight w:val="white"/>
              </w:rPr>
              <w:t>Минфина</w:t>
            </w:r>
            <w:r w:rsidRPr="00891AE5">
              <w:rPr>
                <w:rFonts w:ascii="Roboto" w:hAnsi="Roboto" w:cs="Roboto"/>
                <w:color w:val="333333"/>
                <w:highlight w:val="white"/>
              </w:rPr>
              <w:t xml:space="preserve"> </w:t>
            </w:r>
            <w:r>
              <w:rPr>
                <w:rFonts w:ascii="Calibri" w:hAnsi="Calibri" w:cs="Calibri"/>
                <w:color w:val="333333"/>
                <w:highlight w:val="white"/>
              </w:rPr>
              <w:t>России</w:t>
            </w:r>
            <w:r w:rsidRPr="00891AE5">
              <w:rPr>
                <w:rFonts w:ascii="Roboto" w:hAnsi="Roboto" w:cs="Roboto"/>
                <w:color w:val="333333"/>
                <w:highlight w:val="white"/>
              </w:rPr>
              <w:t xml:space="preserve"> </w:t>
            </w:r>
            <w:r>
              <w:rPr>
                <w:rFonts w:ascii="Calibri" w:hAnsi="Calibri" w:cs="Calibri"/>
                <w:color w:val="333333"/>
                <w:highlight w:val="white"/>
              </w:rPr>
              <w:t>от</w:t>
            </w:r>
            <w:r w:rsidRPr="00891AE5">
              <w:rPr>
                <w:rFonts w:ascii="Roboto" w:hAnsi="Roboto" w:cs="Roboto"/>
                <w:color w:val="333333"/>
                <w:highlight w:val="white"/>
              </w:rPr>
              <w:t xml:space="preserve"> 24 </w:t>
            </w:r>
            <w:r>
              <w:rPr>
                <w:rFonts w:ascii="Calibri" w:hAnsi="Calibri" w:cs="Calibri"/>
                <w:color w:val="333333"/>
                <w:highlight w:val="white"/>
              </w:rPr>
              <w:t>января</w:t>
            </w:r>
            <w:r w:rsidRPr="00891AE5">
              <w:rPr>
                <w:rFonts w:ascii="Roboto" w:hAnsi="Roboto" w:cs="Roboto"/>
                <w:color w:val="333333"/>
                <w:highlight w:val="white"/>
              </w:rPr>
              <w:t xml:space="preserve"> 2022 </w:t>
            </w:r>
            <w:r>
              <w:rPr>
                <w:rFonts w:ascii="Calibri" w:hAnsi="Calibri" w:cs="Calibri"/>
                <w:color w:val="333333"/>
                <w:highlight w:val="white"/>
              </w:rPr>
              <w:t>г</w:t>
            </w:r>
            <w:r w:rsidRPr="00891AE5">
              <w:rPr>
                <w:rFonts w:ascii="Roboto" w:hAnsi="Roboto" w:cs="Roboto"/>
                <w:color w:val="333333"/>
                <w:highlight w:val="white"/>
              </w:rPr>
              <w:t xml:space="preserve">. </w:t>
            </w:r>
            <w:r>
              <w:rPr>
                <w:rFonts w:ascii="Roboto" w:hAnsi="Roboto" w:cs="Roboto"/>
                <w:color w:val="333333"/>
                <w:highlight w:val="white"/>
                <w:lang w:val="en-US"/>
              </w:rPr>
              <w:t>N</w:t>
            </w:r>
            <w:r w:rsidRPr="00891AE5">
              <w:rPr>
                <w:rFonts w:ascii="Roboto" w:hAnsi="Roboto" w:cs="Roboto"/>
                <w:color w:val="333333"/>
                <w:highlight w:val="white"/>
              </w:rPr>
              <w:t xml:space="preserve"> 24-03-08/4090)</w:t>
            </w:r>
          </w:p>
        </w:tc>
      </w:tr>
    </w:tbl>
    <w:p w:rsidR="00BA0717" w:rsidRPr="000437D6" w:rsidRDefault="00BA0717" w:rsidP="00E52880">
      <w:pPr>
        <w:pStyle w:val="a7"/>
        <w:widowControl w:val="0"/>
        <w:spacing w:after="0"/>
        <w:ind w:left="644"/>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BA0717">
      <w:headerReference w:type="first" r:id="rId19"/>
      <w:footerReference w:type="first" r:id="rId20"/>
      <w:pgSz w:w="16838" w:h="11906" w:orient="landscape"/>
      <w:pgMar w:top="1701" w:right="539"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A17" w:rsidRDefault="008C1A17">
      <w:pPr>
        <w:spacing w:after="0" w:line="240" w:lineRule="auto"/>
      </w:pPr>
      <w:r>
        <w:separator/>
      </w:r>
    </w:p>
  </w:endnote>
  <w:endnote w:type="continuationSeparator" w:id="0">
    <w:p w:rsidR="008C1A17" w:rsidRDefault="008C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F1966" w:rsidRDefault="002F1966">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F3435" w:rsidRDefault="002F1966">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8F3435" w:rsidRDefault="008F3435">
        <w:pPr>
          <w:pStyle w:val="ab"/>
          <w:jc w:val="right"/>
        </w:pPr>
        <w:r>
          <w:fldChar w:fldCharType="begin"/>
        </w:r>
        <w:r>
          <w:instrText>PAGE   \* MERGEFORMAT</w:instrText>
        </w:r>
        <w:r>
          <w:fldChar w:fldCharType="separate"/>
        </w:r>
        <w:r w:rsidR="002F1966">
          <w:rPr>
            <w:noProof/>
          </w:rPr>
          <w:t>1</w:t>
        </w:r>
        <w:r>
          <w:fldChar w:fldCharType="end"/>
        </w:r>
      </w:p>
    </w:sdtContent>
  </w:sdt>
  <w:p w:rsidR="008F3435" w:rsidRDefault="008F3435">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F3435" w:rsidRDefault="002F1966">
    <w:pPr>
      <w:pStyle w:val="ab"/>
      <w:jc w:val="right"/>
    </w:pPr>
    <w:sdt>
      <w:sdtPr>
        <w:id w:val="-915003870"/>
        <w:docPartObj>
          <w:docPartGallery w:val="Page Numbers (Bottom of Page)"/>
          <w:docPartUnique/>
        </w:docPartObj>
      </w:sdtPr>
      <w:sdtEndPr/>
      <w:sdtContent>
        <w:r w:rsidR="008F3435">
          <w:fldChar w:fldCharType="begin"/>
        </w:r>
        <w:r w:rsidR="008F3435">
          <w:instrText>PAGE   \* MERGEFORMAT</w:instrText>
        </w:r>
        <w:r w:rsidR="008F3435">
          <w:fldChar w:fldCharType="separate"/>
        </w:r>
        <w:r w:rsidR="008F3435">
          <w:rPr>
            <w:noProof/>
          </w:rPr>
          <w:t>2</w:t>
        </w:r>
        <w:r w:rsidR="008F3435">
          <w:fldChar w:fldCharType="end"/>
        </w:r>
      </w:sdtContent>
    </w:sdt>
  </w:p>
  <w:p w:rsidR="008F3435" w:rsidRDefault="008F3435"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F3435" w:rsidRDefault="002F1966">
    <w:pPr>
      <w:pStyle w:val="ab"/>
      <w:jc w:val="right"/>
    </w:pPr>
    <w:sdt>
      <w:sdtPr>
        <w:id w:val="707909240"/>
        <w:docPartObj>
          <w:docPartGallery w:val="Page Numbers (Bottom of Page)"/>
          <w:docPartUnique/>
        </w:docPartObj>
      </w:sdtPr>
      <w:sdtEndPr/>
      <w:sdtContent>
        <w:r w:rsidR="008F3435">
          <w:fldChar w:fldCharType="begin"/>
        </w:r>
        <w:r w:rsidR="008F3435">
          <w:instrText>PAGE   \* MERGEFORMAT</w:instrText>
        </w:r>
        <w:r w:rsidR="008F3435">
          <w:fldChar w:fldCharType="separate"/>
        </w:r>
        <w:r>
          <w:rPr>
            <w:noProof/>
          </w:rPr>
          <w:t>2</w:t>
        </w:r>
        <w:r w:rsidR="008F3435">
          <w:fldChar w:fldCharType="end"/>
        </w:r>
      </w:sdtContent>
    </w:sdt>
  </w:p>
  <w:p w:rsidR="008F3435" w:rsidRDefault="008F3435"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F3435" w:rsidRDefault="002F1966">
    <w:pPr>
      <w:pStyle w:val="ab"/>
      <w:jc w:val="right"/>
    </w:pPr>
    <w:sdt>
      <w:sdtPr>
        <w:id w:val="-800836465"/>
        <w:docPartObj>
          <w:docPartGallery w:val="Page Numbers (Bottom of Page)"/>
          <w:docPartUnique/>
        </w:docPartObj>
      </w:sdtPr>
      <w:sdtEndPr/>
      <w:sdtContent>
        <w:r w:rsidR="008F3435">
          <w:fldChar w:fldCharType="begin"/>
        </w:r>
        <w:r w:rsidR="008F3435">
          <w:instrText>PAGE   \* MERGEFORMAT</w:instrText>
        </w:r>
        <w:r w:rsidR="008F3435">
          <w:fldChar w:fldCharType="separate"/>
        </w:r>
        <w:r w:rsidR="00CD1CC7">
          <w:rPr>
            <w:noProof/>
          </w:rPr>
          <w:t>4</w:t>
        </w:r>
        <w:r w:rsidR="008F3435">
          <w:fldChar w:fldCharType="end"/>
        </w:r>
      </w:sdtContent>
    </w:sdt>
  </w:p>
  <w:p w:rsidR="008F3435" w:rsidRDefault="008F3435"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A17" w:rsidRDefault="008C1A17">
      <w:pPr>
        <w:spacing w:after="0" w:line="240" w:lineRule="auto"/>
      </w:pPr>
      <w:r>
        <w:separator/>
      </w:r>
    </w:p>
  </w:footnote>
  <w:footnote w:type="continuationSeparator" w:id="0">
    <w:p w:rsidR="008C1A17" w:rsidRDefault="008C1A17">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F1966" w:rsidRDefault="002F1966">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F1966" w:rsidRDefault="002F1966">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F1966" w:rsidRDefault="002F1966">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F3435" w:rsidRPr="006B0C1A" w:rsidRDefault="008F3435"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F3435" w:rsidRPr="006B0C1A" w:rsidRDefault="008F3435"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46D2C"/>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1966"/>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50F"/>
    <w:rsid w:val="00733DFE"/>
    <w:rsid w:val="00735AB0"/>
    <w:rsid w:val="00742657"/>
    <w:rsid w:val="0074516E"/>
    <w:rsid w:val="00747D8C"/>
    <w:rsid w:val="0075145B"/>
    <w:rsid w:val="0076046A"/>
    <w:rsid w:val="00766A7E"/>
    <w:rsid w:val="00770DBE"/>
    <w:rsid w:val="00771FD3"/>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1A17"/>
    <w:rsid w:val="008C7CC3"/>
    <w:rsid w:val="008D36C2"/>
    <w:rsid w:val="008E65F0"/>
    <w:rsid w:val="008F273B"/>
    <w:rsid w:val="008F3435"/>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129"/>
    <w:rsid w:val="00B33706"/>
    <w:rsid w:val="00B35BFC"/>
    <w:rsid w:val="00B61169"/>
    <w:rsid w:val="00B664DC"/>
    <w:rsid w:val="00B666D7"/>
    <w:rsid w:val="00B66D35"/>
    <w:rsid w:val="00B67E6D"/>
    <w:rsid w:val="00B77DAE"/>
    <w:rsid w:val="00B8743B"/>
    <w:rsid w:val="00B96A23"/>
    <w:rsid w:val="00BA0717"/>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CC7"/>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 w:val="00FF0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minfin.gov.ru/ru/document/?id_4=1353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F5755-4F37-4B69-A0D2-BFC7189A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3832</Words>
  <Characters>21843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2025-01-16T09:29:00Z</dcterms:created>
  <dcterms:modified xsi:type="dcterms:W3CDTF">2025-01-16T09:29:00Z</dcterms:modified>
</cp:coreProperties>
</file>