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05-07/231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72AC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5 (пять).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3х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943"/>
        <w:gridCol w:w="4961"/>
        <w:gridCol w:w="782"/>
        <w:gridCol w:w="1089"/>
        <w:gridCol w:w="1708"/>
        <w:gridCol w:w="1399"/>
        <w:gridCol w:w="779"/>
        <w:gridCol w:w="1084"/>
        <w:gridCol w:w="1103"/>
      </w:tblGrid>
      <w:tr w:rsidR="00325277" w:rsidRPr="00B26118" w:rsidTr="00747DF5">
        <w:trPr>
          <w:trHeight w:val="20"/>
          <w:jc w:val="center"/>
        </w:trPr>
        <w:tc>
          <w:tcPr>
            <w:tcW w:w="465" w:type="dxa"/>
            <w:shd w:val="clear" w:color="auto" w:fill="auto"/>
            <w:vAlign w:val="center"/>
            <w:hideMark/>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 п/п</w:t>
            </w:r>
          </w:p>
        </w:tc>
        <w:tc>
          <w:tcPr>
            <w:tcW w:w="2943" w:type="dxa"/>
            <w:shd w:val="clear" w:color="auto" w:fill="auto"/>
            <w:vAlign w:val="center"/>
            <w:hideMark/>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 xml:space="preserve">Наименование товара </w:t>
            </w:r>
          </w:p>
        </w:tc>
        <w:tc>
          <w:tcPr>
            <w:tcW w:w="4961" w:type="dxa"/>
            <w:shd w:val="clear" w:color="auto" w:fill="auto"/>
            <w:vAlign w:val="center"/>
            <w:hideMark/>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782" w:type="dxa"/>
            <w:shd w:val="clear" w:color="auto" w:fill="auto"/>
            <w:vAlign w:val="center"/>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Кол-во</w:t>
            </w:r>
          </w:p>
        </w:tc>
        <w:tc>
          <w:tcPr>
            <w:tcW w:w="1089" w:type="dxa"/>
            <w:shd w:val="clear" w:color="auto" w:fill="auto"/>
            <w:vAlign w:val="center"/>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Ед. изм.</w:t>
            </w:r>
          </w:p>
        </w:tc>
        <w:tc>
          <w:tcPr>
            <w:tcW w:w="1708" w:type="dxa"/>
            <w:shd w:val="clear" w:color="auto" w:fill="auto"/>
            <w:vAlign w:val="center"/>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ОКПД2/ КТРУ</w:t>
            </w:r>
          </w:p>
        </w:tc>
        <w:tc>
          <w:tcPr>
            <w:tcW w:w="1399" w:type="dxa"/>
            <w:shd w:val="clear" w:color="auto" w:fill="auto"/>
            <w:vAlign w:val="center"/>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Страна происхождения</w:t>
            </w:r>
          </w:p>
        </w:tc>
        <w:tc>
          <w:tcPr>
            <w:tcW w:w="779" w:type="dxa"/>
            <w:shd w:val="clear" w:color="auto" w:fill="auto"/>
            <w:vAlign w:val="center"/>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НДС %</w:t>
            </w:r>
          </w:p>
        </w:tc>
        <w:tc>
          <w:tcPr>
            <w:tcW w:w="1084" w:type="dxa"/>
            <w:shd w:val="clear" w:color="auto" w:fill="auto"/>
            <w:vAlign w:val="center"/>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Цена за ед. без НДС (руб.)</w:t>
            </w:r>
          </w:p>
        </w:tc>
        <w:tc>
          <w:tcPr>
            <w:tcW w:w="1103" w:type="dxa"/>
            <w:shd w:val="clear" w:color="auto" w:fill="auto"/>
            <w:vAlign w:val="center"/>
          </w:tcPr>
          <w:p w:rsidR="00325277" w:rsidRPr="00B26118" w:rsidRDefault="00325277" w:rsidP="00747DF5">
            <w:pPr>
              <w:spacing w:after="0" w:line="240" w:lineRule="auto"/>
              <w:jc w:val="center"/>
              <w:rPr>
                <w:rFonts w:ascii="Times New Roman" w:eastAsia="Times New Roman" w:hAnsi="Times New Roman" w:cs="Times New Roman"/>
                <w:b/>
                <w:lang w:eastAsia="ru-RU"/>
              </w:rPr>
            </w:pPr>
            <w:r w:rsidRPr="00B26118">
              <w:rPr>
                <w:rFonts w:ascii="Times New Roman" w:eastAsia="Times New Roman" w:hAnsi="Times New Roman" w:cs="Times New Roman"/>
                <w:b/>
                <w:lang w:eastAsia="ru-RU"/>
              </w:rPr>
              <w:t>Сумма без НДС (руб.)</w:t>
            </w:r>
          </w:p>
        </w:tc>
      </w:tr>
      <w:tr w:rsidR="00325277" w:rsidRPr="00B26118" w:rsidTr="00747DF5">
        <w:trPr>
          <w:trHeight w:val="20"/>
          <w:jc w:val="center"/>
        </w:trPr>
        <w:tc>
          <w:tcPr>
            <w:tcW w:w="465" w:type="dxa"/>
            <w:shd w:val="clear" w:color="auto" w:fill="auto"/>
          </w:tcPr>
          <w:p w:rsidR="00325277" w:rsidRPr="00B26118" w:rsidRDefault="00325277"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Антитела к Меланосомам</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Антитела моноклональные мышиные к человеческому Меланосомам, клон HMB-45, для использования на фиксированных формалином парафинизированных  срезах,  концентрат,   поставляются в жидком виде в 50 мМ трис-буфере,  в стеклянном  флаконе,  флакон  вложен в картонную   упаковку, предназначены  для диагностики in vitro,   зарегистрированы в РФ, фасовка не менее  1 мл</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25277" w:rsidRPr="00B26118" w:rsidRDefault="00325277" w:rsidP="00747DF5">
            <w:pPr>
              <w:spacing w:after="0" w:line="240" w:lineRule="auto"/>
              <w:jc w:val="center"/>
              <w:rPr>
                <w:rFonts w:ascii="Times New Roman" w:hAnsi="Times New Roman" w:cs="Times New Roman"/>
                <w:lang w:eastAsia="ru-RU"/>
              </w:rPr>
            </w:pPr>
            <w:r w:rsidRPr="00B26118">
              <w:rPr>
                <w:rFonts w:ascii="Times New Roman" w:hAnsi="Times New Roman" w:cs="Times New Roman"/>
                <w:lang w:eastAsia="ru-RU"/>
              </w:rPr>
              <w:t>1</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шт</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21.20.23.110</w:t>
            </w:r>
          </w:p>
        </w:tc>
        <w:tc>
          <w:tcPr>
            <w:tcW w:w="1399"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779"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1084"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1103"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r>
      <w:tr w:rsidR="00325277" w:rsidRPr="00B26118" w:rsidTr="00747DF5">
        <w:trPr>
          <w:trHeight w:val="20"/>
          <w:jc w:val="center"/>
        </w:trPr>
        <w:tc>
          <w:tcPr>
            <w:tcW w:w="465" w:type="dxa"/>
            <w:shd w:val="clear" w:color="auto" w:fill="auto"/>
          </w:tcPr>
          <w:p w:rsidR="00325277" w:rsidRPr="00B26118" w:rsidRDefault="00325277"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943"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Антитела к CDX2</w:t>
            </w:r>
          </w:p>
        </w:tc>
        <w:tc>
          <w:tcPr>
            <w:tcW w:w="4961"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Антитела моноклональные мышиные к CDX-2, клон DAK-CDX2,  концентрат, поставляются в виде жидкого супернатанта клеточной культуры (содержащего эмбриональную телячью сыворотку), рН 7,2 и содержат 0,015 моль/л азида натрия, поставляются в стеклянном  флаконе, флакон вложен в картонную упаковку, предназначены для диагностики in vitro, зарегистрированы в РФ, фасовка не менее 1 мл</w:t>
            </w:r>
            <w:r w:rsidRPr="00B26118">
              <w:rPr>
                <w:rFonts w:ascii="Times New Roman" w:hAnsi="Times New Roman" w:cs="Times New Roman"/>
              </w:rPr>
              <w:br/>
              <w:t>рекомендуемое разведение 1:50</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25277" w:rsidRPr="00B26118" w:rsidRDefault="00325277" w:rsidP="00747DF5">
            <w:pPr>
              <w:spacing w:after="0" w:line="240" w:lineRule="auto"/>
              <w:jc w:val="center"/>
              <w:rPr>
                <w:rFonts w:ascii="Times New Roman" w:hAnsi="Times New Roman" w:cs="Times New Roman"/>
                <w:lang w:eastAsia="ru-RU"/>
              </w:rPr>
            </w:pPr>
            <w:r w:rsidRPr="00B26118">
              <w:rPr>
                <w:rFonts w:ascii="Times New Roman" w:hAnsi="Times New Roman" w:cs="Times New Roman"/>
                <w:lang w:eastAsia="ru-RU"/>
              </w:rPr>
              <w:t>2</w:t>
            </w:r>
          </w:p>
        </w:tc>
        <w:tc>
          <w:tcPr>
            <w:tcW w:w="1089"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шт</w:t>
            </w:r>
          </w:p>
        </w:tc>
        <w:tc>
          <w:tcPr>
            <w:tcW w:w="1708"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21.20.23.110</w:t>
            </w:r>
          </w:p>
        </w:tc>
        <w:tc>
          <w:tcPr>
            <w:tcW w:w="1399"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779"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1084"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1103"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r>
      <w:tr w:rsidR="00325277" w:rsidRPr="00B26118" w:rsidTr="00747DF5">
        <w:trPr>
          <w:trHeight w:val="20"/>
          <w:jc w:val="center"/>
        </w:trPr>
        <w:tc>
          <w:tcPr>
            <w:tcW w:w="465" w:type="dxa"/>
            <w:shd w:val="clear" w:color="auto" w:fill="auto"/>
          </w:tcPr>
          <w:p w:rsidR="00325277" w:rsidRPr="00B26118" w:rsidRDefault="00325277"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943"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Виментин ИВД, антитела</w:t>
            </w:r>
          </w:p>
        </w:tc>
        <w:tc>
          <w:tcPr>
            <w:tcW w:w="4961"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spacing w:line="240" w:lineRule="auto"/>
              <w:rPr>
                <w:rFonts w:ascii="Times New Roman" w:hAnsi="Times New Roman" w:cs="Times New Roman"/>
              </w:rPr>
            </w:pPr>
            <w:r w:rsidRPr="00B26118">
              <w:rPr>
                <w:rFonts w:ascii="Times New Roman" w:hAnsi="Times New Roman" w:cs="Times New Roman"/>
              </w:rPr>
              <w:t>Количество выполняемых тестов: ≥ 60 штук;</w:t>
            </w:r>
            <w:r w:rsidRPr="00B26118">
              <w:rPr>
                <w:rFonts w:ascii="Times New Roman" w:hAnsi="Times New Roman" w:cs="Times New Roman"/>
              </w:rPr>
              <w:br/>
              <w:t>Назначение: Для автоматической и ручной постановки</w:t>
            </w:r>
            <w:r w:rsidRPr="00B26118">
              <w:rPr>
                <w:rFonts w:ascii="Times New Roman" w:hAnsi="Times New Roman" w:cs="Times New Roman"/>
              </w:rPr>
              <w:br/>
              <w:t>Дополнительные характеристики:*</w:t>
            </w:r>
            <w:r w:rsidRPr="00B26118">
              <w:rPr>
                <w:rFonts w:ascii="Times New Roman" w:hAnsi="Times New Roman" w:cs="Times New Roman"/>
              </w:rPr>
              <w:br/>
              <w:t>1.Клон V9,</w:t>
            </w:r>
            <w:r w:rsidRPr="00B26118">
              <w:rPr>
                <w:rFonts w:ascii="Times New Roman" w:hAnsi="Times New Roman" w:cs="Times New Roman"/>
              </w:rPr>
              <w:br/>
              <w:t>2.Форма выпуска:  готовые к применению;</w:t>
            </w:r>
            <w:r w:rsidRPr="00B26118">
              <w:rPr>
                <w:rFonts w:ascii="Times New Roman" w:hAnsi="Times New Roman" w:cs="Times New Roman"/>
              </w:rPr>
              <w:br/>
              <w:t>3.Объем не менее 12 мл</w:t>
            </w:r>
            <w:r w:rsidRPr="00B26118">
              <w:rPr>
                <w:rFonts w:ascii="Times New Roman" w:hAnsi="Times New Roman" w:cs="Times New Roman"/>
              </w:rPr>
              <w:br/>
              <w:t>4.Метод: иммуногистохимия;</w:t>
            </w:r>
            <w:r w:rsidRPr="00B26118">
              <w:rPr>
                <w:rFonts w:ascii="Times New Roman" w:hAnsi="Times New Roman" w:cs="Times New Roman"/>
              </w:rPr>
              <w:br/>
              <w:t>5.Формат: флакон имеет заводскую маркировку 2D БАР-код, автоматически распознаваемый автостейнером Дако Линк 48.</w:t>
            </w:r>
          </w:p>
          <w:p w:rsidR="00325277" w:rsidRPr="00B26118" w:rsidRDefault="00325277" w:rsidP="00747DF5">
            <w:pPr>
              <w:spacing w:line="240" w:lineRule="auto"/>
              <w:rPr>
                <w:rFonts w:ascii="Times New Roman" w:hAnsi="Times New Roman" w:cs="Times New Roman"/>
              </w:rPr>
            </w:pPr>
            <w:r w:rsidRPr="00B26118">
              <w:rPr>
                <w:rFonts w:ascii="Times New Roman" w:hAnsi="Times New Roman" w:cs="Times New Roman"/>
              </w:rPr>
              <w:t>Обоснование дополнительных характеристик:*</w:t>
            </w:r>
          </w:p>
          <w:p w:rsidR="00325277" w:rsidRPr="00B26118" w:rsidRDefault="00325277" w:rsidP="00747DF5">
            <w:pPr>
              <w:spacing w:line="240" w:lineRule="auto"/>
              <w:rPr>
                <w:rFonts w:ascii="Times New Roman" w:hAnsi="Times New Roman" w:cs="Times New Roman"/>
              </w:rPr>
            </w:pPr>
            <w:r w:rsidRPr="00B26118">
              <w:rPr>
                <w:rFonts w:ascii="Times New Roman" w:hAnsi="Times New Roman" w:cs="Times New Roman"/>
              </w:rPr>
              <w:t>1.В соответствии с особенностями проводимых исследований и четко проработанными раннее методиками, дающими гарантированный положительный результат исследования, необходим именного этот клон</w:t>
            </w:r>
          </w:p>
          <w:p w:rsidR="00325277" w:rsidRPr="00B26118" w:rsidRDefault="00325277" w:rsidP="00747DF5">
            <w:pPr>
              <w:spacing w:line="240" w:lineRule="auto"/>
              <w:rPr>
                <w:rFonts w:ascii="Times New Roman" w:hAnsi="Times New Roman" w:cs="Times New Roman"/>
              </w:rPr>
            </w:pPr>
            <w:r w:rsidRPr="00B26118">
              <w:rPr>
                <w:rFonts w:ascii="Times New Roman" w:hAnsi="Times New Roman" w:cs="Times New Roman"/>
              </w:rPr>
              <w:t>2.Снижает риск влияния человеческого фактора, не требует разведения</w:t>
            </w:r>
          </w:p>
          <w:p w:rsidR="00325277" w:rsidRPr="00B26118" w:rsidRDefault="00325277" w:rsidP="00747DF5">
            <w:pPr>
              <w:spacing w:line="240" w:lineRule="auto"/>
              <w:rPr>
                <w:rFonts w:ascii="Times New Roman" w:hAnsi="Times New Roman" w:cs="Times New Roman"/>
              </w:rPr>
            </w:pPr>
            <w:r w:rsidRPr="00B26118">
              <w:rPr>
                <w:rFonts w:ascii="Times New Roman" w:hAnsi="Times New Roman" w:cs="Times New Roman"/>
              </w:rPr>
              <w:t>3.Годовое количество исследований, проводимых с использованием данного антитела, определяет общий объем требуемого к поставке реактива</w:t>
            </w:r>
          </w:p>
          <w:p w:rsidR="00325277" w:rsidRPr="00B26118" w:rsidRDefault="00325277" w:rsidP="00747DF5">
            <w:pPr>
              <w:spacing w:line="240" w:lineRule="auto"/>
              <w:rPr>
                <w:rFonts w:ascii="Times New Roman" w:hAnsi="Times New Roman" w:cs="Times New Roman"/>
              </w:rPr>
            </w:pPr>
            <w:r w:rsidRPr="00B26118">
              <w:rPr>
                <w:rFonts w:ascii="Times New Roman" w:hAnsi="Times New Roman" w:cs="Times New Roman"/>
              </w:rPr>
              <w:t>4.Заказчик использует метод иммуногистохимии</w:t>
            </w:r>
          </w:p>
          <w:p w:rsidR="00325277" w:rsidRPr="00B26118" w:rsidRDefault="00325277" w:rsidP="00747DF5">
            <w:pPr>
              <w:spacing w:line="240" w:lineRule="auto"/>
              <w:rPr>
                <w:rFonts w:ascii="Times New Roman" w:hAnsi="Times New Roman" w:cs="Times New Roman"/>
              </w:rPr>
            </w:pPr>
            <w:r w:rsidRPr="00B26118">
              <w:rPr>
                <w:rFonts w:ascii="Times New Roman" w:hAnsi="Times New Roman" w:cs="Times New Roman"/>
              </w:rPr>
              <w:t>5.Совместимость с оборудованием, имеющимся у Заказчика</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25277" w:rsidRPr="00B26118" w:rsidRDefault="00325277" w:rsidP="00747DF5">
            <w:pPr>
              <w:spacing w:after="0" w:line="240" w:lineRule="auto"/>
              <w:jc w:val="center"/>
              <w:rPr>
                <w:rFonts w:ascii="Times New Roman" w:hAnsi="Times New Roman" w:cs="Times New Roman"/>
                <w:lang w:eastAsia="ru-RU"/>
              </w:rPr>
            </w:pPr>
            <w:r w:rsidRPr="00B26118">
              <w:rPr>
                <w:rFonts w:ascii="Times New Roman" w:hAnsi="Times New Roman" w:cs="Times New Roman"/>
                <w:lang w:eastAsia="ru-RU"/>
              </w:rPr>
              <w:t>3</w:t>
            </w:r>
          </w:p>
        </w:tc>
        <w:tc>
          <w:tcPr>
            <w:tcW w:w="1089"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набор</w:t>
            </w:r>
          </w:p>
        </w:tc>
        <w:tc>
          <w:tcPr>
            <w:tcW w:w="1708"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21.20.23.110-00005908</w:t>
            </w:r>
          </w:p>
        </w:tc>
        <w:tc>
          <w:tcPr>
            <w:tcW w:w="1399"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779"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1084"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1103"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r>
      <w:tr w:rsidR="00325277" w:rsidRPr="00B26118" w:rsidTr="00747DF5">
        <w:trPr>
          <w:trHeight w:val="20"/>
          <w:jc w:val="center"/>
        </w:trPr>
        <w:tc>
          <w:tcPr>
            <w:tcW w:w="465" w:type="dxa"/>
            <w:shd w:val="clear" w:color="auto" w:fill="auto"/>
          </w:tcPr>
          <w:p w:rsidR="00325277" w:rsidRPr="00B26118" w:rsidRDefault="00325277"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943"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Актин гладкомышечной ткани ИВД, антитела</w:t>
            </w:r>
          </w:p>
        </w:tc>
        <w:tc>
          <w:tcPr>
            <w:tcW w:w="4961"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spacing w:after="0"/>
              <w:rPr>
                <w:rFonts w:ascii="Times New Roman" w:hAnsi="Times New Roman" w:cs="Times New Roman"/>
              </w:rPr>
            </w:pPr>
            <w:r w:rsidRPr="00B26118">
              <w:rPr>
                <w:rFonts w:ascii="Times New Roman" w:hAnsi="Times New Roman" w:cs="Times New Roman"/>
              </w:rPr>
              <w:t>Количество выполняемых тестов</w:t>
            </w:r>
            <w:r w:rsidRPr="00B26118">
              <w:rPr>
                <w:rFonts w:ascii="Times New Roman" w:hAnsi="Times New Roman" w:cs="Times New Roman"/>
              </w:rPr>
              <w:br/>
              <w:t>≥ 100 штук;</w:t>
            </w:r>
            <w:r w:rsidRPr="00B26118">
              <w:rPr>
                <w:rFonts w:ascii="Times New Roman" w:hAnsi="Times New Roman" w:cs="Times New Roman"/>
              </w:rPr>
              <w:br/>
              <w:t>Назначение: Для автоматической и ручной постановки</w:t>
            </w:r>
            <w:r w:rsidRPr="00B26118">
              <w:rPr>
                <w:rFonts w:ascii="Times New Roman" w:hAnsi="Times New Roman" w:cs="Times New Roman"/>
              </w:rPr>
              <w:br/>
              <w:t>Дополнительные характеристики:</w:t>
            </w:r>
            <w:r>
              <w:rPr>
                <w:rFonts w:ascii="Times New Roman" w:hAnsi="Times New Roman" w:cs="Times New Roman"/>
              </w:rPr>
              <w:t>*</w:t>
            </w:r>
            <w:r w:rsidRPr="00B26118">
              <w:rPr>
                <w:rFonts w:ascii="Times New Roman" w:hAnsi="Times New Roman" w:cs="Times New Roman"/>
              </w:rPr>
              <w:br/>
              <w:t>1.Метод: иммуногистохимия</w:t>
            </w:r>
            <w:r w:rsidRPr="00B26118">
              <w:rPr>
                <w:rFonts w:ascii="Times New Roman" w:hAnsi="Times New Roman" w:cs="Times New Roman"/>
              </w:rPr>
              <w:br/>
              <w:t>2.Клон: 1A4</w:t>
            </w:r>
            <w:r w:rsidRPr="00B26118">
              <w:rPr>
                <w:rFonts w:ascii="Times New Roman" w:hAnsi="Times New Roman" w:cs="Times New Roman"/>
              </w:rPr>
              <w:br/>
              <w:t>3.Форма выпуска: жидкие концентрированные</w:t>
            </w:r>
            <w:r w:rsidRPr="00B26118">
              <w:rPr>
                <w:rFonts w:ascii="Times New Roman" w:hAnsi="Times New Roman" w:cs="Times New Roman"/>
              </w:rPr>
              <w:br/>
              <w:t>4.Рекомендуемое разведение   1:50-1:100</w:t>
            </w:r>
            <w:r w:rsidRPr="00B26118">
              <w:rPr>
                <w:rFonts w:ascii="Times New Roman" w:hAnsi="Times New Roman" w:cs="Times New Roman"/>
              </w:rPr>
              <w:br/>
              <w:t>5.Объем не менее 1 мл.</w:t>
            </w:r>
          </w:p>
          <w:p w:rsidR="00325277" w:rsidRPr="00B26118" w:rsidRDefault="00325277" w:rsidP="00747DF5">
            <w:pPr>
              <w:spacing w:after="0" w:line="240" w:lineRule="auto"/>
              <w:rPr>
                <w:rFonts w:ascii="Times New Roman" w:hAnsi="Times New Roman" w:cs="Times New Roman"/>
              </w:rPr>
            </w:pPr>
            <w:r w:rsidRPr="00B26118">
              <w:rPr>
                <w:rFonts w:ascii="Times New Roman" w:hAnsi="Times New Roman" w:cs="Times New Roman"/>
              </w:rPr>
              <w:t>Обоснование дополнительных характеристик:*</w:t>
            </w:r>
          </w:p>
          <w:p w:rsidR="00325277" w:rsidRPr="00B26118" w:rsidRDefault="00325277" w:rsidP="00747DF5">
            <w:pPr>
              <w:spacing w:after="0" w:line="240" w:lineRule="auto"/>
              <w:rPr>
                <w:rFonts w:ascii="Times New Roman" w:hAnsi="Times New Roman" w:cs="Times New Roman"/>
              </w:rPr>
            </w:pPr>
            <w:r w:rsidRPr="00B26118">
              <w:rPr>
                <w:rFonts w:ascii="Times New Roman" w:hAnsi="Times New Roman" w:cs="Times New Roman"/>
              </w:rPr>
              <w:t xml:space="preserve">1.Метод конкретизирован в соответствии с особенностями исследований. </w:t>
            </w:r>
          </w:p>
          <w:p w:rsidR="00325277" w:rsidRPr="00B26118" w:rsidRDefault="00325277" w:rsidP="00747DF5">
            <w:pPr>
              <w:spacing w:after="0" w:line="240" w:lineRule="auto"/>
              <w:rPr>
                <w:rFonts w:ascii="Times New Roman" w:hAnsi="Times New Roman" w:cs="Times New Roman"/>
              </w:rPr>
            </w:pPr>
            <w:r w:rsidRPr="00B26118">
              <w:rPr>
                <w:rFonts w:ascii="Times New Roman" w:hAnsi="Times New Roman" w:cs="Times New Roman"/>
              </w:rPr>
              <w:t xml:space="preserve">2.Необходим именно этот клон в соответствии с особенностями проводимых исследований  и  четко проработанными раннее    методиками, дающими гарантированный положительный результат исследования. </w:t>
            </w:r>
          </w:p>
          <w:p w:rsidR="00325277" w:rsidRPr="00B26118" w:rsidRDefault="00325277" w:rsidP="00747DF5">
            <w:pPr>
              <w:spacing w:after="0" w:line="240" w:lineRule="auto"/>
              <w:rPr>
                <w:rFonts w:ascii="Times New Roman" w:hAnsi="Times New Roman" w:cs="Times New Roman"/>
              </w:rPr>
            </w:pPr>
            <w:r w:rsidRPr="00B26118">
              <w:rPr>
                <w:rFonts w:ascii="Times New Roman" w:hAnsi="Times New Roman" w:cs="Times New Roman"/>
              </w:rPr>
              <w:t>3.Концентрация реагента обеспечивает проведение   большого объема исследований.</w:t>
            </w:r>
          </w:p>
          <w:p w:rsidR="00325277" w:rsidRPr="00B26118" w:rsidRDefault="00325277" w:rsidP="00747DF5">
            <w:pPr>
              <w:spacing w:after="0" w:line="240" w:lineRule="auto"/>
              <w:rPr>
                <w:rFonts w:ascii="Times New Roman" w:hAnsi="Times New Roman" w:cs="Times New Roman"/>
              </w:rPr>
            </w:pPr>
            <w:r w:rsidRPr="00B26118">
              <w:rPr>
                <w:rFonts w:ascii="Times New Roman" w:hAnsi="Times New Roman" w:cs="Times New Roman"/>
              </w:rPr>
              <w:t>4.В соответствии с рекомендованными протоколами исследований.</w:t>
            </w:r>
          </w:p>
          <w:p w:rsidR="00325277" w:rsidRPr="00B26118" w:rsidRDefault="00325277" w:rsidP="00747DF5">
            <w:pPr>
              <w:spacing w:after="0" w:line="240" w:lineRule="auto"/>
              <w:rPr>
                <w:rFonts w:ascii="Times New Roman" w:hAnsi="Times New Roman" w:cs="Times New Roman"/>
              </w:rPr>
            </w:pPr>
            <w:r w:rsidRPr="00B26118">
              <w:rPr>
                <w:rFonts w:ascii="Times New Roman" w:hAnsi="Times New Roman" w:cs="Times New Roman"/>
              </w:rPr>
              <w:t>5.Указан минимальный объем, позволяющий выполнять запланированное на год количество исследований.</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25277" w:rsidRPr="00B26118" w:rsidRDefault="00325277" w:rsidP="00747DF5">
            <w:pPr>
              <w:spacing w:after="0" w:line="240" w:lineRule="auto"/>
              <w:jc w:val="center"/>
              <w:rPr>
                <w:rFonts w:ascii="Times New Roman" w:hAnsi="Times New Roman" w:cs="Times New Roman"/>
                <w:lang w:eastAsia="ru-RU"/>
              </w:rPr>
            </w:pPr>
            <w:r w:rsidRPr="00B26118">
              <w:rPr>
                <w:rFonts w:ascii="Times New Roman" w:hAnsi="Times New Roman" w:cs="Times New Roman"/>
                <w:lang w:eastAsia="ru-RU"/>
              </w:rPr>
              <w:t>2</w:t>
            </w:r>
          </w:p>
        </w:tc>
        <w:tc>
          <w:tcPr>
            <w:tcW w:w="1089"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набор</w:t>
            </w:r>
          </w:p>
        </w:tc>
        <w:tc>
          <w:tcPr>
            <w:tcW w:w="1708" w:type="dxa"/>
            <w:tcBorders>
              <w:top w:val="nil"/>
              <w:left w:val="single" w:sz="4" w:space="0" w:color="auto"/>
              <w:bottom w:val="single" w:sz="4" w:space="0" w:color="auto"/>
              <w:right w:val="single" w:sz="4" w:space="0" w:color="auto"/>
            </w:tcBorders>
            <w:shd w:val="clear" w:color="auto" w:fill="auto"/>
            <w:vAlign w:val="bottom"/>
          </w:tcPr>
          <w:p w:rsidR="00325277" w:rsidRPr="00B26118" w:rsidRDefault="00325277" w:rsidP="00747DF5">
            <w:pPr>
              <w:rPr>
                <w:rFonts w:ascii="Times New Roman" w:hAnsi="Times New Roman" w:cs="Times New Roman"/>
              </w:rPr>
            </w:pPr>
            <w:r w:rsidRPr="00B26118">
              <w:rPr>
                <w:rFonts w:ascii="Times New Roman" w:hAnsi="Times New Roman" w:cs="Times New Roman"/>
              </w:rPr>
              <w:t>21.20.23.110-00008310</w:t>
            </w:r>
          </w:p>
        </w:tc>
        <w:tc>
          <w:tcPr>
            <w:tcW w:w="1399"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779"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1084"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c>
          <w:tcPr>
            <w:tcW w:w="1103" w:type="dxa"/>
            <w:shd w:val="clear" w:color="auto" w:fill="auto"/>
          </w:tcPr>
          <w:p w:rsidR="00325277" w:rsidRPr="00B26118" w:rsidRDefault="00325277" w:rsidP="00747DF5">
            <w:pPr>
              <w:spacing w:after="0" w:line="240" w:lineRule="auto"/>
              <w:jc w:val="center"/>
              <w:rPr>
                <w:rFonts w:ascii="Times New Roman" w:eastAsia="Times New Roman" w:hAnsi="Times New Roman" w:cs="Times New Roman"/>
                <w:lang w:eastAsia="ru-RU"/>
              </w:rPr>
            </w:pPr>
          </w:p>
        </w:tc>
      </w:tr>
    </w:tbl>
    <w:p w:rsidR="00325277" w:rsidRDefault="00325277" w:rsidP="00325277">
      <w:pPr>
        <w:autoSpaceDE w:val="0"/>
        <w:autoSpaceDN w:val="0"/>
        <w:adjustRightInd w:val="0"/>
        <w:rPr>
          <w:rFonts w:ascii="Times New Roman CYR" w:hAnsi="Times New Roman CYR" w:cs="Times New Roman CYR"/>
          <w:b/>
          <w:bCs/>
        </w:rPr>
      </w:pPr>
      <w:r>
        <w:rPr>
          <w:rFonts w:ascii="Times New Roman CYR" w:hAnsi="Times New Roman CYR" w:cs="Times New Roman CYR"/>
          <w:b/>
          <w:bCs/>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 безопасности пациентов при выполнении медицинских вмешательств, предотвращения аллергических реакций и контаминации патогенами, выполнения требований санэпидрежима.</w:t>
      </w:r>
    </w:p>
    <w:p w:rsidR="00325277" w:rsidRDefault="00325277" w:rsidP="003252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ru"/>
        </w:rPr>
      </w:pPr>
    </w:p>
    <w:p w:rsidR="00325277" w:rsidRDefault="00325277" w:rsidP="00325277">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325277">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13" w:rsidRDefault="00C50013">
      <w:pPr>
        <w:spacing w:after="0" w:line="240" w:lineRule="auto"/>
      </w:pPr>
      <w:r>
        <w:separator/>
      </w:r>
    </w:p>
  </w:endnote>
  <w:endnote w:type="continuationSeparator" w:id="0">
    <w:p w:rsidR="00C50013" w:rsidRDefault="00C5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72ACE" w:rsidRDefault="00772ACE">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72ACE">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72ACE">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72ACE">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72ACE">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2527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72ACE">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25277">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13" w:rsidRDefault="00C50013">
      <w:pPr>
        <w:spacing w:after="0" w:line="240" w:lineRule="auto"/>
      </w:pPr>
      <w:r>
        <w:separator/>
      </w:r>
    </w:p>
  </w:footnote>
  <w:footnote w:type="continuationSeparator" w:id="0">
    <w:p w:rsidR="00C50013" w:rsidRDefault="00C5001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72ACE" w:rsidRDefault="00772ACE">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72ACE" w:rsidRDefault="00772ACE">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72ACE" w:rsidRDefault="00772ACE">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25277"/>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72AC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01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0ACD-E8C7-464A-A9E4-C2707043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2025-02-17T12:11:00Z</dcterms:created>
  <dcterms:modified xsi:type="dcterms:W3CDTF">2025-02-17T12:11:00Z</dcterms:modified>
</cp:coreProperties>
</file>