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07.10.2024 № 05-07/1550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F5BB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отделения лабораторной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- 5 (пять).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строка</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446"/>
        <w:gridCol w:w="2230"/>
        <w:gridCol w:w="1113"/>
        <w:gridCol w:w="1535"/>
        <w:gridCol w:w="2541"/>
        <w:gridCol w:w="1365"/>
        <w:gridCol w:w="1365"/>
        <w:gridCol w:w="982"/>
        <w:gridCol w:w="1071"/>
        <w:gridCol w:w="1314"/>
        <w:gridCol w:w="711"/>
        <w:gridCol w:w="581"/>
        <w:gridCol w:w="695"/>
      </w:tblGrid>
      <w:tr w:rsidR="00F01461" w:rsidRPr="005A54B4" w:rsidTr="00F01461">
        <w:trPr>
          <w:trHeight w:val="402"/>
        </w:trPr>
        <w:tc>
          <w:tcPr>
            <w:tcW w:w="129" w:type="pct"/>
            <w:tcBorders>
              <w:top w:val="single" w:sz="8" w:space="0" w:color="auto"/>
              <w:left w:val="single" w:sz="8" w:space="0" w:color="auto"/>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п/п</w:t>
            </w:r>
          </w:p>
        </w:tc>
        <w:tc>
          <w:tcPr>
            <w:tcW w:w="654"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Наименование товара</w:t>
            </w:r>
          </w:p>
        </w:tc>
        <w:tc>
          <w:tcPr>
            <w:tcW w:w="325"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ОКПД2 </w:t>
            </w:r>
          </w:p>
        </w:tc>
        <w:tc>
          <w:tcPr>
            <w:tcW w:w="449"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Наименование</w:t>
            </w:r>
            <w:r w:rsidRPr="005A54B4">
              <w:rPr>
                <w:rFonts w:ascii="Times New Roman" w:eastAsia="Times New Roman" w:hAnsi="Times New Roman" w:cs="Times New Roman"/>
                <w:sz w:val="18"/>
                <w:szCs w:val="18"/>
                <w:lang w:eastAsia="ru-RU"/>
              </w:rPr>
              <w:br/>
              <w:t>характеристики</w:t>
            </w:r>
          </w:p>
        </w:tc>
        <w:tc>
          <w:tcPr>
            <w:tcW w:w="746"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w:t>
            </w:r>
          </w:p>
        </w:tc>
        <w:tc>
          <w:tcPr>
            <w:tcW w:w="404"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Единица измерения характеристики</w:t>
            </w:r>
          </w:p>
        </w:tc>
        <w:tc>
          <w:tcPr>
            <w:tcW w:w="589"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Инструкция по заполнению характеристик в заявке</w:t>
            </w:r>
          </w:p>
        </w:tc>
        <w:tc>
          <w:tcPr>
            <w:tcW w:w="286"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Единица измерения</w:t>
            </w:r>
          </w:p>
        </w:tc>
        <w:tc>
          <w:tcPr>
            <w:tcW w:w="312" w:type="pct"/>
            <w:tcBorders>
              <w:top w:val="single" w:sz="8" w:space="0" w:color="auto"/>
              <w:left w:val="nil"/>
              <w:bottom w:val="nil"/>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Количество</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xml:space="preserve">Страна происхождения Товара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Ставка НДС%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Цена за ед. без НДС</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Сумма без НДС</w:t>
            </w:r>
          </w:p>
        </w:tc>
      </w:tr>
      <w:tr w:rsidR="00F01461" w:rsidRPr="005A54B4" w:rsidTr="00F01461">
        <w:trPr>
          <w:trHeight w:val="402"/>
        </w:trPr>
        <w:tc>
          <w:tcPr>
            <w:tcW w:w="1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Реагент для определения активированного частичного тромбопластинового времени </w:t>
            </w:r>
          </w:p>
        </w:tc>
        <w:tc>
          <w:tcPr>
            <w:tcW w:w="3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21.20.23.110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Описание</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определения АЧТВ, факторов VIII, IX, XI, XII, с умеренной чувствительностью к волчаночным антикоагулянтам и высокой чувствительностью к гепарину</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упак</w:t>
            </w:r>
          </w:p>
        </w:tc>
        <w:tc>
          <w:tcPr>
            <w:tcW w:w="3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10</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r>
      <w:tr w:rsidR="00F01461" w:rsidRPr="005A54B4" w:rsidTr="00F01461">
        <w:trPr>
          <w:trHeight w:val="402"/>
        </w:trPr>
        <w:tc>
          <w:tcPr>
            <w:tcW w:w="129"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Назначение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Для анализаторов свертывания крови  CA и CS серий</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Штрих-код на каждом флаконе с реагентом</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наличие</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Количество выполняемых тестов</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≥2000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Количество флаконов в упаковке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Объем наполнения флакона</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мл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Стабильность после вскрытия на борту прибора</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≥4</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дней</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Стабильность после вскрытия при +2 - +8 </w:t>
            </w:r>
            <w:r w:rsidRPr="005A54B4">
              <w:rPr>
                <w:rFonts w:ascii="Cambria Math" w:eastAsia="Times New Roman" w:hAnsi="Cambria Math" w:cs="Cambria Math"/>
                <w:sz w:val="18"/>
                <w:szCs w:val="18"/>
                <w:lang w:eastAsia="ru-RU"/>
              </w:rPr>
              <w:t>⁰</w:t>
            </w:r>
            <w:r w:rsidRPr="005A54B4">
              <w:rPr>
                <w:rFonts w:ascii="Times New Roman" w:eastAsia="Times New Roman" w:hAnsi="Times New Roman" w:cs="Times New Roman"/>
                <w:sz w:val="18"/>
                <w:szCs w:val="18"/>
                <w:lang w:eastAsia="ru-RU"/>
              </w:rPr>
              <w:t>С</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≥14</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дней</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количественного определения альбумина</w:t>
            </w:r>
          </w:p>
        </w:tc>
        <w:tc>
          <w:tcPr>
            <w:tcW w:w="325"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21.20.23.110</w:t>
            </w: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Описание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количественного определения альбумина в сыворотке и плазме крови человека</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упак</w:t>
            </w:r>
          </w:p>
        </w:tc>
        <w:tc>
          <w:tcPr>
            <w:tcW w:w="312"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Назначение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для  биохимического анализатора серии ARHITECT</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Метод</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Колориметрический, с бромкрезоловым зеленым</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Линейность</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≤60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г/л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Чувствительность</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≤5</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г/л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Стабильность на борту</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≥28</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дней</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Количество тестов в наборе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≥1600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3</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Калибровочная сыворотка</w:t>
            </w:r>
          </w:p>
        </w:tc>
        <w:tc>
          <w:tcPr>
            <w:tcW w:w="325"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21.20.23.110</w:t>
            </w: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Описание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калибровки клинических биохимических исследований на фотометрических системах</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упак</w:t>
            </w:r>
          </w:p>
        </w:tc>
        <w:tc>
          <w:tcPr>
            <w:tcW w:w="312"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Состав</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Лиофилизированный материал, 100% человеческая матрица</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Параметры для калибровки</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холестерин, триглицериды, креатинкиназа, литий, общий белок, медь, цинк, кислая фосфотаза, простатическая фосфотаза, общая фосфотаза, альбумин, щелочная фосфотаза, АЛТ, АСТ, амилаза, амилаза панкреатическая, бикарбонаты, желчные кислоты, билирубин прямой, билирубин общий, кальций, хлориды, холинэстераза, креатинин, Д-3-гитдроксибутират, гаммаглутамилтрансфераза, глюкоза, альфа-гидроксибутиратдегидрогеназа, железо, лактат, ЛДГ, лейцинариламидаза, липаза, магний, осмоляльность, неорганический фосфор, калий, натрий, ОЖСС, мочевина, мочевая кислота.</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Уровень</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Количество флаконов в упаковке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Объем флакона</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≥5</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мл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4</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определения активности аланинаминотрансферазы</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21.20.23.110 </w:t>
            </w: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Описание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Реагент для количественного определения активности аланинаминотрансферазы в сыворотке и плазме крови человека.</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Значение характеристики не может изменяться участником закупки </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упак</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8</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Назначение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Для работы на   биохимическом анализаторе серии ARHITECT</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Значение характеристики не может изменяться участником закупки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Метод</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Кинетический, УФ</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Значение характеристики не может изменяться участником закупки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Чувствительность </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12</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Ед/л.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Участник закупки указывает в заявке конкретное значение характеристики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Количество выполняемых тестов</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2100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Участник закупки указывает в заявке конкретное значение характеристики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5</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количественного определения активности аспартатаминотрансферазы</w:t>
            </w:r>
          </w:p>
        </w:tc>
        <w:tc>
          <w:tcPr>
            <w:tcW w:w="325"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21.20.23.110 </w:t>
            </w: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Описание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Реагент для количественного определения активности аспартатаминотрансферазы в сыворотке и плазме крови человека. </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упак</w:t>
            </w:r>
          </w:p>
        </w:tc>
        <w:tc>
          <w:tcPr>
            <w:tcW w:w="312"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4</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Назначение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для  биохимического анализатора серии ARHITECT</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Метод</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кинетический, УФ</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Чувствительность</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≤12</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Ед/л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Стабильность на борту +10</w:t>
            </w:r>
            <w:r w:rsidRPr="005A54B4">
              <w:rPr>
                <w:rFonts w:ascii="Cambria Math" w:eastAsia="Times New Roman" w:hAnsi="Cambria Math" w:cs="Cambria Math"/>
                <w:sz w:val="18"/>
                <w:szCs w:val="18"/>
                <w:lang w:eastAsia="ru-RU"/>
              </w:rPr>
              <w:t>⁰</w:t>
            </w:r>
            <w:r w:rsidRPr="005A54B4">
              <w:rPr>
                <w:rFonts w:ascii="Times New Roman" w:eastAsia="Times New Roman" w:hAnsi="Times New Roman" w:cs="Times New Roman"/>
                <w:sz w:val="18"/>
                <w:szCs w:val="18"/>
                <w:lang w:eastAsia="ru-RU"/>
              </w:rPr>
              <w:t>С</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≥14</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дн</w:t>
            </w:r>
            <w:r>
              <w:rPr>
                <w:rFonts w:ascii="Times New Roman" w:eastAsia="Times New Roman" w:hAnsi="Times New Roman" w:cs="Times New Roman"/>
                <w:sz w:val="18"/>
                <w:szCs w:val="18"/>
                <w:lang w:eastAsia="ru-RU"/>
              </w:rPr>
              <w:t>ей</w:t>
            </w:r>
            <w:r w:rsidRPr="005A54B4">
              <w:rPr>
                <w:rFonts w:ascii="Times New Roman" w:eastAsia="Times New Roman" w:hAnsi="Times New Roman" w:cs="Times New Roman"/>
                <w:sz w:val="18"/>
                <w:szCs w:val="18"/>
                <w:lang w:eastAsia="ru-RU"/>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Количество тестов в наборе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≥2100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6</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определения общего белка</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21.20.23.110</w:t>
            </w: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Описание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Реагент для количественного  определения общего белка. в сыворотке и плазме крови человека. </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Значение характеристики не может изменяться участником закупки </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упак</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Назначение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Для работы на   биохимическом анализаторе серии ARHITECT</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Значение характеристики не может изменяться участником закупки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Метод</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биурет</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Значение характеристики не может изменяться участником закупки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Линейность </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147</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г/л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Участник закупки указывает в заявке конкретное значение характеристики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Количество выполняемых тестов</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2500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color w:val="000000"/>
                <w:sz w:val="18"/>
                <w:szCs w:val="18"/>
                <w:lang w:eastAsia="ru-RU"/>
              </w:rPr>
            </w:pPr>
            <w:r w:rsidRPr="005A54B4">
              <w:rPr>
                <w:rFonts w:ascii="Times New Roman" w:eastAsia="Times New Roman" w:hAnsi="Times New Roman" w:cs="Times New Roman"/>
                <w:color w:val="000000"/>
                <w:sz w:val="18"/>
                <w:szCs w:val="18"/>
                <w:lang w:eastAsia="ru-RU"/>
              </w:rPr>
              <w:t xml:space="preserve">Участник закупки указывает в заявке конкретное значение характеристики </w:t>
            </w:r>
          </w:p>
        </w:tc>
        <w:tc>
          <w:tcPr>
            <w:tcW w:w="286"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7</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количественного определения мочевины</w:t>
            </w:r>
          </w:p>
        </w:tc>
        <w:tc>
          <w:tcPr>
            <w:tcW w:w="325"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21.20.23.110 </w:t>
            </w: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Описание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Реагент для количественного определения мочевины в сыворотке, плазме и моче</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упак</w:t>
            </w:r>
          </w:p>
        </w:tc>
        <w:tc>
          <w:tcPr>
            <w:tcW w:w="312"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4</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c>
          <w:tcPr>
            <w:tcW w:w="2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01461" w:rsidRPr="005A54B4" w:rsidRDefault="00F01461" w:rsidP="00A4111C">
            <w:pPr>
              <w:spacing w:after="0" w:line="240" w:lineRule="auto"/>
              <w:jc w:val="center"/>
              <w:rPr>
                <w:rFonts w:ascii="Arial" w:eastAsia="Times New Roman" w:hAnsi="Arial" w:cs="Arial"/>
                <w:sz w:val="16"/>
                <w:szCs w:val="16"/>
                <w:lang w:eastAsia="ru-RU"/>
              </w:rPr>
            </w:pPr>
            <w:r w:rsidRPr="005A54B4">
              <w:rPr>
                <w:rFonts w:ascii="Arial" w:eastAsia="Times New Roman" w:hAnsi="Arial" w:cs="Arial"/>
                <w:sz w:val="16"/>
                <w:szCs w:val="16"/>
                <w:lang w:eastAsia="ru-RU"/>
              </w:rPr>
              <w:t> </w:t>
            </w: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Назначение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для  биохимического анализатора серии ARHITECT</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Метод</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энзиматический, уреазно-глутаматдегидрогеназный</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Значение характеристики не может изменяться участником закупки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Линейность</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≤30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ммоль/л.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Чувствительность</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≤0,9</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ммоль/л.</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Стабильность на борту</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≥28</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дн</w:t>
            </w:r>
            <w:r>
              <w:rPr>
                <w:rFonts w:ascii="Times New Roman" w:eastAsia="Times New Roman" w:hAnsi="Times New Roman" w:cs="Times New Roman"/>
                <w:sz w:val="18"/>
                <w:szCs w:val="18"/>
                <w:lang w:eastAsia="ru-RU"/>
              </w:rPr>
              <w:t>ей</w:t>
            </w:r>
            <w:r w:rsidRPr="005A54B4">
              <w:rPr>
                <w:rFonts w:ascii="Times New Roman" w:eastAsia="Times New Roman" w:hAnsi="Times New Roman" w:cs="Times New Roman"/>
                <w:sz w:val="18"/>
                <w:szCs w:val="18"/>
                <w:lang w:eastAsia="ru-RU"/>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r w:rsidR="00F01461" w:rsidRPr="005A54B4" w:rsidTr="00F01461">
        <w:trPr>
          <w:trHeight w:val="402"/>
        </w:trPr>
        <w:tc>
          <w:tcPr>
            <w:tcW w:w="129"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65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25"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Количество тестов в наборе</w:t>
            </w:r>
          </w:p>
        </w:tc>
        <w:tc>
          <w:tcPr>
            <w:tcW w:w="746"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≥2000</w:t>
            </w:r>
          </w:p>
        </w:tc>
        <w:tc>
          <w:tcPr>
            <w:tcW w:w="404"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 xml:space="preserve"> шт</w:t>
            </w:r>
          </w:p>
        </w:tc>
        <w:tc>
          <w:tcPr>
            <w:tcW w:w="589" w:type="pct"/>
            <w:tcBorders>
              <w:top w:val="nil"/>
              <w:left w:val="nil"/>
              <w:bottom w:val="single" w:sz="4" w:space="0" w:color="auto"/>
              <w:right w:val="single" w:sz="4" w:space="0" w:color="auto"/>
            </w:tcBorders>
            <w:shd w:val="clear" w:color="auto" w:fill="auto"/>
            <w:vAlign w:val="center"/>
            <w:hideMark/>
          </w:tcPr>
          <w:p w:rsidR="00F01461" w:rsidRPr="005A54B4" w:rsidRDefault="00F01461" w:rsidP="00A4111C">
            <w:pPr>
              <w:spacing w:after="0" w:line="240" w:lineRule="auto"/>
              <w:jc w:val="center"/>
              <w:rPr>
                <w:rFonts w:ascii="Times New Roman" w:eastAsia="Times New Roman" w:hAnsi="Times New Roman" w:cs="Times New Roman"/>
                <w:sz w:val="18"/>
                <w:szCs w:val="18"/>
                <w:lang w:eastAsia="ru-RU"/>
              </w:rPr>
            </w:pPr>
            <w:r w:rsidRPr="005A54B4">
              <w:rPr>
                <w:rFonts w:ascii="Times New Roman" w:eastAsia="Times New Roman" w:hAnsi="Times New Roman" w:cs="Times New Roman"/>
                <w:sz w:val="18"/>
                <w:szCs w:val="18"/>
                <w:lang w:eastAsia="ru-RU"/>
              </w:rPr>
              <w:t>Участник закупки указывает в заявке конкретное значение характеристики</w:t>
            </w:r>
          </w:p>
        </w:tc>
        <w:tc>
          <w:tcPr>
            <w:tcW w:w="28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Times New Roman" w:eastAsia="Times New Roman" w:hAnsi="Times New Roman" w:cs="Times New Roman"/>
                <w:sz w:val="18"/>
                <w:szCs w:val="18"/>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4"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36"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F01461" w:rsidRPr="005A54B4" w:rsidRDefault="00F01461" w:rsidP="00A4111C">
            <w:pPr>
              <w:spacing w:after="0" w:line="240" w:lineRule="auto"/>
              <w:rPr>
                <w:rFonts w:ascii="Arial" w:eastAsia="Times New Roman" w:hAnsi="Arial" w:cs="Arial"/>
                <w:sz w:val="16"/>
                <w:szCs w:val="16"/>
                <w:lang w:eastAsia="ru-RU"/>
              </w:rPr>
            </w:pPr>
          </w:p>
        </w:tc>
      </w:tr>
    </w:tbl>
    <w:p w:rsidR="00170252" w:rsidRDefault="00170252" w:rsidP="000820E3">
      <w:pPr>
        <w:rPr>
          <w:rFonts w:ascii="Times New Roman" w:hAnsi="Times New Roman" w:cs="Times New Roman"/>
          <w:b/>
          <w:sz w:val="28"/>
          <w:szCs w:val="28"/>
        </w:rPr>
      </w:pPr>
    </w:p>
    <w:sectPr w:rsidR="00170252" w:rsidSect="00F01461">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A88" w:rsidRDefault="00E40A88">
      <w:pPr>
        <w:spacing w:after="0" w:line="240" w:lineRule="auto"/>
      </w:pPr>
      <w:r>
        <w:separator/>
      </w:r>
    </w:p>
  </w:endnote>
  <w:endnote w:type="continuationSeparator" w:id="0">
    <w:p w:rsidR="00E40A88" w:rsidRDefault="00E4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5BBA" w:rsidRDefault="007F5BB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F5BB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F5BB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F5BB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F5BB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F5BB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0146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A88" w:rsidRDefault="00E40A88">
      <w:pPr>
        <w:spacing w:after="0" w:line="240" w:lineRule="auto"/>
      </w:pPr>
      <w:r>
        <w:separator/>
      </w:r>
    </w:p>
  </w:footnote>
  <w:footnote w:type="continuationSeparator" w:id="0">
    <w:p w:rsidR="00E40A88" w:rsidRDefault="00E40A8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5BBA" w:rsidRDefault="007F5BB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5BBA" w:rsidRDefault="007F5BB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F5BBA" w:rsidRDefault="007F5BB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7F5BBA"/>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0A88"/>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01461"/>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E1CF-54EB-4B51-BB6C-207CEFF3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2024-10-07T05:53:00Z</dcterms:created>
  <dcterms:modified xsi:type="dcterms:W3CDTF">2024-10-07T05:53:00Z</dcterms:modified>
</cp:coreProperties>
</file>