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05-07/819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4785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22.09.2025. Максимальное количество партий – 6 (шесть).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74"/>
        <w:gridCol w:w="1722"/>
        <w:gridCol w:w="848"/>
        <w:gridCol w:w="1132"/>
        <w:gridCol w:w="992"/>
        <w:gridCol w:w="1136"/>
        <w:gridCol w:w="3474"/>
        <w:gridCol w:w="954"/>
        <w:gridCol w:w="750"/>
        <w:gridCol w:w="1049"/>
        <w:gridCol w:w="947"/>
        <w:gridCol w:w="979"/>
        <w:gridCol w:w="577"/>
        <w:gridCol w:w="466"/>
        <w:gridCol w:w="549"/>
      </w:tblGrid>
      <w:tr w:rsidR="00BE585C" w:rsidRPr="00BE585C" w:rsidTr="00BE585C">
        <w:trPr>
          <w:trHeight w:val="402"/>
        </w:trPr>
        <w:tc>
          <w:tcPr>
            <w:tcW w:w="1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п/п</w:t>
            </w:r>
          </w:p>
        </w:tc>
        <w:tc>
          <w:tcPr>
            <w:tcW w:w="54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Наименование товара</w:t>
            </w:r>
          </w:p>
        </w:tc>
        <w:tc>
          <w:tcPr>
            <w:tcW w:w="26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Кол-во Товара</w:t>
            </w:r>
          </w:p>
        </w:tc>
        <w:tc>
          <w:tcPr>
            <w:tcW w:w="3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ОКПД2/КТРУ</w:t>
            </w:r>
          </w:p>
        </w:tc>
        <w:tc>
          <w:tcPr>
            <w:tcW w:w="31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Единица измерения</w:t>
            </w:r>
          </w:p>
        </w:tc>
        <w:tc>
          <w:tcPr>
            <w:tcW w:w="35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xml:space="preserve">Тип характеристики </w:t>
            </w:r>
          </w:p>
        </w:tc>
        <w:tc>
          <w:tcPr>
            <w:tcW w:w="108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Функциональные, технические, качественные, эксплуатационные характеристики товара (единицы измерения)</w:t>
            </w:r>
          </w:p>
        </w:tc>
        <w:tc>
          <w:tcPr>
            <w:tcW w:w="29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Значения характеристик товара</w:t>
            </w:r>
          </w:p>
        </w:tc>
        <w:tc>
          <w:tcPr>
            <w:tcW w:w="2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Единица измерения значения</w:t>
            </w:r>
          </w:p>
        </w:tc>
        <w:tc>
          <w:tcPr>
            <w:tcW w:w="3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Обоснование дополнительных характеристик</w:t>
            </w:r>
          </w:p>
        </w:tc>
        <w:tc>
          <w:tcPr>
            <w:tcW w:w="297" w:type="pct"/>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xml:space="preserve">Инструкция заказчика </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Страна происхождения Товара</w:t>
            </w:r>
          </w:p>
        </w:tc>
        <w:tc>
          <w:tcPr>
            <w:tcW w:w="1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Ставка НДС</w:t>
            </w:r>
          </w:p>
        </w:tc>
        <w:tc>
          <w:tcPr>
            <w:tcW w:w="1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Цена за ед. без НДС</w:t>
            </w:r>
          </w:p>
        </w:tc>
        <w:tc>
          <w:tcPr>
            <w:tcW w:w="1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Сумма без НДС</w:t>
            </w:r>
          </w:p>
        </w:tc>
      </w:tr>
      <w:tr w:rsidR="00BE585C" w:rsidRPr="00BE585C" w:rsidTr="00BE585C">
        <w:trPr>
          <w:trHeight w:val="402"/>
        </w:trPr>
        <w:tc>
          <w:tcPr>
            <w:tcW w:w="117"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540"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66"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9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35"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2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97" w:type="pct"/>
            <w:vMerge/>
            <w:tcBorders>
              <w:top w:val="single" w:sz="8" w:space="0" w:color="000000"/>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81"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46"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72"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r>
      <w:tr w:rsidR="00BE585C" w:rsidRPr="00BE585C" w:rsidTr="00BE585C">
        <w:trPr>
          <w:trHeight w:val="402"/>
        </w:trPr>
        <w:tc>
          <w:tcPr>
            <w:tcW w:w="117"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540"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66"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9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35"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29" w:type="pct"/>
            <w:vMerge/>
            <w:tcBorders>
              <w:top w:val="single" w:sz="8" w:space="0" w:color="000000"/>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297" w:type="pct"/>
            <w:vMerge/>
            <w:tcBorders>
              <w:top w:val="single" w:sz="8" w:space="0" w:color="000000"/>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81"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46"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72" w:type="pct"/>
            <w:vMerge/>
            <w:tcBorders>
              <w:top w:val="single" w:sz="8" w:space="0" w:color="auto"/>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r>
      <w:tr w:rsidR="00BE585C" w:rsidRPr="00BE585C" w:rsidTr="00BE585C">
        <w:trPr>
          <w:trHeight w:val="402"/>
        </w:trPr>
        <w:tc>
          <w:tcPr>
            <w:tcW w:w="1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1</w:t>
            </w:r>
          </w:p>
        </w:tc>
        <w:tc>
          <w:tcPr>
            <w:tcW w:w="54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Антитела к ALK (D5F3)</w:t>
            </w:r>
          </w:p>
        </w:tc>
        <w:tc>
          <w:tcPr>
            <w:tcW w:w="2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w:t>
            </w:r>
          </w:p>
        </w:tc>
        <w:tc>
          <w:tcPr>
            <w:tcW w:w="3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w:t>
            </w:r>
          </w:p>
        </w:tc>
        <w:tc>
          <w:tcPr>
            <w:tcW w:w="31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Набор</w:t>
            </w: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Готовые к применению первичные кроличьи моноклональные антитела к киназе анапластической лимфомы, клон D5F3, для проведения invitro диагностики методом иммуногистохимического анализа на парафиновых срезах, фиксированного в формалине материала на автоматических иммуногистостейнерах Ventana.</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Количество исследований</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50</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Штук </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во флаконе</w:t>
            </w: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w:t>
            </w:r>
          </w:p>
        </w:tc>
        <w:tc>
          <w:tcPr>
            <w:tcW w:w="54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Реагент Ventana PD-L1 (SP142) Assay для иммуногистохимической оценки лиганда-1 белка программируемой смерти </w:t>
            </w:r>
          </w:p>
        </w:tc>
        <w:tc>
          <w:tcPr>
            <w:tcW w:w="2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1</w:t>
            </w:r>
          </w:p>
        </w:tc>
        <w:tc>
          <w:tcPr>
            <w:tcW w:w="3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w:t>
            </w:r>
          </w:p>
        </w:tc>
        <w:tc>
          <w:tcPr>
            <w:tcW w:w="31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Набор</w:t>
            </w: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Моноклональные первичные кроличьи антитела к антигену PD-L1, клон SP142, для диагностики in vitro методом иммуногистохимического анализа на парафиновых срезах фиксированного в формалине материала с помощью автоматических иммуногистостейнеров Ventana.</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w:t>
            </w:r>
            <w:r w:rsidRPr="00BE585C">
              <w:rPr>
                <w:rFonts w:ascii="Times New Roman" w:eastAsia="Times New Roman" w:hAnsi="Times New Roman" w:cs="Times New Roman"/>
                <w:color w:val="000000"/>
                <w:sz w:val="20"/>
                <w:szCs w:val="20"/>
                <w:lang w:eastAsia="ru-RU"/>
              </w:rPr>
              <w:lastRenderedPageBreak/>
              <w:t>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Объем флакона-дозатора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Мл</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Количество исследований</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50</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Штук</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во флаконе</w:t>
            </w: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3</w:t>
            </w:r>
          </w:p>
        </w:tc>
        <w:tc>
          <w:tcPr>
            <w:tcW w:w="54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Антитела к CD21 (2G9)</w:t>
            </w:r>
          </w:p>
        </w:tc>
        <w:tc>
          <w:tcPr>
            <w:tcW w:w="2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1</w:t>
            </w:r>
          </w:p>
        </w:tc>
        <w:tc>
          <w:tcPr>
            <w:tcW w:w="3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w:t>
            </w:r>
          </w:p>
        </w:tc>
        <w:tc>
          <w:tcPr>
            <w:tcW w:w="31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Упаковка</w:t>
            </w: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Первичные антитела (мышиные моноклональные) к белку CD21, клон 2G9, для диагностики in vitro методом иммуногистохимического анализа на парафиновых срезах фиксированного в формалине материала с помощью автоматических иммуногистостейнеров Ventana.</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Обусловлено требованиями к оптимизации лабораторного процесса </w:t>
            </w:r>
            <w:r w:rsidRPr="00BE585C">
              <w:rPr>
                <w:rFonts w:ascii="Times New Roman" w:eastAsia="Times New Roman" w:hAnsi="Times New Roman" w:cs="Times New Roman"/>
                <w:color w:val="000000"/>
                <w:sz w:val="20"/>
                <w:szCs w:val="20"/>
                <w:lang w:eastAsia="ru-RU"/>
              </w:rPr>
              <w:lastRenderedPageBreak/>
              <w:t>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lastRenderedPageBreak/>
              <w:t>Значение характеристики не может изменяться участни</w:t>
            </w:r>
            <w:r w:rsidRPr="00BE585C">
              <w:rPr>
                <w:rFonts w:ascii="Times New Roman" w:eastAsia="Times New Roman" w:hAnsi="Times New Roman" w:cs="Times New Roman"/>
                <w:color w:val="000000"/>
                <w:sz w:val="20"/>
                <w:szCs w:val="20"/>
                <w:lang w:eastAsia="ru-RU"/>
              </w:rPr>
              <w:lastRenderedPageBreak/>
              <w:t>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Объем флакона-дозатора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Мл</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Количество исследований</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50</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Штук</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во флаконе</w:t>
            </w: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4</w:t>
            </w:r>
          </w:p>
        </w:tc>
        <w:tc>
          <w:tcPr>
            <w:tcW w:w="54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Цитокератин подтипы CK5/CK6 ИВД, антитела</w:t>
            </w:r>
          </w:p>
        </w:tc>
        <w:tc>
          <w:tcPr>
            <w:tcW w:w="2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3</w:t>
            </w:r>
          </w:p>
        </w:tc>
        <w:tc>
          <w:tcPr>
            <w:tcW w:w="3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21.20.23.110-00009183*</w:t>
            </w:r>
          </w:p>
        </w:tc>
        <w:tc>
          <w:tcPr>
            <w:tcW w:w="31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Упаковка</w:t>
            </w: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Характеристики в соответствии с КТРУ:</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Для анализаторов Ventana benchmark XT/Ultra, nexes SS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КТРУ</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Дополнительные характеристики:</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Готовые к применению моноклональные первичные мышиные антитела к Cytokeratin 5/6, клон D5 &amp; 16B4, для проведения in vitro диагностики методом иммуногистохимического анализа на парафиновых срезах фиксированного в формалине материала  с помощью автоматических иммуногистостейнеров Ventana.</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Для анализаторов Ventana benchmark XT/Ultra, nexes SS (имеющимся у Заказчика)</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Тип: Моноклональные первичные мышиные антитела.</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Клон: D5 &amp; 16B4</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Форма выпуска: готовые к применению.</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Количество выполняемых тестов:</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≥50</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Штука</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Объем реагента:</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≥5</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Миллилитр</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val="restart"/>
            <w:tcBorders>
              <w:top w:val="nil"/>
              <w:left w:val="single" w:sz="8" w:space="0" w:color="auto"/>
              <w:bottom w:val="nil"/>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nil"/>
              <w:left w:val="single" w:sz="8" w:space="0" w:color="auto"/>
              <w:bottom w:val="nil"/>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nil"/>
              <w:left w:val="single" w:sz="8" w:space="0" w:color="auto"/>
              <w:bottom w:val="nil"/>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nil"/>
              <w:right w:val="single" w:sz="8" w:space="0" w:color="auto"/>
            </w:tcBorders>
            <w:shd w:val="clear" w:color="auto" w:fill="auto"/>
            <w:noWrap/>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5</w:t>
            </w:r>
          </w:p>
        </w:tc>
        <w:tc>
          <w:tcPr>
            <w:tcW w:w="540"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P63 опухолевый белок ИВД, антитела</w:t>
            </w:r>
          </w:p>
        </w:tc>
        <w:tc>
          <w:tcPr>
            <w:tcW w:w="266"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6</w:t>
            </w:r>
          </w:p>
        </w:tc>
        <w:tc>
          <w:tcPr>
            <w:tcW w:w="355"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21.20.23.110-00007949*</w:t>
            </w:r>
          </w:p>
        </w:tc>
        <w:tc>
          <w:tcPr>
            <w:tcW w:w="311"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Упаковка</w:t>
            </w: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Характеристики в соответствии с КТРУ:</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 </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Метод: Иммуногистохимия</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КТРУ</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Анализаторы Ventana benchmark XT/Ultra, nexes SS</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КТРУ</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Форма выпуска: Готовые к использованию</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КТРУ</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sz w:val="20"/>
                <w:szCs w:val="20"/>
                <w:lang w:eastAsia="ru-RU"/>
              </w:rPr>
              <w:t>Дополнительные характеристики:</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Назначение: Готовые к применению моноклональные первичные мышиные антитела к p63, клон 4A4, для проведения in vitro диагностики методом иммуногистохимического анализа на парафиновых срезах фиксированного в формалине материала с помощью автоматических иммуногистостейнеров Ventana.</w:t>
            </w:r>
          </w:p>
        </w:tc>
        <w:tc>
          <w:tcPr>
            <w:tcW w:w="29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297" w:type="pct"/>
            <w:vMerge w:val="restart"/>
            <w:tcBorders>
              <w:top w:val="nil"/>
              <w:left w:val="single" w:sz="8" w:space="0" w:color="000000"/>
              <w:bottom w:val="single" w:sz="8" w:space="0" w:color="000000"/>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single" w:sz="8" w:space="0" w:color="000000"/>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single" w:sz="8" w:space="0" w:color="000000"/>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Качественная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Наличие</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xml:space="preserve">Объем флакона-дозатора </w:t>
            </w:r>
          </w:p>
        </w:tc>
        <w:tc>
          <w:tcPr>
            <w:tcW w:w="29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w:t>
            </w:r>
          </w:p>
        </w:tc>
        <w:tc>
          <w:tcPr>
            <w:tcW w:w="235"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Мл</w:t>
            </w:r>
          </w:p>
        </w:tc>
        <w:tc>
          <w:tcPr>
            <w:tcW w:w="329" w:type="pct"/>
            <w:tcBorders>
              <w:top w:val="nil"/>
              <w:left w:val="nil"/>
              <w:bottom w:val="single" w:sz="8" w:space="0" w:color="000000"/>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tcBorders>
              <w:top w:val="nil"/>
              <w:left w:val="nil"/>
              <w:bottom w:val="single" w:sz="8" w:space="0" w:color="000000"/>
              <w:right w:val="nil"/>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Количественная</w:t>
            </w:r>
          </w:p>
        </w:tc>
        <w:tc>
          <w:tcPr>
            <w:tcW w:w="1089" w:type="pct"/>
            <w:tcBorders>
              <w:top w:val="nil"/>
              <w:left w:val="nil"/>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Количество исследований</w:t>
            </w:r>
          </w:p>
        </w:tc>
        <w:tc>
          <w:tcPr>
            <w:tcW w:w="299"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Не менее 50</w:t>
            </w:r>
          </w:p>
        </w:tc>
        <w:tc>
          <w:tcPr>
            <w:tcW w:w="235"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Штук</w:t>
            </w:r>
          </w:p>
        </w:tc>
        <w:tc>
          <w:tcPr>
            <w:tcW w:w="329" w:type="pct"/>
            <w:vMerge w:val="restart"/>
            <w:tcBorders>
              <w:top w:val="nil"/>
              <w:left w:val="single" w:sz="8" w:space="0" w:color="000000"/>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297" w:type="pct"/>
            <w:vMerge w:val="restart"/>
            <w:tcBorders>
              <w:top w:val="nil"/>
              <w:left w:val="single" w:sz="8" w:space="0" w:color="000000"/>
              <w:bottom w:val="nil"/>
              <w:right w:val="single" w:sz="8"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089" w:type="pct"/>
            <w:tcBorders>
              <w:top w:val="nil"/>
              <w:left w:val="nil"/>
              <w:bottom w:val="nil"/>
              <w:right w:val="single" w:sz="8" w:space="0" w:color="000000"/>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Во флаконе</w:t>
            </w:r>
          </w:p>
        </w:tc>
        <w:tc>
          <w:tcPr>
            <w:tcW w:w="299"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8" w:space="0" w:color="000000"/>
              <w:bottom w:val="nil"/>
              <w:right w:val="single" w:sz="8" w:space="0" w:color="000000"/>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8" w:space="0" w:color="000000"/>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nil"/>
              <w:right w:val="single" w:sz="8"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85C" w:rsidRPr="00BE585C" w:rsidRDefault="00BE585C" w:rsidP="00BE585C">
            <w:pPr>
              <w:spacing w:after="0" w:line="240" w:lineRule="auto"/>
              <w:jc w:val="right"/>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6</w:t>
            </w:r>
          </w:p>
        </w:tc>
        <w:tc>
          <w:tcPr>
            <w:tcW w:w="540"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Первичные антитела (мышиные моноклональные) к INI-1, клон MRQ-27, концентрированные</w:t>
            </w:r>
          </w:p>
        </w:tc>
        <w:tc>
          <w:tcPr>
            <w:tcW w:w="266"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85C" w:rsidRPr="00BE585C" w:rsidRDefault="00BE585C" w:rsidP="00BE585C">
            <w:pPr>
              <w:spacing w:after="0" w:line="240" w:lineRule="auto"/>
              <w:jc w:val="right"/>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1</w:t>
            </w:r>
          </w:p>
        </w:tc>
        <w:tc>
          <w:tcPr>
            <w:tcW w:w="355"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21.20.23.110</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Штука</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themeColor="text1"/>
                <w:sz w:val="20"/>
                <w:szCs w:val="20"/>
                <w:lang w:eastAsia="ru-RU"/>
              </w:rPr>
              <w:t>Характеристики в соответствии с КТРУ:</w:t>
            </w:r>
          </w:p>
        </w:tc>
        <w:tc>
          <w:tcPr>
            <w:tcW w:w="1089"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30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8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4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c>
          <w:tcPr>
            <w:tcW w:w="17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sz w:val="20"/>
                <w:szCs w:val="20"/>
                <w:lang w:eastAsia="ru-RU"/>
              </w:rPr>
              <w:t> </w:t>
            </w: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themeColor="text1"/>
                <w:sz w:val="20"/>
                <w:szCs w:val="20"/>
                <w:lang w:eastAsia="ru-RU"/>
              </w:rPr>
              <w:t>Дополнительные характеристики:</w:t>
            </w: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9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35"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32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297"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w:t>
            </w: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2580"/>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themeColor="text1"/>
                <w:sz w:val="20"/>
                <w:szCs w:val="20"/>
                <w:lang w:eastAsia="ru-RU"/>
              </w:rPr>
              <w:t>Качественная</w:t>
            </w: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xml:space="preserve">Назначение: Первичные антитела (мышиные моноклональные) к INI-1, клон MRQ-27, концентрированные.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Наличие</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w:t>
            </w:r>
          </w:p>
        </w:tc>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Обусловлено требованиями к оптимизации лабораторного процесса при эксплуатации оборудования</w:t>
            </w:r>
          </w:p>
        </w:tc>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Значение характеристики не может изменяться участником закупки</w:t>
            </w: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xml:space="preserve">Предназначены для проведения иммуногистохимических исследований на парафиновых срезах фиксированного в формалине материала.  </w:t>
            </w:r>
          </w:p>
        </w:tc>
        <w:tc>
          <w:tcPr>
            <w:tcW w:w="29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w:t>
            </w:r>
          </w:p>
        </w:tc>
        <w:tc>
          <w:tcPr>
            <w:tcW w:w="29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2580"/>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themeColor="text1"/>
                <w:sz w:val="20"/>
                <w:szCs w:val="20"/>
                <w:lang w:eastAsia="ru-RU"/>
              </w:rPr>
              <w:t>Качественная</w:t>
            </w: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xml:space="preserve">Рекомендуемое разведение: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Наличие</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w:t>
            </w:r>
          </w:p>
        </w:tc>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Обусловлено требованиями к оптимизации лабораторного процесса при эксплуатации оборудования</w:t>
            </w:r>
          </w:p>
        </w:tc>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Значение характеристики не может изменяться участником закупки</w:t>
            </w: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1:100 – 1:500</w:t>
            </w:r>
          </w:p>
        </w:tc>
        <w:tc>
          <w:tcPr>
            <w:tcW w:w="29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b/>
                <w:bCs/>
                <w:color w:val="000000"/>
                <w:sz w:val="20"/>
                <w:szCs w:val="20"/>
                <w:lang w:eastAsia="ru-RU"/>
              </w:rPr>
            </w:pP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w:t>
            </w:r>
          </w:p>
        </w:tc>
        <w:tc>
          <w:tcPr>
            <w:tcW w:w="29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35"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r w:rsidR="00BE585C" w:rsidRPr="00BE585C" w:rsidTr="00BE585C">
        <w:trPr>
          <w:trHeight w:val="402"/>
        </w:trPr>
        <w:tc>
          <w:tcPr>
            <w:tcW w:w="11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540"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356"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b/>
                <w:bCs/>
                <w:color w:val="000000"/>
                <w:sz w:val="20"/>
                <w:szCs w:val="20"/>
                <w:lang w:eastAsia="ru-RU"/>
              </w:rPr>
            </w:pPr>
            <w:r w:rsidRPr="00BE585C">
              <w:rPr>
                <w:rFonts w:ascii="Times New Roman" w:eastAsia="Times New Roman" w:hAnsi="Times New Roman" w:cs="Times New Roman"/>
                <w:b/>
                <w:bCs/>
                <w:color w:val="000000" w:themeColor="text1"/>
                <w:sz w:val="20"/>
                <w:szCs w:val="20"/>
                <w:lang w:eastAsia="ru-RU"/>
              </w:rPr>
              <w:t>Количественная</w:t>
            </w:r>
          </w:p>
        </w:tc>
        <w:tc>
          <w:tcPr>
            <w:tcW w:w="108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 xml:space="preserve">Объем </w:t>
            </w:r>
          </w:p>
        </w:tc>
        <w:tc>
          <w:tcPr>
            <w:tcW w:w="29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Не менее 1</w:t>
            </w:r>
          </w:p>
        </w:tc>
        <w:tc>
          <w:tcPr>
            <w:tcW w:w="235"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Мл</w:t>
            </w:r>
          </w:p>
        </w:tc>
        <w:tc>
          <w:tcPr>
            <w:tcW w:w="329"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Из расчета на определенное количество исследований на анализаторе</w:t>
            </w:r>
          </w:p>
        </w:tc>
        <w:tc>
          <w:tcPr>
            <w:tcW w:w="297" w:type="pct"/>
            <w:tcBorders>
              <w:top w:val="nil"/>
              <w:left w:val="nil"/>
              <w:bottom w:val="single" w:sz="4" w:space="0" w:color="auto"/>
              <w:right w:val="single" w:sz="4" w:space="0" w:color="auto"/>
            </w:tcBorders>
            <w:shd w:val="clear" w:color="auto" w:fill="auto"/>
            <w:vAlign w:val="center"/>
            <w:hideMark/>
          </w:tcPr>
          <w:p w:rsidR="00BE585C" w:rsidRPr="00BE585C" w:rsidRDefault="00BE585C" w:rsidP="00BE585C">
            <w:pPr>
              <w:spacing w:after="0" w:line="240" w:lineRule="auto"/>
              <w:jc w:val="center"/>
              <w:rPr>
                <w:rFonts w:ascii="Times New Roman" w:eastAsia="Times New Roman" w:hAnsi="Times New Roman" w:cs="Times New Roman"/>
                <w:color w:val="000000"/>
                <w:sz w:val="20"/>
                <w:szCs w:val="20"/>
                <w:lang w:eastAsia="ru-RU"/>
              </w:rPr>
            </w:pPr>
            <w:r w:rsidRPr="00BE585C">
              <w:rPr>
                <w:rFonts w:ascii="Times New Roman" w:eastAsia="Times New Roman" w:hAnsi="Times New Roman" w:cs="Times New Roman"/>
                <w:color w:val="000000" w:themeColor="text1"/>
                <w:sz w:val="20"/>
                <w:szCs w:val="20"/>
                <w:lang w:eastAsia="ru-RU"/>
              </w:rPr>
              <w:t>Участник закупки указывает в заявке конкретное значение характеристики</w:t>
            </w:r>
          </w:p>
        </w:tc>
        <w:tc>
          <w:tcPr>
            <w:tcW w:w="307"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81"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46"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single" w:sz="4" w:space="0" w:color="auto"/>
              <w:left w:val="single" w:sz="4" w:space="0" w:color="auto"/>
              <w:bottom w:val="single" w:sz="4" w:space="0" w:color="000000"/>
              <w:right w:val="single" w:sz="4" w:space="0" w:color="auto"/>
            </w:tcBorders>
            <w:vAlign w:val="center"/>
            <w:hideMark/>
          </w:tcPr>
          <w:p w:rsidR="00BE585C" w:rsidRPr="00BE585C" w:rsidRDefault="00BE585C" w:rsidP="00BE585C">
            <w:pPr>
              <w:spacing w:after="0" w:line="240" w:lineRule="auto"/>
              <w:rPr>
                <w:rFonts w:ascii="Times New Roman" w:eastAsia="Times New Roman" w:hAnsi="Times New Roman" w:cs="Times New Roman"/>
                <w:color w:val="000000"/>
                <w:sz w:val="20"/>
                <w:szCs w:val="20"/>
                <w:lang w:eastAsia="ru-RU"/>
              </w:rPr>
            </w:pPr>
          </w:p>
        </w:tc>
      </w:tr>
    </w:tbl>
    <w:p w:rsidR="00170252" w:rsidRDefault="00BE585C" w:rsidP="000820E3">
      <w:pPr>
        <w:rPr>
          <w:rFonts w:ascii="Times New Roman" w:hAnsi="Times New Roman" w:cs="Times New Roman"/>
          <w:b/>
          <w:sz w:val="28"/>
          <w:szCs w:val="28"/>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w:t>
      </w:r>
    </w:p>
    <w:sectPr w:rsidR="00170252" w:rsidSect="00BE585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2C" w:rsidRDefault="0029142C">
      <w:pPr>
        <w:spacing w:after="0" w:line="240" w:lineRule="auto"/>
      </w:pPr>
      <w:r>
        <w:separator/>
      </w:r>
    </w:p>
  </w:endnote>
  <w:endnote w:type="continuationSeparator" w:id="0">
    <w:p w:rsidR="0029142C" w:rsidRDefault="0029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856" w:rsidRDefault="00D4785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785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47856">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4785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785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4785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2C" w:rsidRDefault="0029142C">
      <w:pPr>
        <w:spacing w:after="0" w:line="240" w:lineRule="auto"/>
      </w:pPr>
      <w:r>
        <w:separator/>
      </w:r>
    </w:p>
  </w:footnote>
  <w:footnote w:type="continuationSeparator" w:id="0">
    <w:p w:rsidR="0029142C" w:rsidRDefault="0029142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856" w:rsidRDefault="00D4785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856" w:rsidRDefault="00D4785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47856" w:rsidRDefault="00D4785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142C"/>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E585C"/>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7856"/>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04239663">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32B4-DC25-4D5B-99C3-230150DA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2025-04-23T09:17:00Z</dcterms:created>
  <dcterms:modified xsi:type="dcterms:W3CDTF">2025-04-23T09:17:00Z</dcterms:modified>
</cp:coreProperties>
</file>