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04.02.2025 № 21.1-03/137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14.02.2025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E4639A">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0225BA">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протирочного нетканого материала для пищеблока</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20.06.2025. Максимальное количество партий - не более 3-х (трех).</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Запрет по ПП РФ от 23.12.2024 № 1875 не применяется, в соответствии с подп. "и" п. 5 если НМЦК ≤ 1 млн рублей и при этом ни одна из использованных при определении таких цен цена единицы товара не превышает 300 тыс. рублей.</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Default="00D155B7" w:rsidP="005F1058">
            <w:pPr>
              <w:ind w:right="-1"/>
              <w:rPr>
                <w:rFonts w:ascii="Times New Roman" w:hAnsi="Times New Roman" w:cs="Times New Roman"/>
                <w:color w:val="000000"/>
                <w:sz w:val="24"/>
                <w:szCs w:val="24"/>
              </w:rPr>
            </w:pPr>
            <w:r w:rsidRPr="00261C98">
              <w:rPr>
                <w:rFonts w:ascii="Arial" w:eastAsia="Times New Roman" w:hAnsi="Arial" w:cs="Arial"/>
                <w:sz w:val="20"/>
                <w:szCs w:val="20"/>
                <w:lang w:eastAsia="ru-RU"/>
              </w:rPr>
              <w:t>Запреты, ограничения, преимущества по статье 14 Закона</w:t>
            </w:r>
            <w:r w:rsidRPr="00FF12A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запрет (реестровая запись)</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2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88"/>
        <w:gridCol w:w="1911"/>
        <w:gridCol w:w="1702"/>
        <w:gridCol w:w="647"/>
        <w:gridCol w:w="1582"/>
        <w:gridCol w:w="707"/>
        <w:gridCol w:w="750"/>
        <w:gridCol w:w="1748"/>
        <w:gridCol w:w="1274"/>
        <w:gridCol w:w="809"/>
        <w:gridCol w:w="1208"/>
        <w:gridCol w:w="1058"/>
      </w:tblGrid>
      <w:tr w:rsidR="00B1435E" w:rsidRPr="00990174" w:rsidTr="009C763F">
        <w:tc>
          <w:tcPr>
            <w:tcW w:w="212" w:type="pct"/>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w:t>
            </w:r>
          </w:p>
        </w:tc>
        <w:tc>
          <w:tcPr>
            <w:tcW w:w="750" w:type="pct"/>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Наименование</w:t>
            </w:r>
          </w:p>
        </w:tc>
        <w:tc>
          <w:tcPr>
            <w:tcW w:w="1761" w:type="pct"/>
            <w:gridSpan w:val="4"/>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Технические характеристики</w:t>
            </w:r>
          </w:p>
        </w:tc>
        <w:tc>
          <w:tcPr>
            <w:tcW w:w="213" w:type="pct"/>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Ед. изм.</w:t>
            </w:r>
          </w:p>
        </w:tc>
        <w:tc>
          <w:tcPr>
            <w:tcW w:w="226" w:type="pct"/>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Кол-во</w:t>
            </w:r>
          </w:p>
        </w:tc>
        <w:tc>
          <w:tcPr>
            <w:tcW w:w="527" w:type="pct"/>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ОКПД2/</w:t>
            </w:r>
          </w:p>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КТРУ</w:t>
            </w:r>
          </w:p>
        </w:tc>
        <w:tc>
          <w:tcPr>
            <w:tcW w:w="384" w:type="pct"/>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Страна происхождения</w:t>
            </w:r>
          </w:p>
        </w:tc>
        <w:tc>
          <w:tcPr>
            <w:tcW w:w="244" w:type="pct"/>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 xml:space="preserve">НДС </w:t>
            </w:r>
          </w:p>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w:t>
            </w:r>
          </w:p>
        </w:tc>
        <w:tc>
          <w:tcPr>
            <w:tcW w:w="364" w:type="pct"/>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Цена за ед. с НДС (руб)</w:t>
            </w:r>
          </w:p>
        </w:tc>
        <w:tc>
          <w:tcPr>
            <w:tcW w:w="319" w:type="pct"/>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 xml:space="preserve">Сумма с НДС </w:t>
            </w:r>
          </w:p>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(руб)</w:t>
            </w:r>
          </w:p>
        </w:tc>
      </w:tr>
      <w:tr w:rsidR="00B1435E" w:rsidRPr="00990174" w:rsidTr="009C763F">
        <w:tc>
          <w:tcPr>
            <w:tcW w:w="212" w:type="pct"/>
            <w:vMerge w:val="restart"/>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1</w:t>
            </w:r>
          </w:p>
        </w:tc>
        <w:tc>
          <w:tcPr>
            <w:tcW w:w="750" w:type="pct"/>
            <w:vMerge w:val="restar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Тряпка для очистки поверхностей</w:t>
            </w:r>
          </w:p>
        </w:tc>
        <w:tc>
          <w:tcPr>
            <w:tcW w:w="576" w:type="pct"/>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 xml:space="preserve">Наименование </w:t>
            </w:r>
          </w:p>
          <w:p w:rsidR="00B1435E" w:rsidRPr="00990174" w:rsidRDefault="00B1435E" w:rsidP="009C763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характеристик</w:t>
            </w:r>
            <w:r w:rsidRPr="00990174">
              <w:rPr>
                <w:rFonts w:ascii="Times New Roman" w:hAnsi="Times New Roman" w:cs="Times New Roman"/>
                <w:b/>
                <w:sz w:val="18"/>
                <w:szCs w:val="18"/>
              </w:rPr>
              <w:t>и</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 xml:space="preserve">Значение </w:t>
            </w:r>
            <w:r>
              <w:rPr>
                <w:rFonts w:ascii="Times New Roman" w:hAnsi="Times New Roman" w:cs="Times New Roman"/>
                <w:b/>
                <w:sz w:val="18"/>
                <w:szCs w:val="18"/>
              </w:rPr>
              <w:t>характеристик</w:t>
            </w:r>
            <w:r w:rsidRPr="00990174">
              <w:rPr>
                <w:rFonts w:ascii="Times New Roman" w:hAnsi="Times New Roman" w:cs="Times New Roman"/>
                <w:b/>
                <w:sz w:val="18"/>
                <w:szCs w:val="18"/>
              </w:rPr>
              <w:t>и</w:t>
            </w:r>
          </w:p>
          <w:p w:rsidR="00B1435E" w:rsidRPr="00990174" w:rsidRDefault="00B1435E" w:rsidP="009C763F">
            <w:pPr>
              <w:spacing w:after="0" w:line="240" w:lineRule="auto"/>
              <w:jc w:val="center"/>
              <w:rPr>
                <w:rFonts w:ascii="Times New Roman" w:hAnsi="Times New Roman" w:cs="Times New Roman"/>
                <w:sz w:val="18"/>
                <w:szCs w:val="18"/>
              </w:rPr>
            </w:pPr>
          </w:p>
        </w:tc>
        <w:tc>
          <w:tcPr>
            <w:tcW w:w="195" w:type="pct"/>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Ед.</w:t>
            </w:r>
          </w:p>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изм.</w:t>
            </w:r>
          </w:p>
        </w:tc>
        <w:tc>
          <w:tcPr>
            <w:tcW w:w="477" w:type="pct"/>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r w:rsidRPr="00990174">
              <w:rPr>
                <w:rFonts w:ascii="Times New Roman" w:hAnsi="Times New Roman" w:cs="Times New Roman"/>
                <w:b/>
                <w:sz w:val="18"/>
                <w:szCs w:val="18"/>
              </w:rPr>
              <w:t xml:space="preserve">Инструкция по заполнению </w:t>
            </w:r>
            <w:r>
              <w:rPr>
                <w:rFonts w:ascii="Times New Roman" w:hAnsi="Times New Roman" w:cs="Times New Roman"/>
                <w:b/>
                <w:sz w:val="18"/>
                <w:szCs w:val="18"/>
              </w:rPr>
              <w:t>характеристик</w:t>
            </w:r>
            <w:r w:rsidRPr="00990174">
              <w:rPr>
                <w:rFonts w:ascii="Times New Roman" w:hAnsi="Times New Roman" w:cs="Times New Roman"/>
                <w:b/>
                <w:sz w:val="18"/>
                <w:szCs w:val="18"/>
              </w:rPr>
              <w:t xml:space="preserve"> в заявке</w:t>
            </w:r>
          </w:p>
        </w:tc>
        <w:tc>
          <w:tcPr>
            <w:tcW w:w="213" w:type="pct"/>
            <w:vMerge w:val="restar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шт</w:t>
            </w:r>
          </w:p>
        </w:tc>
        <w:tc>
          <w:tcPr>
            <w:tcW w:w="226" w:type="pct"/>
            <w:vMerge w:val="restart"/>
            <w:shd w:val="clear" w:color="FFFFFF" w:fill="auto"/>
          </w:tcPr>
          <w:p w:rsidR="00B1435E" w:rsidRPr="00990174" w:rsidRDefault="000F27A5" w:rsidP="009C76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84</w:t>
            </w:r>
          </w:p>
        </w:tc>
        <w:tc>
          <w:tcPr>
            <w:tcW w:w="527" w:type="pct"/>
            <w:vMerge w:val="restart"/>
          </w:tcPr>
          <w:p w:rsidR="00B1435E" w:rsidRPr="00990174" w:rsidRDefault="00B1435E" w:rsidP="009C763F">
            <w:pPr>
              <w:autoSpaceDE w:val="0"/>
              <w:autoSpaceDN w:val="0"/>
              <w:adjustRightInd w:val="0"/>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13.92.29.110-00000008</w:t>
            </w:r>
          </w:p>
        </w:tc>
        <w:tc>
          <w:tcPr>
            <w:tcW w:w="384" w:type="pct"/>
            <w:vMerge w:val="restart"/>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val="restart"/>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val="restart"/>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val="restart"/>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Вид материала</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Нетканый материал</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Назначение</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Для удаления пыли</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Тряпка в рулоне</w:t>
            </w:r>
          </w:p>
        </w:tc>
        <w:tc>
          <w:tcPr>
            <w:tcW w:w="513" w:type="pct"/>
            <w:shd w:val="clear" w:color="FFFFFF" w:fill="auto"/>
          </w:tcPr>
          <w:p w:rsidR="00B1435E" w:rsidRPr="00990174" w:rsidRDefault="00B1435E" w:rsidP="009C763F">
            <w:pPr>
              <w:autoSpaceDE w:val="0"/>
              <w:autoSpaceDN w:val="0"/>
              <w:adjustRightInd w:val="0"/>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Да</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1761" w:type="pct"/>
            <w:gridSpan w:val="4"/>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b/>
                <w:sz w:val="18"/>
                <w:szCs w:val="18"/>
                <w:u w:val="single"/>
                <w:lang w:eastAsia="ru-RU"/>
              </w:rPr>
              <w:t>Дополнительные характеристики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Вид уборки</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Подходит для сухой и влажной уборки, эффективно впитывает влагу по всей поверхности</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Центральная вытяжка</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Да</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Высота рулона</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 26</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см</w:t>
            </w: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Наличие перфорации, разделяющей  протирочный материал на отдельные листы (салфетки)</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Соответствие</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Количество листов (салфеток) в одном рулоне</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 150</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шт</w:t>
            </w: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Ширина одного листа (салфетки)</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 50</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см</w:t>
            </w: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Длина одного листа (салфетки)</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 50</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см</w:t>
            </w: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Вискоза:</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w:t>
            </w:r>
            <w:r w:rsidRPr="00990174">
              <w:rPr>
                <w:rFonts w:ascii="Times New Roman" w:hAnsi="Times New Roman" w:cs="Times New Roman"/>
                <w:sz w:val="18"/>
                <w:szCs w:val="18"/>
                <w:lang w:val="en-US"/>
              </w:rPr>
              <w:t xml:space="preserve"> </w:t>
            </w:r>
            <w:r w:rsidRPr="00990174">
              <w:rPr>
                <w:rFonts w:ascii="Times New Roman" w:hAnsi="Times New Roman" w:cs="Times New Roman"/>
                <w:sz w:val="18"/>
                <w:szCs w:val="18"/>
              </w:rPr>
              <w:t xml:space="preserve">70 </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lang w:val="en-US"/>
              </w:rPr>
            </w:pPr>
            <w:r w:rsidRPr="00990174">
              <w:rPr>
                <w:rFonts w:ascii="Times New Roman" w:hAnsi="Times New Roman" w:cs="Times New Roman"/>
                <w:sz w:val="18"/>
                <w:szCs w:val="18"/>
                <w:lang w:val="en-US"/>
              </w:rPr>
              <w:t>%</w:t>
            </w: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lang w:val="en-US"/>
              </w:rPr>
            </w:pPr>
            <w:r w:rsidRPr="00990174">
              <w:rPr>
                <w:rFonts w:ascii="Times New Roman" w:hAnsi="Times New Roman" w:cs="Times New Roman"/>
                <w:sz w:val="18"/>
                <w:szCs w:val="18"/>
              </w:rPr>
              <w:t>Полиэфир</w:t>
            </w:r>
            <w:r w:rsidRPr="00990174">
              <w:rPr>
                <w:rFonts w:ascii="Times New Roman" w:hAnsi="Times New Roman" w:cs="Times New Roman"/>
                <w:sz w:val="18"/>
                <w:szCs w:val="18"/>
                <w:lang w:val="en-US"/>
              </w:rPr>
              <w:t>:</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 30</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w:t>
            </w: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Плотность материала</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Не менее</w:t>
            </w:r>
            <w:r w:rsidRPr="00990174">
              <w:rPr>
                <w:rFonts w:ascii="Times New Roman" w:hAnsi="Times New Roman" w:cs="Times New Roman"/>
                <w:sz w:val="18"/>
                <w:szCs w:val="18"/>
                <w:lang w:val="en-US"/>
              </w:rPr>
              <w:t xml:space="preserve"> 50</w:t>
            </w:r>
            <w:r w:rsidRPr="00990174">
              <w:rPr>
                <w:rFonts w:ascii="Times New Roman" w:hAnsi="Times New Roman" w:cs="Times New Roman"/>
                <w:sz w:val="18"/>
                <w:szCs w:val="18"/>
              </w:rPr>
              <w:t xml:space="preserve"> г</w:t>
            </w:r>
            <w:r w:rsidRPr="00990174">
              <w:rPr>
                <w:rFonts w:ascii="Times New Roman" w:hAnsi="Times New Roman" w:cs="Times New Roman"/>
                <w:sz w:val="18"/>
                <w:szCs w:val="18"/>
                <w:lang w:val="en-US"/>
              </w:rPr>
              <w:t>/</w:t>
            </w:r>
            <w:r w:rsidRPr="00990174">
              <w:rPr>
                <w:rFonts w:ascii="Times New Roman" w:hAnsi="Times New Roman" w:cs="Times New Roman"/>
                <w:sz w:val="18"/>
                <w:szCs w:val="18"/>
              </w:rPr>
              <w:t>м</w:t>
            </w:r>
            <w:r w:rsidRPr="00990174">
              <w:rPr>
                <w:rFonts w:ascii="Times New Roman" w:hAnsi="Times New Roman" w:cs="Times New Roman"/>
                <w:sz w:val="18"/>
                <w:szCs w:val="18"/>
                <w:vertAlign w:val="superscript"/>
              </w:rPr>
              <w:t>2</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vertAlign w:val="superscript"/>
              </w:rPr>
            </w:pP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576"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Упаковка</w:t>
            </w:r>
          </w:p>
        </w:tc>
        <w:tc>
          <w:tcPr>
            <w:tcW w:w="513" w:type="pct"/>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r w:rsidRPr="00990174">
              <w:rPr>
                <w:rFonts w:ascii="Times New Roman" w:hAnsi="Times New Roman" w:cs="Times New Roman"/>
                <w:sz w:val="18"/>
                <w:szCs w:val="18"/>
              </w:rPr>
              <w:t>Рулоны упакованы в прозрачную пленку. Наличие этикетки с наименованием производителя, информацией о материале и размере</w:t>
            </w:r>
          </w:p>
        </w:tc>
        <w:tc>
          <w:tcPr>
            <w:tcW w:w="195"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477" w:type="pct"/>
            <w:shd w:val="clear" w:color="FFFFFF" w:fill="auto"/>
          </w:tcPr>
          <w:p w:rsidR="00B1435E" w:rsidRPr="00990174" w:rsidRDefault="00B1435E" w:rsidP="009C763F">
            <w:pPr>
              <w:spacing w:after="0" w:line="240" w:lineRule="auto"/>
              <w:rPr>
                <w:rFonts w:ascii="Times New Roman" w:hAnsi="Times New Roman" w:cs="Times New Roman"/>
                <w:sz w:val="18"/>
                <w:szCs w:val="18"/>
              </w:rPr>
            </w:pPr>
            <w:r w:rsidRPr="00990174">
              <w:rPr>
                <w:rFonts w:ascii="Times New Roman" w:hAnsi="Times New Roman" w:cs="Times New Roman"/>
                <w:sz w:val="18"/>
                <w:szCs w:val="18"/>
              </w:rPr>
              <w:t>Значение характеристики не может изменяться участником закупки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r w:rsidR="00B1435E" w:rsidRPr="00990174" w:rsidTr="009C763F">
        <w:tc>
          <w:tcPr>
            <w:tcW w:w="212" w:type="pct"/>
            <w:vMerge/>
            <w:shd w:val="clear" w:color="FFFFFF" w:fill="auto"/>
          </w:tcPr>
          <w:p w:rsidR="00B1435E" w:rsidRPr="00990174" w:rsidRDefault="00B1435E" w:rsidP="009C763F">
            <w:pPr>
              <w:spacing w:after="0" w:line="240" w:lineRule="auto"/>
              <w:jc w:val="center"/>
              <w:rPr>
                <w:rFonts w:ascii="Times New Roman" w:hAnsi="Times New Roman" w:cs="Times New Roman"/>
                <w:b/>
                <w:sz w:val="18"/>
                <w:szCs w:val="18"/>
              </w:rPr>
            </w:pPr>
          </w:p>
        </w:tc>
        <w:tc>
          <w:tcPr>
            <w:tcW w:w="750" w:type="pct"/>
            <w:vMerge/>
            <w:shd w:val="clear" w:color="FFFFFF" w:fill="auto"/>
          </w:tcPr>
          <w:p w:rsidR="00B1435E" w:rsidRPr="00990174" w:rsidRDefault="00B1435E" w:rsidP="009C763F">
            <w:pPr>
              <w:spacing w:after="0" w:line="240" w:lineRule="auto"/>
              <w:rPr>
                <w:rFonts w:ascii="Times New Roman" w:hAnsi="Times New Roman" w:cs="Times New Roman"/>
                <w:sz w:val="18"/>
                <w:szCs w:val="18"/>
              </w:rPr>
            </w:pPr>
          </w:p>
        </w:tc>
        <w:tc>
          <w:tcPr>
            <w:tcW w:w="1761" w:type="pct"/>
            <w:gridSpan w:val="4"/>
            <w:shd w:val="clear" w:color="FFFFFF" w:fill="auto"/>
          </w:tcPr>
          <w:p w:rsidR="00B1435E" w:rsidRPr="00990174" w:rsidRDefault="00B1435E" w:rsidP="009C763F">
            <w:pPr>
              <w:spacing w:after="0" w:line="240" w:lineRule="auto"/>
              <w:rPr>
                <w:rFonts w:ascii="Times New Roman" w:hAnsi="Times New Roman" w:cs="Times New Roman"/>
                <w:b/>
                <w:i/>
                <w:sz w:val="18"/>
                <w:szCs w:val="18"/>
              </w:rPr>
            </w:pPr>
            <w:r w:rsidRPr="00990174">
              <w:rPr>
                <w:rFonts w:ascii="Times New Roman" w:hAnsi="Times New Roman" w:cs="Times New Roman"/>
                <w:b/>
                <w:i/>
                <w:sz w:val="18"/>
                <w:szCs w:val="18"/>
              </w:rPr>
              <w:t>Заказчиком определены дополнительные характеристики, в том числе:</w:t>
            </w:r>
          </w:p>
          <w:p w:rsidR="00B1435E" w:rsidRPr="00990174" w:rsidRDefault="00B1435E" w:rsidP="009C763F">
            <w:pPr>
              <w:pStyle w:val="a7"/>
              <w:numPr>
                <w:ilvl w:val="0"/>
                <w:numId w:val="20"/>
              </w:numPr>
              <w:tabs>
                <w:tab w:val="left" w:pos="388"/>
              </w:tabs>
              <w:spacing w:after="0" w:line="240" w:lineRule="auto"/>
              <w:ind w:left="0" w:firstLine="0"/>
              <w:rPr>
                <w:rFonts w:ascii="Times New Roman" w:hAnsi="Times New Roman" w:cs="Times New Roman"/>
                <w:b/>
                <w:i/>
                <w:sz w:val="18"/>
                <w:szCs w:val="18"/>
              </w:rPr>
            </w:pPr>
            <w:r w:rsidRPr="00990174">
              <w:rPr>
                <w:rFonts w:ascii="Times New Roman" w:hAnsi="Times New Roman" w:cs="Times New Roman"/>
                <w:b/>
                <w:i/>
                <w:sz w:val="18"/>
                <w:szCs w:val="18"/>
              </w:rPr>
              <w:t>наличие центральной вытяжки и максимальное значение высоты рулона необходимы для обеспечения удобства использования с имеющимися диспенсерными системами;</w:t>
            </w:r>
          </w:p>
          <w:p w:rsidR="00B1435E" w:rsidRPr="00990174" w:rsidRDefault="00B1435E" w:rsidP="009C763F">
            <w:pPr>
              <w:pStyle w:val="a7"/>
              <w:numPr>
                <w:ilvl w:val="0"/>
                <w:numId w:val="20"/>
              </w:numPr>
              <w:tabs>
                <w:tab w:val="left" w:pos="388"/>
              </w:tabs>
              <w:spacing w:after="0" w:line="240" w:lineRule="auto"/>
              <w:ind w:left="0" w:firstLine="93"/>
              <w:rPr>
                <w:rFonts w:ascii="Times New Roman" w:hAnsi="Times New Roman" w:cs="Times New Roman"/>
                <w:b/>
                <w:i/>
                <w:sz w:val="18"/>
                <w:szCs w:val="18"/>
              </w:rPr>
            </w:pPr>
            <w:r w:rsidRPr="00990174">
              <w:rPr>
                <w:rFonts w:ascii="Times New Roman" w:hAnsi="Times New Roman" w:cs="Times New Roman"/>
                <w:b/>
                <w:i/>
                <w:sz w:val="18"/>
                <w:szCs w:val="18"/>
              </w:rPr>
              <w:t>разделение на листы протирочного материала на листы и минимальное значение количества листов в одном рулоне, необходимы для удобства пользования и соблюдения норм расходования материала;</w:t>
            </w:r>
          </w:p>
          <w:p w:rsidR="00B1435E" w:rsidRPr="00990174" w:rsidRDefault="00B1435E" w:rsidP="009C763F">
            <w:pPr>
              <w:pStyle w:val="a7"/>
              <w:numPr>
                <w:ilvl w:val="0"/>
                <w:numId w:val="20"/>
              </w:numPr>
              <w:tabs>
                <w:tab w:val="left" w:pos="388"/>
              </w:tabs>
              <w:spacing w:after="0" w:line="240" w:lineRule="auto"/>
              <w:ind w:left="0" w:firstLine="93"/>
              <w:rPr>
                <w:rFonts w:ascii="Times New Roman" w:hAnsi="Times New Roman" w:cs="Times New Roman"/>
                <w:b/>
                <w:i/>
                <w:sz w:val="18"/>
                <w:szCs w:val="18"/>
              </w:rPr>
            </w:pPr>
            <w:r w:rsidRPr="00990174">
              <w:rPr>
                <w:rFonts w:ascii="Times New Roman" w:hAnsi="Times New Roman" w:cs="Times New Roman"/>
                <w:b/>
                <w:i/>
                <w:sz w:val="18"/>
                <w:szCs w:val="18"/>
                <w:lang w:val="en-US"/>
              </w:rPr>
              <w:t>c</w:t>
            </w:r>
            <w:r w:rsidRPr="00990174">
              <w:rPr>
                <w:rFonts w:ascii="Times New Roman" w:hAnsi="Times New Roman" w:cs="Times New Roman"/>
                <w:b/>
                <w:i/>
                <w:sz w:val="18"/>
                <w:szCs w:val="18"/>
              </w:rPr>
              <w:t>ырьевой состав и минимальное значение по плотности материала, определенные Заказчиком, необходимы для обеспечения качества протирочного материала и необходимых характеристик, с учетом назначения материала и условий его использования;</w:t>
            </w:r>
          </w:p>
          <w:p w:rsidR="00B1435E" w:rsidRPr="00990174" w:rsidRDefault="00B1435E" w:rsidP="009C763F">
            <w:pPr>
              <w:pStyle w:val="a7"/>
              <w:numPr>
                <w:ilvl w:val="0"/>
                <w:numId w:val="20"/>
              </w:numPr>
              <w:tabs>
                <w:tab w:val="left" w:pos="388"/>
              </w:tabs>
              <w:spacing w:after="0" w:line="240" w:lineRule="auto"/>
              <w:ind w:left="0" w:firstLine="0"/>
              <w:rPr>
                <w:rFonts w:ascii="Times New Roman" w:hAnsi="Times New Roman" w:cs="Times New Roman"/>
                <w:b/>
                <w:i/>
                <w:sz w:val="18"/>
                <w:szCs w:val="18"/>
              </w:rPr>
            </w:pPr>
            <w:r w:rsidRPr="00990174">
              <w:rPr>
                <w:rFonts w:ascii="Times New Roman" w:hAnsi="Times New Roman" w:cs="Times New Roman"/>
                <w:b/>
                <w:i/>
                <w:sz w:val="18"/>
                <w:szCs w:val="18"/>
                <w:lang w:val="en-US"/>
              </w:rPr>
              <w:t>n</w:t>
            </w:r>
            <w:r w:rsidRPr="00990174">
              <w:rPr>
                <w:rFonts w:ascii="Times New Roman" w:hAnsi="Times New Roman" w:cs="Times New Roman"/>
                <w:b/>
                <w:i/>
                <w:sz w:val="18"/>
                <w:szCs w:val="18"/>
              </w:rPr>
              <w:t>ребования в части упаковки и  маркировки необходимы для обеспечения условий хранения и выдачи товара на складе, а так же идентификации изделия, его размеров и  подтверждения заявленных характеристики.</w:t>
            </w:r>
          </w:p>
        </w:tc>
        <w:tc>
          <w:tcPr>
            <w:tcW w:w="213"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226" w:type="pct"/>
            <w:vMerge/>
            <w:shd w:val="clear" w:color="FFFFFF" w:fill="auto"/>
          </w:tcPr>
          <w:p w:rsidR="00B1435E" w:rsidRPr="00990174" w:rsidRDefault="00B1435E" w:rsidP="009C763F">
            <w:pPr>
              <w:spacing w:after="0" w:line="240" w:lineRule="auto"/>
              <w:jc w:val="center"/>
              <w:rPr>
                <w:rFonts w:ascii="Times New Roman" w:hAnsi="Times New Roman" w:cs="Times New Roman"/>
                <w:sz w:val="18"/>
                <w:szCs w:val="18"/>
              </w:rPr>
            </w:pPr>
          </w:p>
        </w:tc>
        <w:tc>
          <w:tcPr>
            <w:tcW w:w="527" w:type="pct"/>
            <w:vMerge/>
          </w:tcPr>
          <w:p w:rsidR="00B1435E" w:rsidRPr="00990174" w:rsidRDefault="00B1435E" w:rsidP="009C763F">
            <w:pPr>
              <w:spacing w:after="0" w:line="240" w:lineRule="auto"/>
              <w:jc w:val="center"/>
              <w:rPr>
                <w:rFonts w:ascii="Times New Roman" w:hAnsi="Times New Roman" w:cs="Times New Roman"/>
                <w:sz w:val="18"/>
                <w:szCs w:val="18"/>
              </w:rPr>
            </w:pPr>
          </w:p>
        </w:tc>
        <w:tc>
          <w:tcPr>
            <w:tcW w:w="38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24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64"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c>
          <w:tcPr>
            <w:tcW w:w="319" w:type="pct"/>
            <w:vMerge/>
            <w:shd w:val="clear" w:color="auto" w:fill="FFFF99"/>
          </w:tcPr>
          <w:p w:rsidR="00B1435E" w:rsidRPr="00990174" w:rsidRDefault="00B1435E" w:rsidP="009C763F">
            <w:pPr>
              <w:spacing w:after="0" w:line="240" w:lineRule="auto"/>
              <w:jc w:val="center"/>
              <w:rPr>
                <w:rFonts w:ascii="Times New Roman" w:hAnsi="Times New Roman" w:cs="Times New Roman"/>
                <w:b/>
                <w:sz w:val="18"/>
                <w:szCs w:val="18"/>
              </w:rPr>
            </w:pPr>
          </w:p>
        </w:tc>
      </w:tr>
    </w:tbl>
    <w:p w:rsidR="00170252" w:rsidRDefault="00170252" w:rsidP="000820E3">
      <w:pPr>
        <w:rPr>
          <w:rFonts w:ascii="Times New Roman" w:hAnsi="Times New Roman" w:cs="Times New Roman"/>
          <w:b/>
          <w:sz w:val="28"/>
          <w:szCs w:val="28"/>
        </w:rPr>
      </w:pPr>
    </w:p>
    <w:sectPr w:rsidR="00170252" w:rsidSect="00B1435E">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06A" w:rsidRDefault="00E2006A">
      <w:pPr>
        <w:spacing w:after="0" w:line="240" w:lineRule="auto"/>
      </w:pPr>
      <w:r>
        <w:separator/>
      </w:r>
    </w:p>
  </w:endnote>
  <w:endnote w:type="continuationSeparator" w:id="0">
    <w:p w:rsidR="00E2006A" w:rsidRDefault="00E2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225BA" w:rsidRDefault="000225B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225BA">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225BA">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0225BA">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0225BA">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06A" w:rsidRDefault="00E2006A">
      <w:pPr>
        <w:spacing w:after="0" w:line="240" w:lineRule="auto"/>
      </w:pPr>
      <w:r>
        <w:separator/>
      </w:r>
    </w:p>
  </w:footnote>
  <w:footnote w:type="continuationSeparator" w:id="0">
    <w:p w:rsidR="00E2006A" w:rsidRDefault="00E2006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225BA" w:rsidRDefault="000225B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225BA" w:rsidRDefault="000225BA">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0225BA" w:rsidRDefault="000225BA">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31C139C"/>
    <w:multiLevelType w:val="hybridMultilevel"/>
    <w:tmpl w:val="21088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25BA"/>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27A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5469C"/>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1435E"/>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006A"/>
    <w:rsid w:val="00E23D7F"/>
    <w:rsid w:val="00E271DF"/>
    <w:rsid w:val="00E300DF"/>
    <w:rsid w:val="00E377D1"/>
    <w:rsid w:val="00E4639A"/>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B634-58C4-4400-AF76-CCFEF73B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2025-02-04T11:23:00Z</dcterms:created>
  <dcterms:modified xsi:type="dcterms:W3CDTF">2025-02-04T11:23:00Z</dcterms:modified>
</cp:coreProperties>
</file>