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21.03.2025 № 05-07/521</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1608FF">
            <w:pPr>
              <w:spacing w:after="0"/>
              <w:jc w:val="both"/>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1608FF">
            <w:pPr>
              <w:spacing w:after="0"/>
              <w:jc w:val="both"/>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1608FF">
            <w:pPr>
              <w:spacing w:after="0"/>
              <w:jc w:val="both"/>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1608FF">
                  <w:pPr>
                    <w:ind w:right="-1"/>
                    <w:jc w:val="both"/>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27.03.2025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1608FF">
            <w:pPr>
              <w:spacing w:after="0"/>
              <w:jc w:val="both"/>
              <w:rPr>
                <w:rFonts w:ascii="Times New Roman" w:hAnsi="Times New Roman" w:cs="Times New Roman"/>
                <w:sz w:val="24"/>
                <w:szCs w:val="24"/>
              </w:rPr>
            </w:pP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1608FF">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C11FC" w:rsidRDefault="00DC11FC" w:rsidP="001608FF">
            <w:pPr>
              <w:tabs>
                <w:tab w:val="left" w:pos="284"/>
              </w:tabs>
              <w:ind w:left="-1"/>
              <w:jc w:val="both"/>
              <w:rPr>
                <w:rFonts w:ascii="Times New Roman" w:hAnsi="Times New Roman" w:cs="Times New Roman"/>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792FF6" w:rsidRPr="00792FF6" w:rsidRDefault="00792FF6" w:rsidP="001608FF">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8C6A0B">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30.09.2025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письменной заявки от Покупателя. Последняя дата подачи заявки на поставку 23.09.2025. Максимальное количество партий - 10 (десять).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Регистрационное удостоверение</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lastRenderedPageBreak/>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Pr="001608FF" w:rsidRDefault="00D155B7" w:rsidP="005F1058">
            <w:pPr>
              <w:ind w:right="-1"/>
              <w:rPr>
                <w:rFonts w:ascii="Times New Roman" w:hAnsi="Times New Roman" w:cs="Times New Roman"/>
                <w:color w:val="000000"/>
                <w:sz w:val="24"/>
                <w:szCs w:val="24"/>
              </w:rPr>
            </w:pPr>
            <w:r w:rsidRPr="001608FF">
              <w:rPr>
                <w:rFonts w:ascii="Times New Roman" w:eastAsia="Times New Roman" w:hAnsi="Times New Roman" w:cs="Times New Roman"/>
                <w:sz w:val="24"/>
                <w:szCs w:val="24"/>
                <w:lang w:eastAsia="ru-RU"/>
              </w:rPr>
              <w:t>Запреты, ограничения, преимущества по статье 14 Закона</w:t>
            </w:r>
            <w:r w:rsidRPr="001608F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1608FF">
              <w:rPr>
                <w:rFonts w:ascii="Times New Roman" w:hAnsi="Times New Roman" w:cs="Times New Roman"/>
                <w:color w:val="000000"/>
                <w:sz w:val="24"/>
                <w:szCs w:val="24"/>
              </w:rP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ограничение (реестровая запись или СТ-1)</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00" w:type="pct"/>
        <w:tblLook w:val="04A0" w:firstRow="1" w:lastRow="0" w:firstColumn="1" w:lastColumn="0" w:noHBand="0" w:noVBand="1"/>
      </w:tblPr>
      <w:tblGrid>
        <w:gridCol w:w="303"/>
        <w:gridCol w:w="1386"/>
        <w:gridCol w:w="2158"/>
        <w:gridCol w:w="1872"/>
        <w:gridCol w:w="1503"/>
        <w:gridCol w:w="1503"/>
        <w:gridCol w:w="1403"/>
        <w:gridCol w:w="1151"/>
        <w:gridCol w:w="1055"/>
        <w:gridCol w:w="1444"/>
        <w:gridCol w:w="798"/>
        <w:gridCol w:w="618"/>
        <w:gridCol w:w="755"/>
      </w:tblGrid>
      <w:tr w:rsidR="005465CD" w:rsidRPr="005465CD" w:rsidTr="005465CD">
        <w:trPr>
          <w:trHeight w:val="499"/>
        </w:trPr>
        <w:tc>
          <w:tcPr>
            <w:tcW w:w="167" w:type="pct"/>
            <w:vMerge w:val="restart"/>
            <w:tcBorders>
              <w:top w:val="single" w:sz="8" w:space="0" w:color="000000"/>
              <w:left w:val="single" w:sz="8" w:space="0" w:color="auto"/>
              <w:bottom w:val="nil"/>
              <w:right w:val="single" w:sz="8" w:space="0" w:color="auto"/>
            </w:tcBorders>
            <w:shd w:val="clear" w:color="auto" w:fill="auto"/>
            <w:vAlign w:val="center"/>
            <w:hideMark/>
          </w:tcPr>
          <w:p w:rsidR="005465CD" w:rsidRPr="005465CD" w:rsidRDefault="005465CD" w:rsidP="005465CD">
            <w:pPr>
              <w:spacing w:after="0" w:line="240" w:lineRule="auto"/>
              <w:jc w:val="center"/>
              <w:rPr>
                <w:rFonts w:ascii="Times New Roman" w:eastAsia="Times New Roman" w:hAnsi="Times New Roman" w:cs="Times New Roman"/>
                <w:b/>
                <w:bCs/>
                <w:color w:val="000000"/>
                <w:sz w:val="20"/>
                <w:szCs w:val="20"/>
                <w:lang w:eastAsia="ru-RU"/>
              </w:rPr>
            </w:pPr>
            <w:r w:rsidRPr="005465CD">
              <w:rPr>
                <w:rFonts w:ascii="Times New Roman" w:eastAsia="Times New Roman" w:hAnsi="Times New Roman" w:cs="Times New Roman"/>
                <w:b/>
                <w:bCs/>
                <w:color w:val="000000"/>
                <w:sz w:val="20"/>
                <w:szCs w:val="20"/>
                <w:lang w:eastAsia="ru-RU"/>
              </w:rPr>
              <w:t> </w:t>
            </w:r>
          </w:p>
        </w:tc>
        <w:tc>
          <w:tcPr>
            <w:tcW w:w="364" w:type="pct"/>
            <w:vMerge w:val="restart"/>
            <w:tcBorders>
              <w:top w:val="single" w:sz="8" w:space="0" w:color="000000"/>
              <w:left w:val="single" w:sz="8" w:space="0" w:color="auto"/>
              <w:bottom w:val="nil"/>
              <w:right w:val="single" w:sz="8" w:space="0" w:color="auto"/>
            </w:tcBorders>
            <w:shd w:val="clear" w:color="auto" w:fill="auto"/>
            <w:vAlign w:val="center"/>
            <w:hideMark/>
          </w:tcPr>
          <w:p w:rsidR="005465CD" w:rsidRPr="005465CD" w:rsidRDefault="005465CD" w:rsidP="005465CD">
            <w:pPr>
              <w:spacing w:after="0" w:line="240" w:lineRule="auto"/>
              <w:jc w:val="center"/>
              <w:rPr>
                <w:rFonts w:ascii="Times New Roman" w:eastAsia="Times New Roman" w:hAnsi="Times New Roman" w:cs="Times New Roman"/>
                <w:b/>
                <w:bCs/>
                <w:color w:val="000000"/>
                <w:sz w:val="20"/>
                <w:szCs w:val="20"/>
                <w:lang w:eastAsia="ru-RU"/>
              </w:rPr>
            </w:pPr>
            <w:r w:rsidRPr="005465CD">
              <w:rPr>
                <w:rFonts w:ascii="Times New Roman" w:eastAsia="Times New Roman" w:hAnsi="Times New Roman" w:cs="Times New Roman"/>
                <w:b/>
                <w:bCs/>
                <w:color w:val="000000"/>
                <w:sz w:val="20"/>
                <w:szCs w:val="20"/>
                <w:lang w:eastAsia="ru-RU"/>
              </w:rPr>
              <w:t>Наименование товара, работы, услуги</w:t>
            </w:r>
          </w:p>
        </w:tc>
        <w:tc>
          <w:tcPr>
            <w:tcW w:w="570" w:type="pct"/>
            <w:vMerge w:val="restart"/>
            <w:tcBorders>
              <w:top w:val="single" w:sz="8" w:space="0" w:color="000000"/>
              <w:left w:val="single" w:sz="8" w:space="0" w:color="auto"/>
              <w:bottom w:val="nil"/>
              <w:right w:val="single" w:sz="8" w:space="0" w:color="auto"/>
            </w:tcBorders>
            <w:shd w:val="clear" w:color="auto" w:fill="auto"/>
            <w:vAlign w:val="center"/>
            <w:hideMark/>
          </w:tcPr>
          <w:p w:rsidR="005465CD" w:rsidRPr="005465CD" w:rsidRDefault="005465CD" w:rsidP="005465CD">
            <w:pPr>
              <w:spacing w:after="0" w:line="240" w:lineRule="auto"/>
              <w:jc w:val="center"/>
              <w:rPr>
                <w:rFonts w:ascii="Times New Roman" w:eastAsia="Times New Roman" w:hAnsi="Times New Roman" w:cs="Times New Roman"/>
                <w:b/>
                <w:bCs/>
                <w:color w:val="000000"/>
                <w:sz w:val="20"/>
                <w:szCs w:val="20"/>
                <w:lang w:eastAsia="ru-RU"/>
              </w:rPr>
            </w:pPr>
            <w:r w:rsidRPr="005465CD">
              <w:rPr>
                <w:rFonts w:ascii="Times New Roman" w:eastAsia="Times New Roman" w:hAnsi="Times New Roman" w:cs="Times New Roman"/>
                <w:b/>
                <w:bCs/>
                <w:color w:val="000000"/>
                <w:sz w:val="20"/>
                <w:szCs w:val="20"/>
                <w:lang w:eastAsia="ru-RU"/>
              </w:rPr>
              <w:t>Код позиции</w:t>
            </w:r>
          </w:p>
        </w:tc>
        <w:tc>
          <w:tcPr>
            <w:tcW w:w="2343" w:type="pct"/>
            <w:gridSpan w:val="4"/>
            <w:tcBorders>
              <w:top w:val="single" w:sz="8" w:space="0" w:color="000000"/>
              <w:left w:val="nil"/>
              <w:bottom w:val="single" w:sz="8" w:space="0" w:color="auto"/>
              <w:right w:val="single" w:sz="8" w:space="0" w:color="000000"/>
            </w:tcBorders>
            <w:shd w:val="clear" w:color="auto" w:fill="auto"/>
            <w:vAlign w:val="center"/>
            <w:hideMark/>
          </w:tcPr>
          <w:p w:rsidR="005465CD" w:rsidRPr="005465CD" w:rsidRDefault="005465CD" w:rsidP="005465CD">
            <w:pPr>
              <w:spacing w:after="0" w:line="240" w:lineRule="auto"/>
              <w:jc w:val="center"/>
              <w:rPr>
                <w:rFonts w:ascii="Times New Roman" w:eastAsia="Times New Roman" w:hAnsi="Times New Roman" w:cs="Times New Roman"/>
                <w:b/>
                <w:bCs/>
                <w:color w:val="000000"/>
                <w:sz w:val="20"/>
                <w:szCs w:val="20"/>
                <w:lang w:eastAsia="ru-RU"/>
              </w:rPr>
            </w:pPr>
            <w:r w:rsidRPr="005465CD">
              <w:rPr>
                <w:rFonts w:ascii="Times New Roman" w:eastAsia="Times New Roman" w:hAnsi="Times New Roman" w:cs="Times New Roman"/>
                <w:b/>
                <w:bCs/>
                <w:color w:val="000000"/>
                <w:sz w:val="20"/>
                <w:szCs w:val="20"/>
                <w:lang w:eastAsia="ru-RU"/>
              </w:rPr>
              <w:t>Характеристики товара, работы, услуги</w:t>
            </w:r>
          </w:p>
        </w:tc>
        <w:tc>
          <w:tcPr>
            <w:tcW w:w="301" w:type="pct"/>
            <w:vMerge w:val="restart"/>
            <w:tcBorders>
              <w:top w:val="single" w:sz="8" w:space="0" w:color="000000"/>
              <w:left w:val="single" w:sz="8" w:space="0" w:color="auto"/>
              <w:bottom w:val="nil"/>
              <w:right w:val="single" w:sz="8" w:space="0" w:color="auto"/>
            </w:tcBorders>
            <w:shd w:val="clear" w:color="auto" w:fill="auto"/>
            <w:vAlign w:val="center"/>
            <w:hideMark/>
          </w:tcPr>
          <w:p w:rsidR="005465CD" w:rsidRPr="005465CD" w:rsidRDefault="005465CD" w:rsidP="005465CD">
            <w:pPr>
              <w:spacing w:after="0" w:line="240" w:lineRule="auto"/>
              <w:jc w:val="center"/>
              <w:rPr>
                <w:rFonts w:ascii="Times New Roman" w:eastAsia="Times New Roman" w:hAnsi="Times New Roman" w:cs="Times New Roman"/>
                <w:b/>
                <w:bCs/>
                <w:color w:val="000000"/>
                <w:sz w:val="20"/>
                <w:szCs w:val="20"/>
                <w:lang w:eastAsia="ru-RU"/>
              </w:rPr>
            </w:pPr>
            <w:r w:rsidRPr="005465CD">
              <w:rPr>
                <w:rFonts w:ascii="Times New Roman" w:eastAsia="Times New Roman" w:hAnsi="Times New Roman" w:cs="Times New Roman"/>
                <w:b/>
                <w:bCs/>
                <w:color w:val="000000"/>
                <w:sz w:val="20"/>
                <w:szCs w:val="20"/>
                <w:lang w:eastAsia="ru-RU"/>
              </w:rPr>
              <w:t>Количество (объем работы, услуги)</w:t>
            </w:r>
          </w:p>
        </w:tc>
        <w:tc>
          <w:tcPr>
            <w:tcW w:w="275" w:type="pct"/>
            <w:vMerge w:val="restart"/>
            <w:tcBorders>
              <w:top w:val="single" w:sz="8" w:space="0" w:color="000000"/>
              <w:left w:val="single" w:sz="8" w:space="0" w:color="auto"/>
              <w:bottom w:val="nil"/>
              <w:right w:val="nil"/>
            </w:tcBorders>
            <w:shd w:val="clear" w:color="auto" w:fill="auto"/>
            <w:vAlign w:val="center"/>
            <w:hideMark/>
          </w:tcPr>
          <w:p w:rsidR="005465CD" w:rsidRPr="005465CD" w:rsidRDefault="005465CD" w:rsidP="005465CD">
            <w:pPr>
              <w:spacing w:after="0" w:line="240" w:lineRule="auto"/>
              <w:jc w:val="center"/>
              <w:rPr>
                <w:rFonts w:ascii="Times New Roman" w:eastAsia="Times New Roman" w:hAnsi="Times New Roman" w:cs="Times New Roman"/>
                <w:b/>
                <w:bCs/>
                <w:color w:val="000000"/>
                <w:sz w:val="20"/>
                <w:szCs w:val="20"/>
                <w:lang w:eastAsia="ru-RU"/>
              </w:rPr>
            </w:pPr>
            <w:r w:rsidRPr="005465CD">
              <w:rPr>
                <w:rFonts w:ascii="Times New Roman" w:eastAsia="Times New Roman" w:hAnsi="Times New Roman" w:cs="Times New Roman"/>
                <w:b/>
                <w:bCs/>
                <w:color w:val="000000"/>
                <w:sz w:val="20"/>
                <w:szCs w:val="20"/>
                <w:lang w:eastAsia="ru-RU"/>
              </w:rPr>
              <w:t>Единица измерения</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jc w:val="center"/>
              <w:rPr>
                <w:rFonts w:ascii="Times New Roman" w:eastAsia="Times New Roman" w:hAnsi="Times New Roman" w:cs="Times New Roman"/>
                <w:b/>
                <w:bCs/>
                <w:color w:val="000000"/>
                <w:sz w:val="20"/>
                <w:szCs w:val="20"/>
                <w:lang w:eastAsia="ru-RU"/>
              </w:rPr>
            </w:pPr>
            <w:r w:rsidRPr="005465CD">
              <w:rPr>
                <w:rFonts w:ascii="Times New Roman" w:eastAsia="Times New Roman" w:hAnsi="Times New Roman" w:cs="Times New Roman"/>
                <w:b/>
                <w:bCs/>
                <w:color w:val="000000"/>
                <w:sz w:val="20"/>
                <w:szCs w:val="20"/>
                <w:lang w:eastAsia="ru-RU"/>
              </w:rPr>
              <w:t>Стирана происхождения Товара</w:t>
            </w:r>
          </w:p>
        </w:tc>
        <w:tc>
          <w:tcPr>
            <w:tcW w:w="20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jc w:val="center"/>
              <w:rPr>
                <w:rFonts w:ascii="Times New Roman" w:eastAsia="Times New Roman" w:hAnsi="Times New Roman" w:cs="Times New Roman"/>
                <w:b/>
                <w:bCs/>
                <w:color w:val="000000"/>
                <w:sz w:val="20"/>
                <w:szCs w:val="20"/>
                <w:lang w:eastAsia="ru-RU"/>
              </w:rPr>
            </w:pPr>
            <w:r w:rsidRPr="005465CD">
              <w:rPr>
                <w:rFonts w:ascii="Times New Roman" w:eastAsia="Times New Roman" w:hAnsi="Times New Roman" w:cs="Times New Roman"/>
                <w:b/>
                <w:bCs/>
                <w:color w:val="000000"/>
                <w:sz w:val="20"/>
                <w:szCs w:val="20"/>
                <w:lang w:eastAsia="ru-RU"/>
              </w:rPr>
              <w:t>Ставка НДС%</w:t>
            </w:r>
          </w:p>
        </w:tc>
        <w:tc>
          <w:tcPr>
            <w:tcW w:w="19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jc w:val="center"/>
              <w:rPr>
                <w:rFonts w:ascii="Times New Roman" w:eastAsia="Times New Roman" w:hAnsi="Times New Roman" w:cs="Times New Roman"/>
                <w:b/>
                <w:bCs/>
                <w:color w:val="000000"/>
                <w:sz w:val="20"/>
                <w:szCs w:val="20"/>
                <w:lang w:eastAsia="ru-RU"/>
              </w:rPr>
            </w:pPr>
            <w:r w:rsidRPr="005465CD">
              <w:rPr>
                <w:rFonts w:ascii="Times New Roman" w:eastAsia="Times New Roman" w:hAnsi="Times New Roman" w:cs="Times New Roman"/>
                <w:b/>
                <w:bCs/>
                <w:color w:val="000000"/>
                <w:sz w:val="20"/>
                <w:szCs w:val="20"/>
                <w:lang w:eastAsia="ru-RU"/>
              </w:rPr>
              <w:t>Цена за ед. без НДС</w:t>
            </w:r>
          </w:p>
        </w:tc>
        <w:tc>
          <w:tcPr>
            <w:tcW w:w="20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jc w:val="center"/>
              <w:rPr>
                <w:rFonts w:ascii="Times New Roman" w:eastAsia="Times New Roman" w:hAnsi="Times New Roman" w:cs="Times New Roman"/>
                <w:b/>
                <w:bCs/>
                <w:color w:val="000000"/>
                <w:sz w:val="20"/>
                <w:szCs w:val="20"/>
                <w:lang w:eastAsia="ru-RU"/>
              </w:rPr>
            </w:pPr>
            <w:r w:rsidRPr="005465CD">
              <w:rPr>
                <w:rFonts w:ascii="Times New Roman" w:eastAsia="Times New Roman" w:hAnsi="Times New Roman" w:cs="Times New Roman"/>
                <w:b/>
                <w:bCs/>
                <w:color w:val="000000"/>
                <w:sz w:val="20"/>
                <w:szCs w:val="20"/>
                <w:lang w:eastAsia="ru-RU"/>
              </w:rPr>
              <w:t>Сумма без НДС</w:t>
            </w:r>
          </w:p>
        </w:tc>
      </w:tr>
      <w:tr w:rsidR="005465CD" w:rsidRPr="005465CD" w:rsidTr="005465CD">
        <w:trPr>
          <w:trHeight w:val="499"/>
        </w:trPr>
        <w:tc>
          <w:tcPr>
            <w:tcW w:w="167" w:type="pct"/>
            <w:vMerge/>
            <w:tcBorders>
              <w:top w:val="single" w:sz="8" w:space="0" w:color="000000"/>
              <w:left w:val="single" w:sz="8" w:space="0" w:color="auto"/>
              <w:bottom w:val="nil"/>
              <w:right w:val="single" w:sz="8"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b/>
                <w:bCs/>
                <w:color w:val="000000"/>
                <w:sz w:val="20"/>
                <w:szCs w:val="20"/>
                <w:lang w:eastAsia="ru-RU"/>
              </w:rPr>
            </w:pPr>
          </w:p>
        </w:tc>
        <w:tc>
          <w:tcPr>
            <w:tcW w:w="364" w:type="pct"/>
            <w:vMerge/>
            <w:tcBorders>
              <w:top w:val="single" w:sz="8" w:space="0" w:color="000000"/>
              <w:left w:val="single" w:sz="8" w:space="0" w:color="auto"/>
              <w:bottom w:val="nil"/>
              <w:right w:val="single" w:sz="8"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b/>
                <w:bCs/>
                <w:color w:val="000000"/>
                <w:sz w:val="20"/>
                <w:szCs w:val="20"/>
                <w:lang w:eastAsia="ru-RU"/>
              </w:rPr>
            </w:pPr>
          </w:p>
        </w:tc>
        <w:tc>
          <w:tcPr>
            <w:tcW w:w="570" w:type="pct"/>
            <w:vMerge/>
            <w:tcBorders>
              <w:top w:val="single" w:sz="8" w:space="0" w:color="000000"/>
              <w:left w:val="single" w:sz="8" w:space="0" w:color="auto"/>
              <w:bottom w:val="nil"/>
              <w:right w:val="single" w:sz="8"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b/>
                <w:bCs/>
                <w:color w:val="000000"/>
                <w:sz w:val="20"/>
                <w:szCs w:val="20"/>
                <w:lang w:eastAsia="ru-RU"/>
              </w:rPr>
            </w:pPr>
          </w:p>
        </w:tc>
        <w:tc>
          <w:tcPr>
            <w:tcW w:w="765" w:type="pct"/>
            <w:tcBorders>
              <w:top w:val="nil"/>
              <w:left w:val="nil"/>
              <w:bottom w:val="nil"/>
              <w:right w:val="single" w:sz="8" w:space="0" w:color="auto"/>
            </w:tcBorders>
            <w:shd w:val="clear" w:color="auto" w:fill="auto"/>
            <w:vAlign w:val="center"/>
            <w:hideMark/>
          </w:tcPr>
          <w:p w:rsidR="005465CD" w:rsidRPr="005465CD" w:rsidRDefault="005465CD" w:rsidP="005465CD">
            <w:pPr>
              <w:spacing w:after="0" w:line="240" w:lineRule="auto"/>
              <w:jc w:val="center"/>
              <w:rPr>
                <w:rFonts w:ascii="Times New Roman" w:eastAsia="Times New Roman" w:hAnsi="Times New Roman" w:cs="Times New Roman"/>
                <w:b/>
                <w:bCs/>
                <w:color w:val="000000"/>
                <w:sz w:val="20"/>
                <w:szCs w:val="20"/>
                <w:lang w:eastAsia="ru-RU"/>
              </w:rPr>
            </w:pPr>
            <w:r w:rsidRPr="005465CD">
              <w:rPr>
                <w:rFonts w:ascii="Times New Roman" w:eastAsia="Times New Roman" w:hAnsi="Times New Roman" w:cs="Times New Roman"/>
                <w:b/>
                <w:bCs/>
                <w:color w:val="000000"/>
                <w:sz w:val="20"/>
                <w:szCs w:val="20"/>
                <w:lang w:eastAsia="ru-RU"/>
              </w:rPr>
              <w:t>Наименование характеристики</w:t>
            </w:r>
          </w:p>
        </w:tc>
        <w:tc>
          <w:tcPr>
            <w:tcW w:w="476" w:type="pct"/>
            <w:tcBorders>
              <w:top w:val="nil"/>
              <w:left w:val="nil"/>
              <w:bottom w:val="nil"/>
              <w:right w:val="single" w:sz="8" w:space="0" w:color="auto"/>
            </w:tcBorders>
            <w:shd w:val="clear" w:color="auto" w:fill="auto"/>
            <w:vAlign w:val="center"/>
            <w:hideMark/>
          </w:tcPr>
          <w:p w:rsidR="005465CD" w:rsidRPr="005465CD" w:rsidRDefault="005465CD" w:rsidP="005465CD">
            <w:pPr>
              <w:spacing w:after="0" w:line="240" w:lineRule="auto"/>
              <w:jc w:val="center"/>
              <w:rPr>
                <w:rFonts w:ascii="Times New Roman" w:eastAsia="Times New Roman" w:hAnsi="Times New Roman" w:cs="Times New Roman"/>
                <w:b/>
                <w:bCs/>
                <w:color w:val="000000"/>
                <w:sz w:val="20"/>
                <w:szCs w:val="20"/>
                <w:lang w:eastAsia="ru-RU"/>
              </w:rPr>
            </w:pPr>
            <w:r w:rsidRPr="005465CD">
              <w:rPr>
                <w:rFonts w:ascii="Times New Roman" w:eastAsia="Times New Roman" w:hAnsi="Times New Roman" w:cs="Times New Roman"/>
                <w:b/>
                <w:bCs/>
                <w:color w:val="000000"/>
                <w:sz w:val="20"/>
                <w:szCs w:val="20"/>
                <w:lang w:eastAsia="ru-RU"/>
              </w:rPr>
              <w:t>Значение характеристики</w:t>
            </w:r>
          </w:p>
        </w:tc>
        <w:tc>
          <w:tcPr>
            <w:tcW w:w="395" w:type="pct"/>
            <w:tcBorders>
              <w:top w:val="nil"/>
              <w:left w:val="nil"/>
              <w:bottom w:val="nil"/>
              <w:right w:val="single" w:sz="8" w:space="0" w:color="auto"/>
            </w:tcBorders>
            <w:shd w:val="clear" w:color="auto" w:fill="auto"/>
            <w:vAlign w:val="center"/>
            <w:hideMark/>
          </w:tcPr>
          <w:p w:rsidR="005465CD" w:rsidRPr="005465CD" w:rsidRDefault="005465CD" w:rsidP="005465CD">
            <w:pPr>
              <w:spacing w:after="0" w:line="240" w:lineRule="auto"/>
              <w:jc w:val="center"/>
              <w:rPr>
                <w:rFonts w:ascii="Times New Roman" w:eastAsia="Times New Roman" w:hAnsi="Times New Roman" w:cs="Times New Roman"/>
                <w:b/>
                <w:bCs/>
                <w:color w:val="000000"/>
                <w:sz w:val="20"/>
                <w:szCs w:val="20"/>
                <w:lang w:eastAsia="ru-RU"/>
              </w:rPr>
            </w:pPr>
            <w:r w:rsidRPr="005465CD">
              <w:rPr>
                <w:rFonts w:ascii="Times New Roman" w:eastAsia="Times New Roman" w:hAnsi="Times New Roman" w:cs="Times New Roman"/>
                <w:b/>
                <w:bCs/>
                <w:color w:val="000000"/>
                <w:sz w:val="20"/>
                <w:szCs w:val="20"/>
                <w:lang w:eastAsia="ru-RU"/>
              </w:rPr>
              <w:t>Единица измерения характеристики</w:t>
            </w:r>
          </w:p>
        </w:tc>
        <w:tc>
          <w:tcPr>
            <w:tcW w:w="706" w:type="pct"/>
            <w:tcBorders>
              <w:top w:val="nil"/>
              <w:left w:val="nil"/>
              <w:bottom w:val="nil"/>
              <w:right w:val="single" w:sz="8" w:space="0" w:color="auto"/>
            </w:tcBorders>
            <w:shd w:val="clear" w:color="auto" w:fill="auto"/>
            <w:vAlign w:val="center"/>
            <w:hideMark/>
          </w:tcPr>
          <w:p w:rsidR="005465CD" w:rsidRPr="005465CD" w:rsidRDefault="005465CD" w:rsidP="005465CD">
            <w:pPr>
              <w:spacing w:after="0" w:line="240" w:lineRule="auto"/>
              <w:jc w:val="center"/>
              <w:rPr>
                <w:rFonts w:ascii="Times New Roman" w:eastAsia="Times New Roman" w:hAnsi="Times New Roman" w:cs="Times New Roman"/>
                <w:b/>
                <w:bCs/>
                <w:color w:val="000000"/>
                <w:sz w:val="20"/>
                <w:szCs w:val="20"/>
                <w:lang w:eastAsia="ru-RU"/>
              </w:rPr>
            </w:pPr>
            <w:r w:rsidRPr="005465CD">
              <w:rPr>
                <w:rFonts w:ascii="Times New Roman" w:eastAsia="Times New Roman" w:hAnsi="Times New Roman" w:cs="Times New Roman"/>
                <w:b/>
                <w:bCs/>
                <w:color w:val="000000"/>
                <w:sz w:val="20"/>
                <w:szCs w:val="20"/>
                <w:lang w:eastAsia="ru-RU"/>
              </w:rPr>
              <w:t>Инструкция по заполнению характеристик в заявке</w:t>
            </w:r>
          </w:p>
        </w:tc>
        <w:tc>
          <w:tcPr>
            <w:tcW w:w="301" w:type="pct"/>
            <w:vMerge/>
            <w:tcBorders>
              <w:top w:val="single" w:sz="8" w:space="0" w:color="000000"/>
              <w:left w:val="single" w:sz="8" w:space="0" w:color="auto"/>
              <w:bottom w:val="nil"/>
              <w:right w:val="single" w:sz="8"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b/>
                <w:bCs/>
                <w:color w:val="000000"/>
                <w:sz w:val="20"/>
                <w:szCs w:val="20"/>
                <w:lang w:eastAsia="ru-RU"/>
              </w:rPr>
            </w:pPr>
          </w:p>
        </w:tc>
        <w:tc>
          <w:tcPr>
            <w:tcW w:w="275" w:type="pct"/>
            <w:vMerge/>
            <w:tcBorders>
              <w:top w:val="single" w:sz="8" w:space="0" w:color="000000"/>
              <w:left w:val="single" w:sz="8" w:space="0" w:color="auto"/>
              <w:bottom w:val="nil"/>
              <w:right w:val="nil"/>
            </w:tcBorders>
            <w:vAlign w:val="center"/>
            <w:hideMark/>
          </w:tcPr>
          <w:p w:rsidR="005465CD" w:rsidRPr="005465CD" w:rsidRDefault="005465CD" w:rsidP="005465CD">
            <w:pPr>
              <w:spacing w:after="0" w:line="240" w:lineRule="auto"/>
              <w:rPr>
                <w:rFonts w:ascii="Times New Roman" w:eastAsia="Times New Roman" w:hAnsi="Times New Roman" w:cs="Times New Roman"/>
                <w:b/>
                <w:bCs/>
                <w:color w:val="000000"/>
                <w:sz w:val="20"/>
                <w:szCs w:val="20"/>
                <w:lang w:eastAsia="ru-RU"/>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b/>
                <w:bCs/>
                <w:color w:val="000000"/>
                <w:sz w:val="20"/>
                <w:szCs w:val="20"/>
                <w:lang w:eastAsia="ru-RU"/>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b/>
                <w:bCs/>
                <w:color w:val="000000"/>
                <w:sz w:val="20"/>
                <w:szCs w:val="20"/>
                <w:lang w:eastAsia="ru-RU"/>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b/>
                <w:bCs/>
                <w:color w:val="000000"/>
                <w:sz w:val="20"/>
                <w:szCs w:val="20"/>
                <w:lang w:eastAsia="ru-RU"/>
              </w:rPr>
            </w:pPr>
          </w:p>
        </w:tc>
        <w:tc>
          <w:tcPr>
            <w:tcW w:w="203" w:type="pct"/>
            <w:vMerge/>
            <w:tcBorders>
              <w:top w:val="single" w:sz="4" w:space="0" w:color="auto"/>
              <w:left w:val="single" w:sz="4" w:space="0" w:color="auto"/>
              <w:bottom w:val="single" w:sz="4" w:space="0" w:color="auto"/>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b/>
                <w:bCs/>
                <w:color w:val="000000"/>
                <w:sz w:val="20"/>
                <w:szCs w:val="20"/>
                <w:lang w:eastAsia="ru-RU"/>
              </w:rPr>
            </w:pPr>
          </w:p>
        </w:tc>
      </w:tr>
      <w:tr w:rsidR="005465CD" w:rsidRPr="005465CD" w:rsidTr="005465CD">
        <w:trPr>
          <w:trHeight w:val="1305"/>
        </w:trPr>
        <w:tc>
          <w:tcPr>
            <w:tcW w:w="1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1</w:t>
            </w:r>
          </w:p>
        </w:tc>
        <w:tc>
          <w:tcPr>
            <w:tcW w:w="3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Игла для биопсии костного мозга, одноразового использования</w:t>
            </w:r>
          </w:p>
        </w:tc>
        <w:tc>
          <w:tcPr>
            <w:tcW w:w="57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65CD" w:rsidRPr="005465CD" w:rsidRDefault="005465CD" w:rsidP="00D80EF9">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32.50.13.110/32.50.13.110-00004999*</w:t>
            </w:r>
          </w:p>
        </w:tc>
        <w:tc>
          <w:tcPr>
            <w:tcW w:w="765" w:type="pct"/>
            <w:tcBorders>
              <w:top w:val="single" w:sz="4" w:space="0" w:color="auto"/>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Тонкая, остроконечная металлическая трубка, используемая для получения образца костного мозга подкожным методом. Устройство поставляется больших внутренних диаметров и имеет достаточную прочность для проникновения сквозь кость (это бедренная кость или задний подвздошный гребень) путем приложения давления и кручения. Полученный образец используется для патологического анализа источника клетчатых элементов крови. Это изделие разового использования</w:t>
            </w:r>
          </w:p>
        </w:tc>
        <w:tc>
          <w:tcPr>
            <w:tcW w:w="476" w:type="pct"/>
            <w:tcBorders>
              <w:top w:val="single" w:sz="4" w:space="0" w:color="auto"/>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single" w:sz="4" w:space="0" w:color="auto"/>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465CD" w:rsidRPr="005465CD" w:rsidRDefault="005465CD" w:rsidP="005465CD">
            <w:pPr>
              <w:spacing w:after="0" w:line="240" w:lineRule="auto"/>
              <w:jc w:val="right"/>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80</w:t>
            </w:r>
          </w:p>
        </w:tc>
        <w:tc>
          <w:tcPr>
            <w:tcW w:w="27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штука</w:t>
            </w:r>
          </w:p>
        </w:tc>
        <w:tc>
          <w:tcPr>
            <w:tcW w:w="37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20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20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r>
      <w:tr w:rsidR="005465CD" w:rsidRPr="005465CD" w:rsidTr="005465CD">
        <w:trPr>
          <w:trHeight w:val="1215"/>
        </w:trPr>
        <w:tc>
          <w:tcPr>
            <w:tcW w:w="167"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Игла-набор состоит из иглы с рукоятью и ультра-острого троакара для прохождения мягких тканей и маркера, позволяющего выставлять глубину введения иглы в пациента.</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xml:space="preserve">Длина получаемого образца </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30</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миллиметр</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301"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xml:space="preserve">Диаметр внешней канюли иглы </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8</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G</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301"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750"/>
        </w:trPr>
        <w:tc>
          <w:tcPr>
            <w:tcW w:w="167"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xml:space="preserve">Длина рабочей части иглы </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100</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миллиметр</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301"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xml:space="preserve">Игла имеет режущую кромку типа «Ямшиди» - «остро режущая корона» с количеством зубьев </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5</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штука</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301"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Игла снабжена латеральными отверстиями для возможной трансплантации костного мозга</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825"/>
        </w:trPr>
        <w:tc>
          <w:tcPr>
            <w:tcW w:w="167"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Рукоять для удобства работы выполнена в симметричной прямоугольной  форме, оснащена продольными ребристыми насечками</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555"/>
        </w:trPr>
        <w:tc>
          <w:tcPr>
            <w:tcW w:w="167"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Размеры рукояти (ДхШхВ)</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7,7х2,1х1,8</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миллиметр</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301"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xml:space="preserve">С проксимального конца имеется порт Луер-Лок. </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Наличие внутреннего  стилета</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xml:space="preserve">Стилет выполнен в виде полой трубки из высококачественной медицинской стали </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885"/>
        </w:trPr>
        <w:tc>
          <w:tcPr>
            <w:tcW w:w="167"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На дистальном конце стилет оснащен площадкой для фиксирования образца костной ткани и фиксирующими образец цапами</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Стерильно. Индивидуально упаковано.</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1305"/>
        </w:trPr>
        <w:tc>
          <w:tcPr>
            <w:tcW w:w="16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2</w:t>
            </w:r>
          </w:p>
        </w:tc>
        <w:tc>
          <w:tcPr>
            <w:tcW w:w="364" w:type="pct"/>
            <w:vMerge w:val="restart"/>
            <w:tcBorders>
              <w:top w:val="nil"/>
              <w:left w:val="single" w:sz="4" w:space="0" w:color="auto"/>
              <w:bottom w:val="single" w:sz="4" w:space="0" w:color="000000"/>
              <w:right w:val="single" w:sz="4" w:space="0" w:color="auto"/>
            </w:tcBorders>
            <w:shd w:val="clear" w:color="auto" w:fill="auto"/>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Игла для биопсии костного мозга, одноразового использования</w:t>
            </w:r>
          </w:p>
        </w:tc>
        <w:tc>
          <w:tcPr>
            <w:tcW w:w="570" w:type="pct"/>
            <w:vMerge w:val="restart"/>
            <w:tcBorders>
              <w:top w:val="nil"/>
              <w:left w:val="single" w:sz="4" w:space="0" w:color="auto"/>
              <w:bottom w:val="single" w:sz="4" w:space="0" w:color="000000"/>
              <w:right w:val="single" w:sz="4" w:space="0" w:color="auto"/>
            </w:tcBorders>
            <w:shd w:val="clear" w:color="auto" w:fill="auto"/>
            <w:vAlign w:val="center"/>
            <w:hideMark/>
          </w:tcPr>
          <w:p w:rsidR="005465CD" w:rsidRPr="005465CD" w:rsidRDefault="005465CD" w:rsidP="00D80EF9">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32.50.13.110/32.50.13.110-00004999*</w:t>
            </w: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Тонкая, остроконечная металлическая трубка, используемая для получения образца костного мозга подкожным методом. Устройство поставляется больших внутренних диаметров и имеет достаточную прочность для проникновения сквозь кость (это бедренная кость или задний подвздошный гребень) путем приложения давления и кручения. Полученный образец используется для патологического анализа источника клетчатых элементов крови. Это изделие разового использования</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465CD" w:rsidRPr="005465CD" w:rsidRDefault="005465CD" w:rsidP="005465CD">
            <w:pPr>
              <w:spacing w:after="0" w:line="240" w:lineRule="auto"/>
              <w:jc w:val="right"/>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320</w:t>
            </w:r>
          </w:p>
        </w:tc>
        <w:tc>
          <w:tcPr>
            <w:tcW w:w="27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штука</w:t>
            </w:r>
          </w:p>
        </w:tc>
        <w:tc>
          <w:tcPr>
            <w:tcW w:w="37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20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19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2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r>
      <w:tr w:rsidR="005465CD" w:rsidRPr="005465CD" w:rsidTr="005465CD">
        <w:trPr>
          <w:trHeight w:val="1215"/>
        </w:trPr>
        <w:tc>
          <w:tcPr>
            <w:tcW w:w="167"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Игла-набор состоит из иглы с рукоятью и ультра-острого троакара для прохождения мягких тканей и маркера, позволяющего выставлять глубину введения иглы в пациента.</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xml:space="preserve">Длина получаемого образца </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30</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миллиметр</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xml:space="preserve">Диаметр внешней канюли иглы </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13</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G</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750"/>
        </w:trPr>
        <w:tc>
          <w:tcPr>
            <w:tcW w:w="167"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xml:space="preserve">Длина рабочей части иглы </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100</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миллиметр</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750"/>
        </w:trPr>
        <w:tc>
          <w:tcPr>
            <w:tcW w:w="167"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xml:space="preserve">Игла имеет режущую кромку типа «Ямшиди» - «остро режущая корона» с количеством зубьев </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5</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штука</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Игла снабжена латеральными отверстиями для возможной трансплантации костного мозга</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825"/>
        </w:trPr>
        <w:tc>
          <w:tcPr>
            <w:tcW w:w="167"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Рукоять для удобства работы выполнена в симметричной прямоугольной форме, оснащена продольными ребристыми насечками</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555"/>
        </w:trPr>
        <w:tc>
          <w:tcPr>
            <w:tcW w:w="167"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Размеры рукояти (ДхШхВ)</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7,7х2,1х1,8</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миллиметр</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xml:space="preserve">С проксимального конца имеется порт Луер-Лок. </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Наличие внутреннего  стилета</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xml:space="preserve">Стилет выполнен в виде полой трубки из высококачественной медицинской стали </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885"/>
        </w:trPr>
        <w:tc>
          <w:tcPr>
            <w:tcW w:w="167"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На дистальном конце стилет оснащен площадкой для фиксирования образца костной ткани и фиксирующими образец цапами</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Стерильно. Индивидуально упаковано.</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3</w:t>
            </w:r>
          </w:p>
        </w:tc>
        <w:tc>
          <w:tcPr>
            <w:tcW w:w="364" w:type="pct"/>
            <w:vMerge w:val="restart"/>
            <w:tcBorders>
              <w:top w:val="nil"/>
              <w:left w:val="single" w:sz="4" w:space="0" w:color="auto"/>
              <w:bottom w:val="single" w:sz="4" w:space="0" w:color="000000"/>
              <w:right w:val="single" w:sz="4" w:space="0" w:color="auto"/>
            </w:tcBorders>
            <w:shd w:val="clear" w:color="auto" w:fill="auto"/>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Игла для биопсии мягких тканей, одноразового использования</w:t>
            </w:r>
          </w:p>
        </w:tc>
        <w:tc>
          <w:tcPr>
            <w:tcW w:w="570" w:type="pct"/>
            <w:vMerge w:val="restart"/>
            <w:tcBorders>
              <w:top w:val="nil"/>
              <w:left w:val="single" w:sz="4" w:space="0" w:color="auto"/>
              <w:bottom w:val="single" w:sz="4" w:space="0" w:color="000000"/>
              <w:right w:val="single" w:sz="4" w:space="0" w:color="auto"/>
            </w:tcBorders>
            <w:shd w:val="clear" w:color="auto" w:fill="auto"/>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32.5</w:t>
            </w:r>
            <w:r w:rsidR="00D80EF9">
              <w:rPr>
                <w:rFonts w:ascii="Times New Roman" w:eastAsia="Times New Roman" w:hAnsi="Times New Roman" w:cs="Times New Roman"/>
                <w:color w:val="000000"/>
                <w:sz w:val="20"/>
                <w:szCs w:val="20"/>
                <w:lang w:eastAsia="ru-RU"/>
              </w:rPr>
              <w:t>0.13.110/32.50.13.110-00005166*</w:t>
            </w: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Стерильный острый со скошенным краем полый трубчатый металлический инструмент, разработанный для чрескожного получения образца мягких тканей, как правило, для гистопатологического исследования. Изделие обычно подсоединено к шприцу для аспирации образца; доступны изделия различной длины, диаметра (отверстия) и с разными конфигурациями наконечника (например, он может быть прямым или изогнутым). Это изделие для одноразового использования</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68</w:t>
            </w:r>
          </w:p>
        </w:tc>
        <w:tc>
          <w:tcPr>
            <w:tcW w:w="27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штука</w:t>
            </w:r>
          </w:p>
        </w:tc>
        <w:tc>
          <w:tcPr>
            <w:tcW w:w="37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20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19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2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r>
      <w:tr w:rsidR="005465CD" w:rsidRPr="005465CD" w:rsidTr="005465CD">
        <w:trPr>
          <w:trHeight w:val="499"/>
        </w:trPr>
        <w:tc>
          <w:tcPr>
            <w:tcW w:w="167"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Тип иглы - аспирационная , для цито-гистологии</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Размер ( диаметр) иглы</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20</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G</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Длина иглы</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10</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сантиметр</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825"/>
        </w:trPr>
        <w:tc>
          <w:tcPr>
            <w:tcW w:w="167"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Игла снабжена латеральным отверстием для возможного взятия гистологического образца.</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xml:space="preserve">Наличие коннектора Luer Lock (Для подключения шприца для аспирации).                                </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xml:space="preserve">Ограничитель глубины введения иглы </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Эхогенность по всей длине иглы (Для контроля при помощи УЗИ точного размещения иглы)</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xml:space="preserve">Эхогенное покрытия политетрафторэтилен цвет иглы-черный. Отсутствие необходимости в смазке, низкое светоотражение черного цвета, что повышает ультразвуковую видимость канюли).                                                                                                       </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xml:space="preserve">Заточка иглы скошенная, тройная </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1155"/>
        </w:trPr>
        <w:tc>
          <w:tcPr>
            <w:tcW w:w="167"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xml:space="preserve">На внешней канюле нанесена легко читаемая сантиметровая маркировка. Маркировка представляет собой кольцевые метки, выполненные через каждые </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10</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миллиметр</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Каждая пятая метка  дополнительно выделена особым образом - две усиленных метки</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xml:space="preserve">Защитный колпачок (утилизатор), входящий в комплект с иглой </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xml:space="preserve">Рукоять специальной, трапециевидной, анатомической формы с боковым рифлением </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Стерильно. Индивидуально упаковано.</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val="restart"/>
            <w:tcBorders>
              <w:top w:val="nil"/>
              <w:left w:val="single" w:sz="4" w:space="0" w:color="auto"/>
              <w:bottom w:val="nil"/>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4</w:t>
            </w:r>
          </w:p>
        </w:tc>
        <w:tc>
          <w:tcPr>
            <w:tcW w:w="364" w:type="pct"/>
            <w:vMerge w:val="restart"/>
            <w:tcBorders>
              <w:top w:val="nil"/>
              <w:left w:val="single" w:sz="4" w:space="0" w:color="auto"/>
              <w:bottom w:val="single" w:sz="4" w:space="0" w:color="000000"/>
              <w:right w:val="single" w:sz="4" w:space="0" w:color="auto"/>
            </w:tcBorders>
            <w:shd w:val="clear" w:color="auto" w:fill="auto"/>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Игла для биопсии мягких тканей, одноразового использования</w:t>
            </w:r>
          </w:p>
        </w:tc>
        <w:tc>
          <w:tcPr>
            <w:tcW w:w="570" w:type="pct"/>
            <w:vMerge w:val="restart"/>
            <w:tcBorders>
              <w:top w:val="nil"/>
              <w:left w:val="single" w:sz="4" w:space="0" w:color="auto"/>
              <w:bottom w:val="single" w:sz="4" w:space="0" w:color="000000"/>
              <w:right w:val="single" w:sz="4" w:space="0" w:color="auto"/>
            </w:tcBorders>
            <w:shd w:val="clear" w:color="auto" w:fill="auto"/>
            <w:vAlign w:val="center"/>
            <w:hideMark/>
          </w:tcPr>
          <w:p w:rsidR="005465CD" w:rsidRPr="005465CD" w:rsidRDefault="005465CD" w:rsidP="00D80EF9">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32.50.13.110/32.50.13.110-00005166*</w:t>
            </w: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Стерильный острый со скошенным краем полый трубчатый металлический инструмент, разработанный для чрескожного получения образца мягких тканей, как правило, для гистопатологического исследования. Изделие обычно подсоединено к шприцу для аспирации образца; доступны изделия различной длины, диаметра (отверстия) и с разными конфигурациями наконечника (например, он может быть прямым или изогнутым). Это изделие для одноразового использования</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112</w:t>
            </w:r>
          </w:p>
        </w:tc>
        <w:tc>
          <w:tcPr>
            <w:tcW w:w="27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штука</w:t>
            </w:r>
          </w:p>
        </w:tc>
        <w:tc>
          <w:tcPr>
            <w:tcW w:w="37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20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19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2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r>
      <w:tr w:rsidR="005465CD" w:rsidRPr="005465CD" w:rsidTr="005465CD">
        <w:trPr>
          <w:trHeight w:val="499"/>
        </w:trPr>
        <w:tc>
          <w:tcPr>
            <w:tcW w:w="167" w:type="pct"/>
            <w:vMerge/>
            <w:tcBorders>
              <w:top w:val="nil"/>
              <w:left w:val="single" w:sz="4" w:space="0" w:color="auto"/>
              <w:bottom w:val="nil"/>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Тип иглы - аспирационная , для цитологии</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nil"/>
              <w:left w:val="single" w:sz="4" w:space="0" w:color="auto"/>
              <w:bottom w:val="nil"/>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Размер ( диаметр) иглы</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20</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G</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nil"/>
              <w:left w:val="single" w:sz="4" w:space="0" w:color="auto"/>
              <w:bottom w:val="nil"/>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Длина иглы</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10</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сантиметр</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nil"/>
              <w:left w:val="single" w:sz="4" w:space="0" w:color="auto"/>
              <w:bottom w:val="nil"/>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xml:space="preserve">Наличие коннектора Luer Lock (Для подключения шприца для аспирации).                                </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nil"/>
              <w:left w:val="single" w:sz="4" w:space="0" w:color="auto"/>
              <w:bottom w:val="nil"/>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xml:space="preserve">Ограничитель глубины введения иглы </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nil"/>
              <w:left w:val="single" w:sz="4" w:space="0" w:color="auto"/>
              <w:bottom w:val="nil"/>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Эхогенность по всей длине иглы (Для контроля при помощи УЗИ точного размещения иглы)</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nil"/>
              <w:left w:val="single" w:sz="4" w:space="0" w:color="auto"/>
              <w:bottom w:val="nil"/>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xml:space="preserve">Эхогенное покрытия политетрафторэтилен цвет иглы-черный. Отсутствие необходимости в смазке, низкое светоотражение черного цвета, что повышает ультразвуковую видимость канюли).                                                                                                       </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nil"/>
              <w:left w:val="single" w:sz="4" w:space="0" w:color="auto"/>
              <w:bottom w:val="nil"/>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xml:space="preserve">Заточка иглы скошенная, тройная </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nil"/>
              <w:left w:val="single" w:sz="4" w:space="0" w:color="auto"/>
              <w:bottom w:val="nil"/>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xml:space="preserve">На внешней канюле нанесена легко читаемая сантиметровая маркировка. Маркировка представляет собой кольцевые метки, выполненные через каждые </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10</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миллиметр</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nil"/>
              <w:left w:val="single" w:sz="4" w:space="0" w:color="auto"/>
              <w:bottom w:val="nil"/>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Каждая пятая метка  дополнительно выделена особым образом - две усиленных метки</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nil"/>
              <w:left w:val="single" w:sz="4" w:space="0" w:color="auto"/>
              <w:bottom w:val="nil"/>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xml:space="preserve">Защитный колпачок (утилизатор), входящий в комплект с иглой </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nil"/>
              <w:left w:val="single" w:sz="4" w:space="0" w:color="auto"/>
              <w:bottom w:val="nil"/>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xml:space="preserve">Рукоять специальной, трапециевидной, анатомической формы с боковым рифлением </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nil"/>
              <w:left w:val="single" w:sz="4" w:space="0" w:color="auto"/>
              <w:bottom w:val="nil"/>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Стерильно. Индивидуально упаковано.</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5</w:t>
            </w:r>
          </w:p>
        </w:tc>
        <w:tc>
          <w:tcPr>
            <w:tcW w:w="364" w:type="pct"/>
            <w:vMerge w:val="restart"/>
            <w:tcBorders>
              <w:top w:val="nil"/>
              <w:left w:val="single" w:sz="4" w:space="0" w:color="auto"/>
              <w:bottom w:val="single" w:sz="4" w:space="0" w:color="000000"/>
              <w:right w:val="single" w:sz="4" w:space="0" w:color="auto"/>
            </w:tcBorders>
            <w:shd w:val="clear" w:color="auto" w:fill="auto"/>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Игла для биопсии мягких тканей, одноразового использования</w:t>
            </w:r>
          </w:p>
        </w:tc>
        <w:tc>
          <w:tcPr>
            <w:tcW w:w="570" w:type="pct"/>
            <w:vMerge w:val="restart"/>
            <w:tcBorders>
              <w:top w:val="nil"/>
              <w:left w:val="single" w:sz="4" w:space="0" w:color="auto"/>
              <w:bottom w:val="single" w:sz="4" w:space="0" w:color="000000"/>
              <w:right w:val="single" w:sz="4" w:space="0" w:color="auto"/>
            </w:tcBorders>
            <w:shd w:val="clear" w:color="auto" w:fill="auto"/>
            <w:vAlign w:val="center"/>
            <w:hideMark/>
          </w:tcPr>
          <w:p w:rsidR="005465CD" w:rsidRPr="005465CD" w:rsidRDefault="005465CD" w:rsidP="00D80EF9">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32.50.13.110/32.50.13.110-00005166*</w:t>
            </w: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Стерильный острый со скошенным краем полый трубчатый металлический инструмент, разработанный для чрескожного получения образца мягких тканей, как правило, для гистопатологического исследования. Изделие обычно подсоединено к шприцу для аспирации образца; доступны изделия различной длины, диаметра (отверстия) и с разными конфигурациями наконечника (например, он может быть прямым или изогнутым). Это изделие для одноразового использования</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230</w:t>
            </w:r>
          </w:p>
        </w:tc>
        <w:tc>
          <w:tcPr>
            <w:tcW w:w="27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штука</w:t>
            </w:r>
          </w:p>
        </w:tc>
        <w:tc>
          <w:tcPr>
            <w:tcW w:w="37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20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19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2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r>
      <w:tr w:rsidR="005465CD" w:rsidRPr="005465CD" w:rsidTr="005465CD">
        <w:trPr>
          <w:trHeight w:val="499"/>
        </w:trPr>
        <w:tc>
          <w:tcPr>
            <w:tcW w:w="167"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Тип иглы - аспирационная , для цито-гистологии</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Размер ( диаметр) иглы</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18</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G</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Длина иглы</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15</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сантиметр</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Игла снабжена латеральным отверстием для возможного взятия гистологического образца.</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xml:space="preserve">Наличие коннектора Luer Lock (Для подключения шприца для аспирации).                                </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xml:space="preserve">Ограничитель глубины введения иглы </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Эхогенность по всей длине иглы (Для контроля при помощи УЗИ точного размещения иглы)</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xml:space="preserve">Эхогенное покрытия политетрафторэтилен цвет иглы-черный. Отсутствие необходимости в смазке, низкое светоотражение черного цвета, что повышает ультразвуковую видимость канюли).                                                                                                       </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xml:space="preserve">Заточка иглы скошенная, тройная </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1155"/>
        </w:trPr>
        <w:tc>
          <w:tcPr>
            <w:tcW w:w="167"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xml:space="preserve">На внешней канюле нанесена легко читаемая сантиметровая маркировка. Маркировка представляет собой кольцевые метки, выполненные через каждые </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10</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миллиметр</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Каждая пятая метка  дополнительно выделена особым образом - две усиленных метки</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xml:space="preserve">Защитный колпачок (утилизатор), входящий в комплект с иглой </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xml:space="preserve">Рукоять специальной, трапециевидной, анатомической формы с боковым рифлением </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single" w:sz="4" w:space="0" w:color="auto"/>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Стерильно. Индивидуально упаковано.</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3300"/>
        </w:trPr>
        <w:tc>
          <w:tcPr>
            <w:tcW w:w="16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6</w:t>
            </w:r>
          </w:p>
        </w:tc>
        <w:tc>
          <w:tcPr>
            <w:tcW w:w="364" w:type="pct"/>
            <w:vMerge w:val="restart"/>
            <w:tcBorders>
              <w:top w:val="nil"/>
              <w:left w:val="single" w:sz="4" w:space="0" w:color="auto"/>
              <w:bottom w:val="single" w:sz="4" w:space="0" w:color="auto"/>
              <w:right w:val="single" w:sz="4" w:space="0" w:color="auto"/>
            </w:tcBorders>
            <w:shd w:val="clear" w:color="auto" w:fill="auto"/>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Игла для биопсии мягких тканей, одноразового использования</w:t>
            </w:r>
          </w:p>
        </w:tc>
        <w:tc>
          <w:tcPr>
            <w:tcW w:w="570" w:type="pct"/>
            <w:vMerge w:val="restart"/>
            <w:tcBorders>
              <w:top w:val="nil"/>
              <w:left w:val="single" w:sz="4" w:space="0" w:color="auto"/>
              <w:bottom w:val="single" w:sz="4" w:space="0" w:color="000000"/>
              <w:right w:val="single" w:sz="4" w:space="0" w:color="auto"/>
            </w:tcBorders>
            <w:shd w:val="clear" w:color="auto" w:fill="auto"/>
            <w:vAlign w:val="center"/>
            <w:hideMark/>
          </w:tcPr>
          <w:p w:rsidR="005465CD" w:rsidRPr="005465CD" w:rsidRDefault="005465CD" w:rsidP="00D80EF9">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32.50.13.110/32.50.13.110-00005166*</w:t>
            </w: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Стерильный острый со скошенным краем полый трубчатый металлический инструмент, разработанный для чрескожного получения образца мягких тканей, как правило, для гистопатологического исследования. Изделие обычно подсоединено к шприцу для аспирации образца; доступны изделия различной длины, диаметра (отверстия) и с разными конфигурациями наконечника (например, он может быть прямым или изогнутым). Это изделие для одноразового использования.</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120</w:t>
            </w:r>
          </w:p>
        </w:tc>
        <w:tc>
          <w:tcPr>
            <w:tcW w:w="27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штука</w:t>
            </w:r>
          </w:p>
        </w:tc>
        <w:tc>
          <w:tcPr>
            <w:tcW w:w="37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20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19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2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r>
      <w:tr w:rsidR="005465CD" w:rsidRPr="005465CD" w:rsidTr="005465CD">
        <w:trPr>
          <w:trHeight w:val="1155"/>
        </w:trPr>
        <w:tc>
          <w:tcPr>
            <w:tcW w:w="167" w:type="pct"/>
            <w:vMerge/>
            <w:tcBorders>
              <w:top w:val="nil"/>
              <w:left w:val="single" w:sz="4" w:space="0" w:color="auto"/>
              <w:bottom w:val="single" w:sz="4" w:space="0" w:color="auto"/>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auto"/>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Игла для автоматической пункционной биопсии, совместима c пистолетом для автоматической пункционной биопсии DeltaCut, имеющимся у Заказчика</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nil"/>
              <w:left w:val="single" w:sz="4" w:space="0" w:color="auto"/>
              <w:bottom w:val="single" w:sz="4" w:space="0" w:color="auto"/>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auto"/>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xml:space="preserve">Возможность проведения биопсии под принудительным изгибом иглы для возможности проведения определенных манипуляций. </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nil"/>
              <w:left w:val="single" w:sz="4" w:space="0" w:color="auto"/>
              <w:bottom w:val="single" w:sz="4" w:space="0" w:color="auto"/>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auto"/>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Тип иглы – многокомпонентная, для удобства размещения в точках крепления канюли в многоразовом устройстве</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nil"/>
              <w:left w:val="single" w:sz="4" w:space="0" w:color="auto"/>
              <w:bottom w:val="single" w:sz="4" w:space="0" w:color="auto"/>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auto"/>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Материал иглы - легированная медицинская сталь</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nil"/>
              <w:left w:val="single" w:sz="4" w:space="0" w:color="auto"/>
              <w:bottom w:val="single" w:sz="4" w:space="0" w:color="auto"/>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auto"/>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Заточка окончания внутреннего стилета - тип Beveled, для менее травматичного забора материала</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nil"/>
              <w:left w:val="single" w:sz="4" w:space="0" w:color="auto"/>
              <w:bottom w:val="single" w:sz="4" w:space="0" w:color="auto"/>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auto"/>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xml:space="preserve">Наличие сплошной дополнительной зоны УЗ видимости на конце наружной иглы  для корректного позиционирования под ультразвуковым контролем, длиной </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20</w:t>
            </w:r>
          </w:p>
        </w:tc>
        <w:tc>
          <w:tcPr>
            <w:tcW w:w="395" w:type="pct"/>
            <w:tcBorders>
              <w:top w:val="nil"/>
              <w:left w:val="nil"/>
              <w:bottom w:val="single" w:sz="4" w:space="0" w:color="auto"/>
              <w:right w:val="single" w:sz="4" w:space="0" w:color="auto"/>
            </w:tcBorders>
            <w:shd w:val="clear" w:color="auto" w:fill="auto"/>
            <w:noWrap/>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миллиметр</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nil"/>
              <w:left w:val="single" w:sz="4" w:space="0" w:color="auto"/>
              <w:bottom w:val="single" w:sz="4" w:space="0" w:color="auto"/>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auto"/>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xml:space="preserve">Наличие устройства для иммобилизации внутреннего стилета - хаб, с поворотным механизмом, позволяет обеспечить точность наведения иглы во время биопсийного забора материала. </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nil"/>
              <w:left w:val="single" w:sz="4" w:space="0" w:color="auto"/>
              <w:bottom w:val="single" w:sz="4" w:space="0" w:color="auto"/>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auto"/>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Конструкция для удлинения фиксации наружной иглы в ложе посадочного места пистолета, с целью исключения возможности отклонения иглы от траектории «выстрела»</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nil"/>
              <w:left w:val="single" w:sz="4" w:space="0" w:color="auto"/>
              <w:bottom w:val="single" w:sz="4" w:space="0" w:color="auto"/>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auto"/>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xml:space="preserve">Длина лотка заборно-биопсийной части внутреннего стилета иглы </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≥18</w:t>
            </w:r>
          </w:p>
        </w:tc>
        <w:tc>
          <w:tcPr>
            <w:tcW w:w="395" w:type="pct"/>
            <w:tcBorders>
              <w:top w:val="nil"/>
              <w:left w:val="nil"/>
              <w:bottom w:val="single" w:sz="4" w:space="0" w:color="auto"/>
              <w:right w:val="single" w:sz="4" w:space="0" w:color="auto"/>
            </w:tcBorders>
            <w:shd w:val="clear" w:color="auto" w:fill="auto"/>
            <w:noWrap/>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миллиметр</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nil"/>
              <w:left w:val="single" w:sz="4" w:space="0" w:color="auto"/>
              <w:bottom w:val="single" w:sz="4" w:space="0" w:color="auto"/>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auto"/>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xml:space="preserve">Глубина соотношения толщины заборного лотка заборно-биопсийной части внутреннего стилета к диаметру наружной иглы </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xml:space="preserve">0,3 к 1,2 </w:t>
            </w:r>
          </w:p>
        </w:tc>
        <w:tc>
          <w:tcPr>
            <w:tcW w:w="395" w:type="pct"/>
            <w:tcBorders>
              <w:top w:val="nil"/>
              <w:left w:val="nil"/>
              <w:bottom w:val="single" w:sz="4" w:space="0" w:color="auto"/>
              <w:right w:val="single" w:sz="4" w:space="0" w:color="auto"/>
            </w:tcBorders>
            <w:shd w:val="clear" w:color="auto" w:fill="auto"/>
            <w:noWrap/>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миллиметр</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nil"/>
              <w:left w:val="single" w:sz="4" w:space="0" w:color="auto"/>
              <w:bottom w:val="single" w:sz="4" w:space="0" w:color="auto"/>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auto"/>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xml:space="preserve">Размер рабочей поверхности иглы в сборе при взведенной наружной игле на глубину 22мм </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26</w:t>
            </w:r>
          </w:p>
        </w:tc>
        <w:tc>
          <w:tcPr>
            <w:tcW w:w="395" w:type="pct"/>
            <w:tcBorders>
              <w:top w:val="nil"/>
              <w:left w:val="nil"/>
              <w:bottom w:val="single" w:sz="4" w:space="0" w:color="auto"/>
              <w:right w:val="single" w:sz="4" w:space="0" w:color="auto"/>
            </w:tcBorders>
            <w:shd w:val="clear" w:color="auto" w:fill="auto"/>
            <w:noWrap/>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миллиметр</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nil"/>
              <w:left w:val="single" w:sz="4" w:space="0" w:color="auto"/>
              <w:bottom w:val="single" w:sz="4" w:space="0" w:color="auto"/>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auto"/>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xml:space="preserve">Размер рабочей поверхности иглы в сборе при взведенной наружной игле на глубину 15мм </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20</w:t>
            </w:r>
          </w:p>
        </w:tc>
        <w:tc>
          <w:tcPr>
            <w:tcW w:w="395" w:type="pct"/>
            <w:tcBorders>
              <w:top w:val="nil"/>
              <w:left w:val="nil"/>
              <w:bottom w:val="single" w:sz="4" w:space="0" w:color="auto"/>
              <w:right w:val="single" w:sz="4" w:space="0" w:color="auto"/>
            </w:tcBorders>
            <w:shd w:val="clear" w:color="auto" w:fill="auto"/>
            <w:noWrap/>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миллиметр</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nil"/>
              <w:left w:val="single" w:sz="4" w:space="0" w:color="auto"/>
              <w:bottom w:val="single" w:sz="4" w:space="0" w:color="auto"/>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auto"/>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xml:space="preserve">Полная техническая длина внутреннего стилета иглы </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148</w:t>
            </w:r>
          </w:p>
        </w:tc>
        <w:tc>
          <w:tcPr>
            <w:tcW w:w="395" w:type="pct"/>
            <w:tcBorders>
              <w:top w:val="nil"/>
              <w:left w:val="nil"/>
              <w:bottom w:val="single" w:sz="4" w:space="0" w:color="auto"/>
              <w:right w:val="single" w:sz="4" w:space="0" w:color="auto"/>
            </w:tcBorders>
            <w:shd w:val="clear" w:color="auto" w:fill="auto"/>
            <w:noWrap/>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миллиметр</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nil"/>
              <w:left w:val="single" w:sz="4" w:space="0" w:color="auto"/>
              <w:bottom w:val="single" w:sz="4" w:space="0" w:color="auto"/>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auto"/>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Полная техническая длина наружной иглы</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≥146</w:t>
            </w:r>
          </w:p>
        </w:tc>
        <w:tc>
          <w:tcPr>
            <w:tcW w:w="395" w:type="pct"/>
            <w:tcBorders>
              <w:top w:val="nil"/>
              <w:left w:val="nil"/>
              <w:bottom w:val="single" w:sz="4" w:space="0" w:color="auto"/>
              <w:right w:val="single" w:sz="4" w:space="0" w:color="auto"/>
            </w:tcBorders>
            <w:shd w:val="clear" w:color="auto" w:fill="auto"/>
            <w:noWrap/>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миллиметр</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nil"/>
              <w:left w:val="single" w:sz="4" w:space="0" w:color="auto"/>
              <w:bottom w:val="single" w:sz="4" w:space="0" w:color="auto"/>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auto"/>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xml:space="preserve">Внешний диаметр иглы </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1,2</w:t>
            </w:r>
          </w:p>
        </w:tc>
        <w:tc>
          <w:tcPr>
            <w:tcW w:w="395" w:type="pct"/>
            <w:tcBorders>
              <w:top w:val="nil"/>
              <w:left w:val="nil"/>
              <w:bottom w:val="single" w:sz="4" w:space="0" w:color="auto"/>
              <w:right w:val="single" w:sz="4" w:space="0" w:color="auto"/>
            </w:tcBorders>
            <w:shd w:val="clear" w:color="auto" w:fill="auto"/>
            <w:noWrap/>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миллиметр</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nil"/>
              <w:left w:val="single" w:sz="4" w:space="0" w:color="auto"/>
              <w:bottom w:val="single" w:sz="4" w:space="0" w:color="auto"/>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auto"/>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Наличие защиты стерильности иглы защитным тубусом</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915"/>
        </w:trPr>
        <w:tc>
          <w:tcPr>
            <w:tcW w:w="167" w:type="pct"/>
            <w:vMerge/>
            <w:tcBorders>
              <w:top w:val="nil"/>
              <w:left w:val="single" w:sz="4" w:space="0" w:color="auto"/>
              <w:bottom w:val="single" w:sz="4" w:space="0" w:color="auto"/>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auto"/>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Размеры посадочных мест иглы на фиксирующее устройство: 1-е посадочное место (ДхШхВ)</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xml:space="preserve">≥ 12*12*10 </w:t>
            </w:r>
          </w:p>
        </w:tc>
        <w:tc>
          <w:tcPr>
            <w:tcW w:w="395" w:type="pct"/>
            <w:tcBorders>
              <w:top w:val="nil"/>
              <w:left w:val="nil"/>
              <w:bottom w:val="single" w:sz="4" w:space="0" w:color="auto"/>
              <w:right w:val="single" w:sz="4" w:space="0" w:color="auto"/>
            </w:tcBorders>
            <w:shd w:val="clear" w:color="auto" w:fill="auto"/>
            <w:noWrap/>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миллиметр</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1020"/>
        </w:trPr>
        <w:tc>
          <w:tcPr>
            <w:tcW w:w="167" w:type="pct"/>
            <w:vMerge/>
            <w:tcBorders>
              <w:top w:val="nil"/>
              <w:left w:val="single" w:sz="4" w:space="0" w:color="auto"/>
              <w:bottom w:val="single" w:sz="4" w:space="0" w:color="auto"/>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auto"/>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xml:space="preserve">Размеры посадочных мест иглы на фиксирующее устройство: 2-е посадочное место (ДхШхВ) </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xml:space="preserve">≥ 17*12*10 </w:t>
            </w:r>
          </w:p>
        </w:tc>
        <w:tc>
          <w:tcPr>
            <w:tcW w:w="395" w:type="pct"/>
            <w:tcBorders>
              <w:top w:val="nil"/>
              <w:left w:val="nil"/>
              <w:bottom w:val="single" w:sz="4" w:space="0" w:color="auto"/>
              <w:right w:val="single" w:sz="4" w:space="0" w:color="auto"/>
            </w:tcBorders>
            <w:shd w:val="clear" w:color="auto" w:fill="auto"/>
            <w:noWrap/>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миллиметр</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nil"/>
              <w:left w:val="single" w:sz="4" w:space="0" w:color="auto"/>
              <w:bottom w:val="single" w:sz="4" w:space="0" w:color="auto"/>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auto"/>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Наличие тонкой подстройки для взятия гистологического среза , на выбор специалиста, длиной</w:t>
            </w:r>
          </w:p>
        </w:tc>
        <w:tc>
          <w:tcPr>
            <w:tcW w:w="476" w:type="pct"/>
            <w:tcBorders>
              <w:top w:val="nil"/>
              <w:left w:val="nil"/>
              <w:bottom w:val="single" w:sz="4" w:space="0" w:color="auto"/>
              <w:right w:val="single" w:sz="4" w:space="0" w:color="auto"/>
            </w:tcBorders>
            <w:shd w:val="clear" w:color="auto" w:fill="auto"/>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15, 16 ,17, 18, 19, 20, 21, 22</w:t>
            </w:r>
          </w:p>
        </w:tc>
        <w:tc>
          <w:tcPr>
            <w:tcW w:w="395" w:type="pct"/>
            <w:tcBorders>
              <w:top w:val="nil"/>
              <w:left w:val="nil"/>
              <w:bottom w:val="single" w:sz="4" w:space="0" w:color="auto"/>
              <w:right w:val="single" w:sz="4" w:space="0" w:color="auto"/>
            </w:tcBorders>
            <w:shd w:val="clear" w:color="auto" w:fill="auto"/>
            <w:noWrap/>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миллиметр</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nil"/>
              <w:left w:val="single" w:sz="4" w:space="0" w:color="auto"/>
              <w:bottom w:val="single" w:sz="4" w:space="0" w:color="auto"/>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auto"/>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Имеет возможность взятия аспирата при помощи канюли, для более полной аналитической картины.</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nil"/>
              <w:left w:val="single" w:sz="4" w:space="0" w:color="auto"/>
              <w:bottom w:val="single" w:sz="4" w:space="0" w:color="auto"/>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auto"/>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Имеет стыковую фиксацию при использовании с направляющей канюлей через устройство для иммобилизации стилета</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nil"/>
              <w:left w:val="single" w:sz="4" w:space="0" w:color="auto"/>
              <w:bottom w:val="single" w:sz="4" w:space="0" w:color="auto"/>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auto"/>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Имеет цветовую маркировку канюли для экстренной визуализации размера иглы</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r w:rsidR="005465CD" w:rsidRPr="005465CD" w:rsidTr="005465CD">
        <w:trPr>
          <w:trHeight w:val="499"/>
        </w:trPr>
        <w:tc>
          <w:tcPr>
            <w:tcW w:w="167" w:type="pct"/>
            <w:vMerge/>
            <w:tcBorders>
              <w:top w:val="nil"/>
              <w:left w:val="single" w:sz="4" w:space="0" w:color="auto"/>
              <w:bottom w:val="single" w:sz="4" w:space="0" w:color="auto"/>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64" w:type="pct"/>
            <w:vMerge/>
            <w:tcBorders>
              <w:top w:val="nil"/>
              <w:left w:val="single" w:sz="4" w:space="0" w:color="auto"/>
              <w:bottom w:val="single" w:sz="4" w:space="0" w:color="auto"/>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765"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Стерильно. Индивидуально упаковано.</w:t>
            </w:r>
          </w:p>
        </w:tc>
        <w:tc>
          <w:tcPr>
            <w:tcW w:w="476" w:type="pct"/>
            <w:tcBorders>
              <w:top w:val="nil"/>
              <w:left w:val="nil"/>
              <w:bottom w:val="single" w:sz="4" w:space="0" w:color="auto"/>
              <w:right w:val="single" w:sz="4" w:space="0" w:color="auto"/>
            </w:tcBorders>
            <w:shd w:val="clear" w:color="auto" w:fill="auto"/>
            <w:noWrap/>
            <w:vAlign w:val="center"/>
            <w:hideMark/>
          </w:tcPr>
          <w:p w:rsidR="005465CD" w:rsidRPr="005465CD" w:rsidRDefault="005465CD" w:rsidP="005465CD">
            <w:pPr>
              <w:spacing w:after="0" w:line="240" w:lineRule="auto"/>
              <w:jc w:val="center"/>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соответствие</w:t>
            </w:r>
          </w:p>
        </w:tc>
        <w:tc>
          <w:tcPr>
            <w:tcW w:w="395" w:type="pct"/>
            <w:tcBorders>
              <w:top w:val="nil"/>
              <w:left w:val="nil"/>
              <w:bottom w:val="single" w:sz="4" w:space="0" w:color="auto"/>
              <w:right w:val="single" w:sz="4" w:space="0" w:color="auto"/>
            </w:tcBorders>
            <w:shd w:val="clear" w:color="auto" w:fill="auto"/>
            <w:noWrap/>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 </w:t>
            </w:r>
          </w:p>
        </w:tc>
        <w:tc>
          <w:tcPr>
            <w:tcW w:w="706" w:type="pct"/>
            <w:tcBorders>
              <w:top w:val="nil"/>
              <w:left w:val="nil"/>
              <w:bottom w:val="single" w:sz="4" w:space="0" w:color="auto"/>
              <w:right w:val="single" w:sz="4" w:space="0" w:color="auto"/>
            </w:tcBorders>
            <w:shd w:val="clear" w:color="auto" w:fill="auto"/>
            <w:vAlign w:val="bottom"/>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r w:rsidRPr="005465CD">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301"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379"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6"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5465CD" w:rsidRPr="005465CD" w:rsidRDefault="005465CD" w:rsidP="005465CD">
            <w:pPr>
              <w:spacing w:after="0" w:line="240" w:lineRule="auto"/>
              <w:rPr>
                <w:rFonts w:ascii="Times New Roman" w:eastAsia="Times New Roman" w:hAnsi="Times New Roman" w:cs="Times New Roman"/>
                <w:color w:val="000000"/>
                <w:sz w:val="20"/>
                <w:szCs w:val="20"/>
                <w:lang w:eastAsia="ru-RU"/>
              </w:rPr>
            </w:pPr>
          </w:p>
        </w:tc>
      </w:tr>
    </w:tbl>
    <w:p w:rsidR="005465CD" w:rsidRDefault="005465CD" w:rsidP="005465CD">
      <w:pPr>
        <w:autoSpaceDE w:val="0"/>
        <w:autoSpaceDN w:val="0"/>
        <w:adjustRightInd w:val="0"/>
        <w:rPr>
          <w:rFonts w:ascii="Times New Roman CYR" w:hAnsi="Times New Roman CYR" w:cs="Times New Roman CYR"/>
          <w:b/>
          <w:bCs/>
        </w:rPr>
      </w:pPr>
      <w:r>
        <w:rPr>
          <w:rFonts w:ascii="Times New Roman CYR" w:hAnsi="Times New Roman CYR" w:cs="Times New Roman CYR"/>
          <w:b/>
          <w:bCs/>
        </w:rPr>
        <w:t>*</w:t>
      </w:r>
      <w:r>
        <w:rPr>
          <w:rFonts w:ascii="Times New Roman CYR" w:hAnsi="Times New Roman CYR" w:cs="Times New Roman CYR"/>
          <w:b/>
          <w:bCs/>
          <w:i/>
          <w:iCs/>
        </w:rPr>
        <w:t>В связи с отсутствием сведений о характеристиках товара в описании позиции КТРУ, соответствующей закупаемому товару, Заказчиком определены технические и функциональные характеристики товара согласно потребностями в соответствии с положениями статьи 33 Федерального закона от 05.04.2013 № 44-ФЗ</w:t>
      </w:r>
      <w:r>
        <w:rPr>
          <w:rFonts w:ascii="Times New Roman CYR" w:hAnsi="Times New Roman CYR" w:cs="Times New Roman CYR"/>
          <w:b/>
          <w:bCs/>
        </w:rPr>
        <w:t xml:space="preserve"> </w:t>
      </w:r>
      <w:r w:rsidRPr="00D80EF9">
        <w:rPr>
          <w:rFonts w:ascii="Roboto" w:hAnsi="Roboto" w:cs="Roboto"/>
          <w:color w:val="333333"/>
          <w:highlight w:val="white"/>
        </w:rPr>
        <w:t>(</w:t>
      </w:r>
      <w:hyperlink r:id="rId18" w:history="1">
        <w:r>
          <w:rPr>
            <w:rFonts w:ascii="Calibri" w:hAnsi="Calibri" w:cs="Calibri"/>
            <w:color w:val="0064E0"/>
            <w:highlight w:val="white"/>
            <w:u w:val="single"/>
          </w:rPr>
          <w:t>письмо</w:t>
        </w:r>
      </w:hyperlink>
      <w:r>
        <w:rPr>
          <w:rFonts w:ascii="Roboto" w:hAnsi="Roboto" w:cs="Roboto"/>
          <w:color w:val="333333"/>
          <w:highlight w:val="white"/>
          <w:lang w:val="en-US"/>
        </w:rPr>
        <w:t> </w:t>
      </w:r>
      <w:r>
        <w:rPr>
          <w:rFonts w:ascii="Calibri" w:hAnsi="Calibri" w:cs="Calibri"/>
          <w:color w:val="333333"/>
          <w:highlight w:val="white"/>
        </w:rPr>
        <w:t>Минфина</w:t>
      </w:r>
      <w:r w:rsidRPr="00D80EF9">
        <w:rPr>
          <w:rFonts w:ascii="Roboto" w:hAnsi="Roboto" w:cs="Roboto"/>
          <w:color w:val="333333"/>
          <w:highlight w:val="white"/>
        </w:rPr>
        <w:t xml:space="preserve"> </w:t>
      </w:r>
      <w:r>
        <w:rPr>
          <w:rFonts w:ascii="Calibri" w:hAnsi="Calibri" w:cs="Calibri"/>
          <w:color w:val="333333"/>
          <w:highlight w:val="white"/>
        </w:rPr>
        <w:t>России</w:t>
      </w:r>
      <w:r w:rsidRPr="00D80EF9">
        <w:rPr>
          <w:rFonts w:ascii="Roboto" w:hAnsi="Roboto" w:cs="Roboto"/>
          <w:color w:val="333333"/>
          <w:highlight w:val="white"/>
        </w:rPr>
        <w:t xml:space="preserve"> </w:t>
      </w:r>
      <w:r>
        <w:rPr>
          <w:rFonts w:ascii="Calibri" w:hAnsi="Calibri" w:cs="Calibri"/>
          <w:color w:val="333333"/>
          <w:highlight w:val="white"/>
        </w:rPr>
        <w:t>от</w:t>
      </w:r>
      <w:r w:rsidRPr="00D80EF9">
        <w:rPr>
          <w:rFonts w:ascii="Roboto" w:hAnsi="Roboto" w:cs="Roboto"/>
          <w:color w:val="333333"/>
          <w:highlight w:val="white"/>
        </w:rPr>
        <w:t xml:space="preserve"> 24 </w:t>
      </w:r>
      <w:r>
        <w:rPr>
          <w:rFonts w:ascii="Calibri" w:hAnsi="Calibri" w:cs="Calibri"/>
          <w:color w:val="333333"/>
          <w:highlight w:val="white"/>
        </w:rPr>
        <w:t>января</w:t>
      </w:r>
      <w:r w:rsidRPr="00D80EF9">
        <w:rPr>
          <w:rFonts w:ascii="Roboto" w:hAnsi="Roboto" w:cs="Roboto"/>
          <w:color w:val="333333"/>
          <w:highlight w:val="white"/>
        </w:rPr>
        <w:t xml:space="preserve"> 2022 </w:t>
      </w:r>
      <w:r>
        <w:rPr>
          <w:rFonts w:ascii="Calibri" w:hAnsi="Calibri" w:cs="Calibri"/>
          <w:color w:val="333333"/>
          <w:highlight w:val="white"/>
        </w:rPr>
        <w:t>г</w:t>
      </w:r>
      <w:r w:rsidRPr="00D80EF9">
        <w:rPr>
          <w:rFonts w:ascii="Roboto" w:hAnsi="Roboto" w:cs="Roboto"/>
          <w:color w:val="333333"/>
          <w:highlight w:val="white"/>
        </w:rPr>
        <w:t xml:space="preserve">. </w:t>
      </w:r>
      <w:r>
        <w:rPr>
          <w:rFonts w:ascii="Roboto" w:hAnsi="Roboto" w:cs="Roboto"/>
          <w:color w:val="333333"/>
          <w:highlight w:val="white"/>
          <w:lang w:val="en-US"/>
        </w:rPr>
        <w:t>N</w:t>
      </w:r>
      <w:r w:rsidRPr="00D80EF9">
        <w:rPr>
          <w:rFonts w:ascii="Roboto" w:hAnsi="Roboto" w:cs="Roboto"/>
          <w:color w:val="333333"/>
          <w:highlight w:val="white"/>
        </w:rPr>
        <w:t xml:space="preserve"> 24-03-08/4090)</w:t>
      </w:r>
    </w:p>
    <w:p w:rsidR="005465CD" w:rsidRDefault="005465CD" w:rsidP="005465CD">
      <w:pPr>
        <w:autoSpaceDE w:val="0"/>
        <w:autoSpaceDN w:val="0"/>
        <w:adjustRightInd w:val="0"/>
        <w:jc w:val="both"/>
        <w:rPr>
          <w:rFonts w:ascii="Times New Roman CYR" w:hAnsi="Times New Roman CYR" w:cs="Times New Roman CYR"/>
          <w:b/>
          <w:bCs/>
        </w:rPr>
      </w:pPr>
    </w:p>
    <w:p w:rsidR="005465CD" w:rsidRDefault="005465CD" w:rsidP="005465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ru"/>
        </w:rPr>
      </w:pPr>
    </w:p>
    <w:p w:rsidR="00170252" w:rsidRDefault="00170252" w:rsidP="000820E3">
      <w:pPr>
        <w:rPr>
          <w:rFonts w:ascii="Times New Roman" w:hAnsi="Times New Roman" w:cs="Times New Roman"/>
          <w:b/>
          <w:sz w:val="28"/>
          <w:szCs w:val="28"/>
        </w:rPr>
      </w:pPr>
    </w:p>
    <w:sectPr w:rsidR="00170252" w:rsidSect="005465CD">
      <w:headerReference w:type="first" r:id="rId19"/>
      <w:footerReference w:type="first" r:id="rId20"/>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060" w:rsidRDefault="00FF5060">
      <w:pPr>
        <w:spacing w:after="0" w:line="240" w:lineRule="auto"/>
      </w:pPr>
      <w:r>
        <w:separator/>
      </w:r>
    </w:p>
  </w:endnote>
  <w:endnote w:type="continuationSeparator" w:id="0">
    <w:p w:rsidR="00FF5060" w:rsidRDefault="00FF5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variable"/>
    <w:sig w:usb0="00000003" w:usb1="00000000" w:usb2="00000000" w:usb3="00000000" w:csb0="00000001" w:csb1="00000000"/>
  </w:font>
  <w:font w:name="Segoe Print">
    <w:panose1 w:val="02000600000000000000"/>
    <w:charset w:val="CC"/>
    <w:family w:val="auto"/>
    <w:pitch w:val="variable"/>
    <w:sig w:usb0="0000028F" w:usb1="00000000"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C6A0B" w:rsidRDefault="008C6A0B">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8C6A0B">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8C6A0B">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8C6A0B">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8C6A0B">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8C6A0B">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D80EF9">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060" w:rsidRDefault="00FF5060">
      <w:pPr>
        <w:spacing w:after="0" w:line="240" w:lineRule="auto"/>
      </w:pPr>
      <w:r>
        <w:separator/>
      </w:r>
    </w:p>
  </w:footnote>
  <w:footnote w:type="continuationSeparator" w:id="0">
    <w:p w:rsidR="00FF5060" w:rsidRDefault="00FF5060">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C6A0B" w:rsidRDefault="008C6A0B">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C6A0B" w:rsidRDefault="008C6A0B">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C6A0B" w:rsidRDefault="008C6A0B">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32E01"/>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08F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066B1"/>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465CD"/>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6A0B"/>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1F7D"/>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0EF9"/>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099A"/>
    <w:rsid w:val="00FC6343"/>
    <w:rsid w:val="00FC6CB1"/>
    <w:rsid w:val="00FE5F2E"/>
    <w:rsid w:val="00FF038C"/>
    <w:rsid w:val="00FF50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7F6153E-F917-45C5-B9AC-75C55525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paragraph" w:customStyle="1" w:styleId="msonormal0">
    <w:name w:val="msonormal"/>
    <w:basedOn w:val="a0"/>
    <w:rsid w:val="005465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0"/>
    <w:rsid w:val="005465CD"/>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0"/>
    <w:rsid w:val="005465CD"/>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67">
    <w:name w:val="xl67"/>
    <w:basedOn w:val="a0"/>
    <w:rsid w:val="005465CD"/>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8">
    <w:name w:val="xl68"/>
    <w:basedOn w:val="a0"/>
    <w:rsid w:val="0054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9">
    <w:name w:val="xl69"/>
    <w:basedOn w:val="a0"/>
    <w:rsid w:val="0054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0">
    <w:name w:val="xl70"/>
    <w:basedOn w:val="a0"/>
    <w:rsid w:val="0054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0"/>
    <w:rsid w:val="0054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0"/>
    <w:rsid w:val="0054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0"/>
    <w:rsid w:val="005465C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0"/>
    <w:rsid w:val="005465C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0"/>
    <w:rsid w:val="005465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0"/>
    <w:rsid w:val="005465C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0"/>
    <w:rsid w:val="005465C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0"/>
    <w:rsid w:val="005465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0"/>
    <w:rsid w:val="005465C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0">
    <w:name w:val="xl80"/>
    <w:basedOn w:val="a0"/>
    <w:rsid w:val="005465C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1">
    <w:name w:val="xl81"/>
    <w:basedOn w:val="a0"/>
    <w:rsid w:val="005465C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2">
    <w:name w:val="xl82"/>
    <w:basedOn w:val="a0"/>
    <w:rsid w:val="0054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3">
    <w:name w:val="xl83"/>
    <w:basedOn w:val="a0"/>
    <w:rsid w:val="005465C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
    <w:name w:val="xl84"/>
    <w:basedOn w:val="a0"/>
    <w:rsid w:val="005465CD"/>
    <w:pPr>
      <w:pBdr>
        <w:top w:val="single" w:sz="8" w:space="0" w:color="000000"/>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85">
    <w:name w:val="xl85"/>
    <w:basedOn w:val="a0"/>
    <w:rsid w:val="005465CD"/>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86">
    <w:name w:val="xl86"/>
    <w:basedOn w:val="a0"/>
    <w:rsid w:val="005465CD"/>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87">
    <w:name w:val="xl87"/>
    <w:basedOn w:val="a0"/>
    <w:rsid w:val="005465C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88">
    <w:name w:val="xl88"/>
    <w:basedOn w:val="a0"/>
    <w:rsid w:val="005465CD"/>
    <w:pPr>
      <w:pBdr>
        <w:top w:val="single" w:sz="8" w:space="0" w:color="000000"/>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89">
    <w:name w:val="xl89"/>
    <w:basedOn w:val="a0"/>
    <w:rsid w:val="005465CD"/>
    <w:pPr>
      <w:pBdr>
        <w:top w:val="single" w:sz="8"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0">
    <w:name w:val="xl90"/>
    <w:basedOn w:val="a0"/>
    <w:rsid w:val="005465CD"/>
    <w:pPr>
      <w:pBdr>
        <w:top w:val="single" w:sz="8" w:space="0" w:color="000000"/>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16280849">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minfin.gov.ru/ru/document/?id_4=13539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BF919-4B2D-4BE0-8C7A-043185B6B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3814</Words>
  <Characters>21744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2025-03-20T15:47:00Z</dcterms:created>
  <dcterms:modified xsi:type="dcterms:W3CDTF">2025-03-20T15:47:00Z</dcterms:modified>
</cp:coreProperties>
</file>