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26.06.2024 № 05-07/1019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72029D">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25.11.2024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15.11.2024. Максимальное количество партий – 10 (десять).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преференции инвалидам</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208FA" w:rsidRPr="000208FA" w:rsidRDefault="00C14573" w:rsidP="000208F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Layout w:type="fixed"/>
        <w:tblLook w:val="04A0" w:firstRow="1" w:lastRow="0" w:firstColumn="1" w:lastColumn="0" w:noHBand="0" w:noVBand="1"/>
      </w:tblPr>
      <w:tblGrid>
        <w:gridCol w:w="399"/>
        <w:gridCol w:w="1751"/>
        <w:gridCol w:w="1292"/>
        <w:gridCol w:w="2590"/>
        <w:gridCol w:w="1439"/>
        <w:gridCol w:w="861"/>
        <w:gridCol w:w="2159"/>
        <w:gridCol w:w="721"/>
        <w:gridCol w:w="1151"/>
        <w:gridCol w:w="1005"/>
        <w:gridCol w:w="864"/>
        <w:gridCol w:w="718"/>
        <w:gridCol w:w="998"/>
      </w:tblGrid>
      <w:tr w:rsidR="000208FA" w:rsidRPr="00474E52" w:rsidTr="00ED5A02">
        <w:trPr>
          <w:trHeight w:val="300"/>
        </w:trPr>
        <w:tc>
          <w:tcPr>
            <w:tcW w:w="125" w:type="pct"/>
            <w:vMerge w:val="restart"/>
            <w:tcBorders>
              <w:top w:val="single" w:sz="6" w:space="0" w:color="000000"/>
              <w:left w:val="single" w:sz="6" w:space="0" w:color="000000"/>
              <w:bottom w:val="single" w:sz="6" w:space="0" w:color="000000"/>
              <w:right w:val="single" w:sz="6" w:space="0" w:color="000000"/>
            </w:tcBorders>
            <w:vAlign w:val="center"/>
            <w:hideMark/>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 п/п</w:t>
            </w:r>
          </w:p>
        </w:tc>
        <w:tc>
          <w:tcPr>
            <w:tcW w:w="549" w:type="pct"/>
            <w:vMerge w:val="restart"/>
            <w:tcBorders>
              <w:top w:val="single" w:sz="8" w:space="0" w:color="000000"/>
              <w:left w:val="single" w:sz="8" w:space="0" w:color="000000"/>
              <w:bottom w:val="single" w:sz="8" w:space="0" w:color="000000"/>
              <w:right w:val="single" w:sz="8" w:space="0" w:color="000000"/>
            </w:tcBorders>
            <w:vAlign w:val="center"/>
            <w:hideMark/>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товара, работы, услуги</w:t>
            </w:r>
          </w:p>
        </w:tc>
        <w:tc>
          <w:tcPr>
            <w:tcW w:w="405" w:type="pct"/>
            <w:vMerge w:val="restart"/>
            <w:tcBorders>
              <w:top w:val="single" w:sz="8" w:space="0" w:color="000000"/>
              <w:left w:val="single" w:sz="8" w:space="0" w:color="000000"/>
              <w:bottom w:val="single" w:sz="8" w:space="0" w:color="000000"/>
              <w:right w:val="single" w:sz="8" w:space="0" w:color="000000"/>
            </w:tcBorders>
            <w:vAlign w:val="center"/>
            <w:hideMark/>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Код позиции</w:t>
            </w:r>
          </w:p>
        </w:tc>
        <w:tc>
          <w:tcPr>
            <w:tcW w:w="2210" w:type="pct"/>
            <w:gridSpan w:val="4"/>
            <w:tcBorders>
              <w:top w:val="single" w:sz="8" w:space="0" w:color="000000"/>
              <w:left w:val="nil"/>
              <w:bottom w:val="single" w:sz="8" w:space="0" w:color="000000"/>
              <w:right w:val="single" w:sz="8" w:space="0" w:color="000000"/>
            </w:tcBorders>
            <w:vAlign w:val="center"/>
            <w:hideMark/>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Характеристики товара, работы, услуги</w:t>
            </w:r>
          </w:p>
        </w:tc>
        <w:tc>
          <w:tcPr>
            <w:tcW w:w="226" w:type="pct"/>
            <w:vMerge w:val="restart"/>
            <w:tcBorders>
              <w:top w:val="single" w:sz="8" w:space="0" w:color="000000"/>
              <w:left w:val="single" w:sz="8" w:space="0" w:color="000000"/>
              <w:bottom w:val="single" w:sz="8" w:space="0" w:color="000000"/>
              <w:right w:val="single" w:sz="4" w:space="0" w:color="auto"/>
            </w:tcBorders>
            <w:vAlign w:val="center"/>
            <w:hideMark/>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0208FA"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Количество</w:t>
            </w:r>
          </w:p>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(объем работы, услуги)</w:t>
            </w:r>
          </w:p>
        </w:tc>
        <w:tc>
          <w:tcPr>
            <w:tcW w:w="315" w:type="pct"/>
            <w:vMerge w:val="restart"/>
            <w:tcBorders>
              <w:top w:val="single" w:sz="4" w:space="0" w:color="auto"/>
              <w:left w:val="single" w:sz="4" w:space="0" w:color="auto"/>
              <w:right w:val="single" w:sz="4" w:space="0" w:color="auto"/>
            </w:tcBorders>
            <w:vAlign w:val="bottom"/>
          </w:tcPr>
          <w:p w:rsidR="000208FA" w:rsidRPr="00463580" w:rsidRDefault="000208FA" w:rsidP="00ED5A02">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Страна происхождения Товара</w:t>
            </w:r>
          </w:p>
        </w:tc>
        <w:tc>
          <w:tcPr>
            <w:tcW w:w="271" w:type="pct"/>
            <w:vMerge w:val="restart"/>
            <w:tcBorders>
              <w:top w:val="single" w:sz="4" w:space="0" w:color="auto"/>
              <w:left w:val="single" w:sz="4" w:space="0" w:color="auto"/>
              <w:right w:val="single" w:sz="4" w:space="0" w:color="auto"/>
            </w:tcBorders>
            <w:vAlign w:val="bottom"/>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Ставка НДС %</w:t>
            </w:r>
          </w:p>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p w:rsidR="000208FA" w:rsidRPr="00463580"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c>
          <w:tcPr>
            <w:tcW w:w="225" w:type="pct"/>
            <w:vMerge w:val="restart"/>
            <w:tcBorders>
              <w:top w:val="single" w:sz="4" w:space="0" w:color="auto"/>
              <w:left w:val="single" w:sz="4" w:space="0" w:color="auto"/>
              <w:right w:val="single" w:sz="4" w:space="0" w:color="auto"/>
            </w:tcBorders>
            <w:vAlign w:val="bottom"/>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Цена за ед. без НДС</w:t>
            </w:r>
          </w:p>
          <w:p w:rsidR="000208FA" w:rsidRPr="00463580"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c>
          <w:tcPr>
            <w:tcW w:w="313" w:type="pct"/>
            <w:tcBorders>
              <w:top w:val="single" w:sz="4" w:space="0" w:color="auto"/>
              <w:left w:val="single" w:sz="4" w:space="0" w:color="auto"/>
              <w:right w:val="single" w:sz="4" w:space="0" w:color="auto"/>
            </w:tcBorders>
          </w:tcPr>
          <w:p w:rsidR="000208FA" w:rsidRPr="00463580"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tcBorders>
              <w:top w:val="single" w:sz="6" w:space="0" w:color="000000"/>
              <w:left w:val="single" w:sz="6" w:space="0" w:color="000000"/>
              <w:bottom w:val="single" w:sz="6" w:space="0" w:color="000000"/>
              <w:right w:val="single" w:sz="6" w:space="0" w:color="000000"/>
            </w:tcBorders>
            <w:vAlign w:val="center"/>
            <w:hideMark/>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549" w:type="pct"/>
            <w:vMerge/>
            <w:tcBorders>
              <w:top w:val="single" w:sz="8" w:space="0" w:color="000000"/>
              <w:left w:val="single" w:sz="8" w:space="0" w:color="000000"/>
              <w:bottom w:val="single" w:sz="8" w:space="0" w:color="000000"/>
              <w:right w:val="single" w:sz="8" w:space="0" w:color="000000"/>
            </w:tcBorders>
            <w:vAlign w:val="center"/>
            <w:hideMark/>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405" w:type="pct"/>
            <w:vMerge/>
            <w:tcBorders>
              <w:top w:val="single" w:sz="8" w:space="0" w:color="000000"/>
              <w:left w:val="single" w:sz="8" w:space="0" w:color="000000"/>
              <w:bottom w:val="single" w:sz="8" w:space="0" w:color="000000"/>
              <w:right w:val="single" w:sz="8" w:space="0" w:color="000000"/>
            </w:tcBorders>
            <w:vAlign w:val="center"/>
            <w:hideMark/>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812" w:type="pct"/>
            <w:tcBorders>
              <w:top w:val="nil"/>
              <w:left w:val="nil"/>
              <w:bottom w:val="single" w:sz="8" w:space="0" w:color="000000"/>
              <w:right w:val="single" w:sz="8" w:space="0" w:color="000000"/>
            </w:tcBorders>
            <w:vAlign w:val="center"/>
            <w:hideMark/>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характеристики</w:t>
            </w:r>
          </w:p>
        </w:tc>
        <w:tc>
          <w:tcPr>
            <w:tcW w:w="451" w:type="pct"/>
            <w:tcBorders>
              <w:top w:val="nil"/>
              <w:left w:val="nil"/>
              <w:bottom w:val="single" w:sz="8" w:space="0" w:color="000000"/>
              <w:right w:val="single" w:sz="8" w:space="0" w:color="000000"/>
            </w:tcBorders>
            <w:vAlign w:val="center"/>
            <w:hideMark/>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Значение характеристики</w:t>
            </w:r>
          </w:p>
        </w:tc>
        <w:tc>
          <w:tcPr>
            <w:tcW w:w="270" w:type="pct"/>
            <w:tcBorders>
              <w:top w:val="nil"/>
              <w:left w:val="nil"/>
              <w:bottom w:val="single" w:sz="8" w:space="0" w:color="000000"/>
              <w:right w:val="single" w:sz="8" w:space="0" w:color="000000"/>
            </w:tcBorders>
            <w:vAlign w:val="center"/>
            <w:hideMark/>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 характеристики</w:t>
            </w:r>
          </w:p>
        </w:tc>
        <w:tc>
          <w:tcPr>
            <w:tcW w:w="677" w:type="pct"/>
            <w:tcBorders>
              <w:top w:val="nil"/>
              <w:left w:val="nil"/>
              <w:bottom w:val="single" w:sz="8" w:space="0" w:color="000000"/>
              <w:right w:val="single" w:sz="8" w:space="0" w:color="000000"/>
            </w:tcBorders>
            <w:vAlign w:val="center"/>
            <w:hideMark/>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Инструкция по заполнению характеристик в заявке</w:t>
            </w:r>
          </w:p>
        </w:tc>
        <w:tc>
          <w:tcPr>
            <w:tcW w:w="226" w:type="pct"/>
            <w:vMerge/>
            <w:tcBorders>
              <w:top w:val="single" w:sz="8" w:space="0" w:color="000000"/>
              <w:left w:val="single" w:sz="8" w:space="0" w:color="000000"/>
              <w:bottom w:val="single" w:sz="8" w:space="0" w:color="000000"/>
              <w:right w:val="single" w:sz="4" w:space="0" w:color="auto"/>
            </w:tcBorders>
            <w:vAlign w:val="center"/>
            <w:hideMark/>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bottom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bottom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bottom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tcBorders>
              <w:left w:val="single" w:sz="4" w:space="0" w:color="auto"/>
              <w:bottom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Сумма без НДС</w:t>
            </w:r>
          </w:p>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r>
      <w:tr w:rsidR="000208FA" w:rsidRPr="00474E52" w:rsidTr="00ED5A02">
        <w:trPr>
          <w:trHeight w:val="300"/>
        </w:trPr>
        <w:tc>
          <w:tcPr>
            <w:tcW w:w="125" w:type="pct"/>
            <w:vMerge w:val="restart"/>
            <w:tcBorders>
              <w:top w:val="single" w:sz="6" w:space="0" w:color="000000"/>
              <w:left w:val="single" w:sz="6" w:space="0" w:color="000000"/>
              <w:right w:val="single" w:sz="6" w:space="0" w:color="000000"/>
            </w:tcBorders>
            <w:vAlign w:val="center"/>
          </w:tcPr>
          <w:p w:rsidR="000208FA" w:rsidRPr="00581479" w:rsidRDefault="000208FA" w:rsidP="00ED5A02">
            <w:pPr>
              <w:spacing w:after="0" w:line="240" w:lineRule="auto"/>
              <w:jc w:val="center"/>
              <w:rPr>
                <w:rFonts w:ascii="Times New Roman" w:eastAsia="Times New Roman" w:hAnsi="Times New Roman" w:cs="Times New Roman"/>
                <w:bCs/>
                <w:color w:val="000000"/>
                <w:sz w:val="16"/>
                <w:szCs w:val="16"/>
                <w:lang w:eastAsia="ru-RU"/>
              </w:rPr>
            </w:pPr>
            <w:r w:rsidRPr="00581479">
              <w:rPr>
                <w:rFonts w:ascii="Times New Roman" w:eastAsia="Times New Roman" w:hAnsi="Times New Roman" w:cs="Times New Roman"/>
                <w:bCs/>
                <w:color w:val="000000"/>
                <w:sz w:val="16"/>
                <w:szCs w:val="16"/>
                <w:lang w:eastAsia="ru-RU"/>
              </w:rPr>
              <w:t>1</w:t>
            </w:r>
          </w:p>
        </w:tc>
        <w:tc>
          <w:tcPr>
            <w:tcW w:w="549" w:type="pct"/>
            <w:vMerge w:val="restart"/>
            <w:tcBorders>
              <w:top w:val="single" w:sz="8" w:space="0" w:color="000000"/>
              <w:left w:val="single" w:sz="8" w:space="0" w:color="000000"/>
              <w:right w:val="single" w:sz="8" w:space="0" w:color="000000"/>
            </w:tcBorders>
            <w:vAlign w:val="center"/>
          </w:tcPr>
          <w:p w:rsidR="000208FA" w:rsidRPr="00581479"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581479">
              <w:rPr>
                <w:rFonts w:ascii="Times New Roman" w:eastAsia="Times New Roman" w:hAnsi="Times New Roman" w:cs="Times New Roman"/>
                <w:color w:val="000000"/>
                <w:sz w:val="16"/>
                <w:szCs w:val="16"/>
                <w:lang w:eastAsia="ru-RU"/>
              </w:rPr>
              <w:t>Защита для хирургических инструментов, одноразового использования, стерильная</w:t>
            </w:r>
          </w:p>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405" w:type="pct"/>
            <w:vMerge w:val="restart"/>
            <w:tcBorders>
              <w:top w:val="single" w:sz="8" w:space="0" w:color="000000"/>
              <w:left w:val="single" w:sz="8" w:space="0" w:color="000000"/>
              <w:right w:val="single" w:sz="8" w:space="0" w:color="000000"/>
            </w:tcBorders>
            <w:vAlign w:val="center"/>
          </w:tcPr>
          <w:p w:rsidR="000208FA" w:rsidRPr="00581479"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581479">
              <w:rPr>
                <w:rFonts w:ascii="Times New Roman" w:eastAsia="Times New Roman" w:hAnsi="Times New Roman" w:cs="Times New Roman"/>
                <w:color w:val="000000"/>
                <w:sz w:val="16"/>
                <w:szCs w:val="16"/>
                <w:lang w:eastAsia="ru-RU"/>
              </w:rPr>
              <w:t>32.50.50.190-00001267</w:t>
            </w:r>
            <w:r>
              <w:rPr>
                <w:rFonts w:ascii="Times New Roman" w:eastAsia="Times New Roman" w:hAnsi="Times New Roman" w:cs="Times New Roman"/>
                <w:color w:val="000000"/>
                <w:sz w:val="16"/>
                <w:szCs w:val="16"/>
                <w:lang w:eastAsia="ru-RU"/>
              </w:rPr>
              <w:t>**</w:t>
            </w:r>
          </w:p>
        </w:tc>
        <w:tc>
          <w:tcPr>
            <w:tcW w:w="812"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Изоляционная насадка должна поставляться стерильной упаковке для однократного применения</w:t>
            </w:r>
          </w:p>
        </w:tc>
        <w:tc>
          <w:tcPr>
            <w:tcW w:w="451"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val="restart"/>
            <w:tcBorders>
              <w:top w:val="single" w:sz="8" w:space="0" w:color="000000"/>
              <w:left w:val="single" w:sz="8" w:space="0" w:color="000000"/>
              <w:right w:val="single" w:sz="4" w:space="0" w:color="auto"/>
            </w:tcBorders>
            <w:vAlign w:val="center"/>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шт</w:t>
            </w:r>
          </w:p>
        </w:tc>
        <w:tc>
          <w:tcPr>
            <w:tcW w:w="361" w:type="pct"/>
            <w:vMerge w:val="restart"/>
            <w:tcBorders>
              <w:top w:val="single" w:sz="4" w:space="0" w:color="auto"/>
              <w:left w:val="single" w:sz="4" w:space="0" w:color="auto"/>
              <w:right w:val="single" w:sz="4" w:space="0" w:color="auto"/>
            </w:tcBorders>
            <w:vAlign w:val="center"/>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50</w:t>
            </w:r>
          </w:p>
        </w:tc>
        <w:tc>
          <w:tcPr>
            <w:tcW w:w="315" w:type="pct"/>
            <w:vMerge w:val="restart"/>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val="restart"/>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val="restart"/>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vMerge w:val="restart"/>
            <w:tcBorders>
              <w:left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tcBorders>
              <w:left w:val="single" w:sz="6" w:space="0" w:color="000000"/>
              <w:right w:val="single" w:sz="6"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549" w:type="pct"/>
            <w:vMerge/>
            <w:tcBorders>
              <w:left w:val="single" w:sz="8" w:space="0" w:color="000000"/>
              <w:right w:val="single" w:sz="8"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405" w:type="pct"/>
            <w:vMerge/>
            <w:tcBorders>
              <w:left w:val="single" w:sz="8" w:space="0" w:color="000000"/>
              <w:right w:val="single" w:sz="8"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812"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451"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tcBorders>
              <w:left w:val="single" w:sz="8" w:space="0" w:color="000000"/>
              <w:right w:val="single" w:sz="4" w:space="0" w:color="auto"/>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left w:val="single" w:sz="4" w:space="0" w:color="auto"/>
              <w:right w:val="single" w:sz="4" w:space="0" w:color="auto"/>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vMerge/>
            <w:tcBorders>
              <w:left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tcBorders>
              <w:left w:val="single" w:sz="6" w:space="0" w:color="000000"/>
              <w:right w:val="single" w:sz="6"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549" w:type="pct"/>
            <w:vMerge/>
            <w:tcBorders>
              <w:left w:val="single" w:sz="8" w:space="0" w:color="000000"/>
              <w:right w:val="single" w:sz="8"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405" w:type="pct"/>
            <w:vMerge/>
            <w:tcBorders>
              <w:left w:val="single" w:sz="8" w:space="0" w:color="000000"/>
              <w:right w:val="single" w:sz="8"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812"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Должна быть полностью совместима с монополярными изогнутыми ножницами к комплексу роботизированному хирургическому эндоскопическому daVinci®Xi, модель IS 4000, имеющимся у заказчика</w:t>
            </w:r>
          </w:p>
        </w:tc>
        <w:tc>
          <w:tcPr>
            <w:tcW w:w="451"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tcBorders>
              <w:left w:val="single" w:sz="8" w:space="0" w:color="000000"/>
              <w:right w:val="single" w:sz="4" w:space="0" w:color="auto"/>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left w:val="single" w:sz="4" w:space="0" w:color="auto"/>
              <w:right w:val="single" w:sz="4" w:space="0" w:color="auto"/>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vMerge/>
            <w:tcBorders>
              <w:left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tcBorders>
              <w:left w:val="single" w:sz="6" w:space="0" w:color="000000"/>
              <w:bottom w:val="single" w:sz="6" w:space="0" w:color="000000"/>
              <w:right w:val="single" w:sz="6"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549" w:type="pct"/>
            <w:vMerge/>
            <w:tcBorders>
              <w:left w:val="single" w:sz="8" w:space="0" w:color="000000"/>
              <w:bottom w:val="single" w:sz="8" w:space="0" w:color="000000"/>
              <w:right w:val="single" w:sz="8"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405" w:type="pct"/>
            <w:vMerge/>
            <w:tcBorders>
              <w:left w:val="single" w:sz="8" w:space="0" w:color="000000"/>
              <w:bottom w:val="single" w:sz="8" w:space="0" w:color="000000"/>
              <w:right w:val="single" w:sz="8"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812"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В упаковке</w:t>
            </w:r>
          </w:p>
        </w:tc>
        <w:tc>
          <w:tcPr>
            <w:tcW w:w="451"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 10</w:t>
            </w:r>
          </w:p>
        </w:tc>
        <w:tc>
          <w:tcPr>
            <w:tcW w:w="270"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Штука</w:t>
            </w:r>
          </w:p>
        </w:tc>
        <w:tc>
          <w:tcPr>
            <w:tcW w:w="677" w:type="pct"/>
            <w:tcBorders>
              <w:top w:val="nil"/>
              <w:left w:val="single" w:sz="6" w:space="0" w:color="000000"/>
              <w:bottom w:val="single" w:sz="6" w:space="0" w:color="000000"/>
              <w:right w:val="single" w:sz="6" w:space="0" w:color="000000"/>
            </w:tcBorders>
            <w:vAlign w:val="center"/>
          </w:tcPr>
          <w:p w:rsidR="000208FA" w:rsidRPr="00955AE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955AE8">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226" w:type="pct"/>
            <w:vMerge/>
            <w:tcBorders>
              <w:left w:val="single" w:sz="8" w:space="0" w:color="000000"/>
              <w:bottom w:val="single" w:sz="8" w:space="0" w:color="000000"/>
              <w:right w:val="single" w:sz="4" w:space="0" w:color="auto"/>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left w:val="single" w:sz="4" w:space="0" w:color="auto"/>
              <w:bottom w:val="single" w:sz="4" w:space="0" w:color="auto"/>
              <w:right w:val="single" w:sz="4" w:space="0" w:color="auto"/>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bottom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bottom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bottom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vMerge/>
            <w:tcBorders>
              <w:left w:val="single" w:sz="4" w:space="0" w:color="auto"/>
              <w:bottom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val="restart"/>
            <w:tcBorders>
              <w:top w:val="single" w:sz="6" w:space="0" w:color="000000"/>
              <w:left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bCs/>
                <w:color w:val="000000"/>
                <w:sz w:val="16"/>
                <w:szCs w:val="16"/>
                <w:lang w:eastAsia="ru-RU"/>
              </w:rPr>
            </w:pPr>
            <w:r w:rsidRPr="00C313C8">
              <w:rPr>
                <w:rFonts w:ascii="Times New Roman" w:eastAsia="Times New Roman" w:hAnsi="Times New Roman" w:cs="Times New Roman"/>
                <w:bCs/>
                <w:color w:val="000000"/>
                <w:sz w:val="16"/>
                <w:szCs w:val="16"/>
                <w:lang w:eastAsia="ru-RU"/>
              </w:rPr>
              <w:t>2</w:t>
            </w:r>
          </w:p>
        </w:tc>
        <w:tc>
          <w:tcPr>
            <w:tcW w:w="549" w:type="pct"/>
            <w:vMerge w:val="restart"/>
            <w:tcBorders>
              <w:top w:val="single" w:sz="8" w:space="0" w:color="000000"/>
              <w:left w:val="single" w:sz="8" w:space="0" w:color="000000"/>
              <w:right w:val="single" w:sz="8"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374C0">
              <w:rPr>
                <w:rFonts w:ascii="Times New Roman" w:eastAsia="Times New Roman" w:hAnsi="Times New Roman" w:cs="Times New Roman"/>
                <w:color w:val="000000"/>
                <w:sz w:val="16"/>
                <w:szCs w:val="16"/>
                <w:lang w:eastAsia="ru-RU"/>
              </w:rPr>
              <w:t>.Вставка сужающая для уплотнителя канюли для лапароскопического доступа</w:t>
            </w:r>
          </w:p>
        </w:tc>
        <w:tc>
          <w:tcPr>
            <w:tcW w:w="405" w:type="pct"/>
            <w:vMerge w:val="restart"/>
            <w:tcBorders>
              <w:top w:val="single" w:sz="8" w:space="0" w:color="000000"/>
              <w:left w:val="single" w:sz="8" w:space="0" w:color="000000"/>
              <w:right w:val="single" w:sz="8"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sidRPr="004374C0">
              <w:rPr>
                <w:rFonts w:ascii="Times New Roman" w:eastAsia="Times New Roman" w:hAnsi="Times New Roman" w:cs="Times New Roman"/>
                <w:color w:val="000000"/>
                <w:sz w:val="16"/>
                <w:szCs w:val="16"/>
                <w:lang w:eastAsia="ru-RU"/>
              </w:rPr>
              <w:t>32.50.50.190-00001352</w:t>
            </w:r>
            <w:r>
              <w:rPr>
                <w:rFonts w:ascii="Times New Roman" w:eastAsia="Times New Roman" w:hAnsi="Times New Roman" w:cs="Times New Roman"/>
                <w:color w:val="000000"/>
                <w:sz w:val="16"/>
                <w:szCs w:val="16"/>
                <w:lang w:eastAsia="ru-RU"/>
              </w:rPr>
              <w:t>**</w:t>
            </w:r>
          </w:p>
        </w:tc>
        <w:tc>
          <w:tcPr>
            <w:tcW w:w="812"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Уплотнение канюли должно быть размером</w:t>
            </w:r>
          </w:p>
        </w:tc>
        <w:tc>
          <w:tcPr>
            <w:tcW w:w="451"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от 5 до 8 мм</w:t>
            </w:r>
          </w:p>
        </w:tc>
        <w:tc>
          <w:tcPr>
            <w:tcW w:w="270"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val="restart"/>
            <w:tcBorders>
              <w:top w:val="single" w:sz="8" w:space="0" w:color="000000"/>
              <w:left w:val="single" w:sz="8" w:space="0" w:color="000000"/>
              <w:right w:val="single" w:sz="4" w:space="0" w:color="auto"/>
            </w:tcBorders>
            <w:vAlign w:val="center"/>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шт</w:t>
            </w:r>
          </w:p>
        </w:tc>
        <w:tc>
          <w:tcPr>
            <w:tcW w:w="361" w:type="pct"/>
            <w:vMerge w:val="restart"/>
            <w:tcBorders>
              <w:top w:val="single" w:sz="4" w:space="0" w:color="auto"/>
              <w:left w:val="single" w:sz="4" w:space="0" w:color="auto"/>
              <w:right w:val="single" w:sz="4" w:space="0" w:color="auto"/>
            </w:tcBorders>
            <w:vAlign w:val="center"/>
          </w:tcPr>
          <w:p w:rsidR="000208FA" w:rsidRPr="0046358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160</w:t>
            </w:r>
          </w:p>
        </w:tc>
        <w:tc>
          <w:tcPr>
            <w:tcW w:w="315" w:type="pct"/>
            <w:vMerge w:val="restart"/>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val="restart"/>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val="restart"/>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vMerge w:val="restart"/>
            <w:tcBorders>
              <w:left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tcBorders>
              <w:top w:val="single" w:sz="6" w:space="0" w:color="000000"/>
              <w:left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549" w:type="pct"/>
            <w:vMerge/>
            <w:tcBorders>
              <w:top w:val="single" w:sz="8" w:space="0" w:color="000000"/>
              <w:left w:val="single" w:sz="8" w:space="0" w:color="000000"/>
              <w:right w:val="single" w:sz="8"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405" w:type="pct"/>
            <w:vMerge/>
            <w:tcBorders>
              <w:top w:val="single" w:sz="8" w:space="0" w:color="000000"/>
              <w:left w:val="single" w:sz="8" w:space="0" w:color="000000"/>
              <w:right w:val="single" w:sz="8"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812"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Уплотнение канюли должно быть изготовлено из резины, состоять из внутреннего клапана и уплотнения, предотвращающих утечку газа при работе с инструментом</w:t>
            </w:r>
          </w:p>
        </w:tc>
        <w:tc>
          <w:tcPr>
            <w:tcW w:w="451"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tcBorders>
              <w:top w:val="single" w:sz="8" w:space="0" w:color="000000"/>
              <w:left w:val="single" w:sz="8" w:space="0" w:color="000000"/>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361" w:type="pct"/>
            <w:vMerge/>
            <w:tcBorders>
              <w:top w:val="single" w:sz="4" w:space="0" w:color="auto"/>
              <w:left w:val="single" w:sz="4"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vMerge/>
            <w:tcBorders>
              <w:left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tcBorders>
              <w:top w:val="single" w:sz="6" w:space="0" w:color="000000"/>
              <w:left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549" w:type="pct"/>
            <w:vMerge/>
            <w:tcBorders>
              <w:top w:val="single" w:sz="8" w:space="0" w:color="000000"/>
              <w:left w:val="single" w:sz="8" w:space="0" w:color="000000"/>
              <w:right w:val="single" w:sz="8"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405" w:type="pct"/>
            <w:vMerge/>
            <w:tcBorders>
              <w:top w:val="single" w:sz="8" w:space="0" w:color="000000"/>
              <w:left w:val="single" w:sz="8" w:space="0" w:color="000000"/>
              <w:right w:val="single" w:sz="8"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812"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451"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tcBorders>
              <w:top w:val="single" w:sz="8" w:space="0" w:color="000000"/>
              <w:left w:val="single" w:sz="8" w:space="0" w:color="000000"/>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361" w:type="pct"/>
            <w:vMerge/>
            <w:tcBorders>
              <w:top w:val="single" w:sz="4" w:space="0" w:color="auto"/>
              <w:left w:val="single" w:sz="4"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vMerge/>
            <w:tcBorders>
              <w:left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tcBorders>
              <w:top w:val="single" w:sz="6" w:space="0" w:color="000000"/>
              <w:left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549" w:type="pct"/>
            <w:vMerge/>
            <w:tcBorders>
              <w:top w:val="single" w:sz="8" w:space="0" w:color="000000"/>
              <w:left w:val="single" w:sz="8" w:space="0" w:color="000000"/>
              <w:right w:val="single" w:sz="8"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405" w:type="pct"/>
            <w:vMerge/>
            <w:tcBorders>
              <w:top w:val="single" w:sz="8" w:space="0" w:color="000000"/>
              <w:left w:val="single" w:sz="8" w:space="0" w:color="000000"/>
              <w:right w:val="single" w:sz="8"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812"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В упаковке</w:t>
            </w:r>
          </w:p>
        </w:tc>
        <w:tc>
          <w:tcPr>
            <w:tcW w:w="451"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 10</w:t>
            </w:r>
          </w:p>
        </w:tc>
        <w:tc>
          <w:tcPr>
            <w:tcW w:w="270"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Штука</w:t>
            </w:r>
          </w:p>
        </w:tc>
        <w:tc>
          <w:tcPr>
            <w:tcW w:w="677"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226" w:type="pct"/>
            <w:vMerge/>
            <w:tcBorders>
              <w:top w:val="single" w:sz="8" w:space="0" w:color="000000"/>
              <w:left w:val="single" w:sz="8" w:space="0" w:color="000000"/>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361" w:type="pct"/>
            <w:vMerge/>
            <w:tcBorders>
              <w:top w:val="single" w:sz="4" w:space="0" w:color="auto"/>
              <w:left w:val="single" w:sz="4"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vMerge/>
            <w:tcBorders>
              <w:left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tcBorders>
              <w:top w:val="single" w:sz="6" w:space="0" w:color="000000"/>
              <w:left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549" w:type="pct"/>
            <w:vMerge/>
            <w:tcBorders>
              <w:top w:val="single" w:sz="8" w:space="0" w:color="000000"/>
              <w:left w:val="single" w:sz="8" w:space="0" w:color="000000"/>
              <w:right w:val="single" w:sz="8"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405" w:type="pct"/>
            <w:vMerge/>
            <w:tcBorders>
              <w:top w:val="single" w:sz="8" w:space="0" w:color="000000"/>
              <w:left w:val="single" w:sz="8" w:space="0" w:color="000000"/>
              <w:right w:val="single" w:sz="8"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812"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Должно быть полностью совместимо с переходной гильзой канюли комплекса роботизированного хирургического эндоскопического daVinci®Xi, модель IS 4000, имеющимся у заказчика</w:t>
            </w:r>
          </w:p>
        </w:tc>
        <w:tc>
          <w:tcPr>
            <w:tcW w:w="451"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tcBorders>
              <w:top w:val="single" w:sz="8" w:space="0" w:color="000000"/>
              <w:left w:val="single" w:sz="8" w:space="0" w:color="000000"/>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361" w:type="pct"/>
            <w:vMerge/>
            <w:tcBorders>
              <w:top w:val="single" w:sz="4" w:space="0" w:color="auto"/>
              <w:left w:val="single" w:sz="4"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vMerge/>
            <w:tcBorders>
              <w:left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tcBorders>
              <w:left w:val="single" w:sz="6" w:space="0" w:color="000000"/>
              <w:right w:val="single" w:sz="6"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549" w:type="pct"/>
            <w:vMerge/>
            <w:tcBorders>
              <w:left w:val="single" w:sz="8" w:space="0" w:color="000000"/>
              <w:right w:val="single" w:sz="8"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405" w:type="pct"/>
            <w:vMerge/>
            <w:tcBorders>
              <w:left w:val="single" w:sz="8" w:space="0" w:color="000000"/>
              <w:right w:val="single" w:sz="8" w:space="0" w:color="000000"/>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812"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Уплотнение канюли должно поставляться стерильным для однократного применения</w:t>
            </w:r>
          </w:p>
        </w:tc>
        <w:tc>
          <w:tcPr>
            <w:tcW w:w="451"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4374C0" w:rsidRDefault="000208FA" w:rsidP="00ED5A02">
            <w:pPr>
              <w:spacing w:after="0" w:line="240" w:lineRule="auto"/>
              <w:rPr>
                <w:rFonts w:ascii="Times New Roman" w:eastAsia="Times New Roman" w:hAnsi="Times New Roman" w:cs="Times New Roman"/>
                <w:color w:val="000000"/>
                <w:sz w:val="16"/>
                <w:szCs w:val="16"/>
                <w:lang w:eastAsia="ru-RU"/>
              </w:rPr>
            </w:pPr>
            <w:r w:rsidRPr="004374C0">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tcBorders>
              <w:left w:val="single" w:sz="8" w:space="0" w:color="000000"/>
              <w:right w:val="single" w:sz="4" w:space="0" w:color="auto"/>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left w:val="single" w:sz="4" w:space="0" w:color="auto"/>
              <w:right w:val="single" w:sz="4" w:space="0" w:color="auto"/>
            </w:tcBorders>
            <w:vAlign w:val="center"/>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right w:val="single" w:sz="4" w:space="0" w:color="auto"/>
            </w:tcBorders>
          </w:tcPr>
          <w:p w:rsidR="000208FA" w:rsidRPr="00463580" w:rsidRDefault="000208FA" w:rsidP="00ED5A02">
            <w:pPr>
              <w:spacing w:after="0" w:line="240" w:lineRule="auto"/>
              <w:rPr>
                <w:rFonts w:ascii="Times New Roman" w:eastAsia="Times New Roman" w:hAnsi="Times New Roman" w:cs="Times New Roman"/>
                <w:b/>
                <w:bCs/>
                <w:color w:val="000000"/>
                <w:sz w:val="16"/>
                <w:szCs w:val="16"/>
                <w:lang w:eastAsia="ru-RU"/>
              </w:rPr>
            </w:pPr>
          </w:p>
        </w:tc>
        <w:tc>
          <w:tcPr>
            <w:tcW w:w="313" w:type="pct"/>
            <w:vMerge/>
            <w:tcBorders>
              <w:left w:val="single" w:sz="4" w:space="0" w:color="auto"/>
              <w:right w:val="single" w:sz="4" w:space="0" w:color="auto"/>
            </w:tcBorders>
          </w:tcPr>
          <w:p w:rsidR="000208FA" w:rsidRDefault="000208FA" w:rsidP="00ED5A02">
            <w:pPr>
              <w:spacing w:after="0" w:line="240" w:lineRule="auto"/>
              <w:jc w:val="center"/>
              <w:rPr>
                <w:rFonts w:ascii="Times New Roman" w:eastAsia="Times New Roman" w:hAnsi="Times New Roman" w:cs="Times New Roman"/>
                <w:b/>
                <w:color w:val="000000"/>
                <w:sz w:val="16"/>
                <w:szCs w:val="16"/>
                <w:lang w:eastAsia="ru-RU"/>
              </w:rPr>
            </w:pPr>
          </w:p>
        </w:tc>
      </w:tr>
      <w:tr w:rsidR="000208FA" w:rsidRPr="00474E52" w:rsidTr="00ED5A02">
        <w:trPr>
          <w:trHeight w:val="300"/>
        </w:trPr>
        <w:tc>
          <w:tcPr>
            <w:tcW w:w="125" w:type="pct"/>
            <w:vMerge w:val="restart"/>
            <w:tcBorders>
              <w:top w:val="single" w:sz="4" w:space="0" w:color="auto"/>
              <w:left w:val="single" w:sz="8" w:space="0" w:color="auto"/>
              <w:right w:val="single" w:sz="8" w:space="0" w:color="auto"/>
            </w:tcBorders>
            <w:vAlign w:val="center"/>
          </w:tcPr>
          <w:p w:rsidR="000208FA" w:rsidRPr="00463580" w:rsidRDefault="000208FA" w:rsidP="00ED5A0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49" w:type="pct"/>
            <w:vMerge w:val="restart"/>
            <w:tcBorders>
              <w:top w:val="single" w:sz="6" w:space="0" w:color="000000"/>
              <w:left w:val="single" w:sz="6" w:space="0" w:color="000000"/>
              <w:right w:val="single" w:sz="6" w:space="0" w:color="000000"/>
            </w:tcBorders>
            <w:vAlign w:val="center"/>
          </w:tcPr>
          <w:p w:rsidR="000208FA" w:rsidRPr="00C313C8" w:rsidRDefault="000208FA" w:rsidP="00ED5A02">
            <w:pPr>
              <w:jc w:val="center"/>
              <w:rPr>
                <w:rFonts w:ascii="Times New Roman" w:hAnsi="Times New Roman" w:cs="Times New Roman"/>
                <w:color w:val="000000"/>
                <w:sz w:val="16"/>
                <w:szCs w:val="16"/>
              </w:rPr>
            </w:pPr>
            <w:r w:rsidRPr="00C313C8">
              <w:rPr>
                <w:rFonts w:ascii="Times New Roman" w:eastAsia="Times New Roman" w:hAnsi="Times New Roman" w:cs="Times New Roman"/>
                <w:color w:val="000000"/>
                <w:sz w:val="16"/>
                <w:szCs w:val="16"/>
                <w:lang w:eastAsia="ru-RU"/>
              </w:rPr>
              <w:t>Простыня для инструментов/оборудования, одноразового использования, стерильная</w:t>
            </w:r>
          </w:p>
        </w:tc>
        <w:tc>
          <w:tcPr>
            <w:tcW w:w="405" w:type="pct"/>
            <w:vMerge w:val="restart"/>
            <w:tcBorders>
              <w:top w:val="single" w:sz="6" w:space="0" w:color="000000"/>
              <w:left w:val="single" w:sz="6" w:space="0" w:color="000000"/>
              <w:right w:val="single" w:sz="6" w:space="0" w:color="000000"/>
            </w:tcBorders>
            <w:vAlign w:val="center"/>
          </w:tcPr>
          <w:p w:rsidR="000208FA" w:rsidRPr="00C313C8" w:rsidRDefault="000208FA" w:rsidP="00ED5A02">
            <w:pPr>
              <w:jc w:val="center"/>
              <w:rPr>
                <w:rFonts w:ascii="Times New Roman" w:hAnsi="Times New Roman" w:cs="Times New Roman"/>
                <w:color w:val="000000"/>
                <w:sz w:val="16"/>
                <w:szCs w:val="16"/>
              </w:rPr>
            </w:pPr>
            <w:r w:rsidRPr="00C313C8">
              <w:rPr>
                <w:rFonts w:ascii="Times New Roman" w:eastAsia="Times New Roman" w:hAnsi="Times New Roman" w:cs="Times New Roman"/>
                <w:color w:val="000000"/>
                <w:sz w:val="16"/>
                <w:szCs w:val="16"/>
                <w:lang w:eastAsia="ru-RU"/>
              </w:rPr>
              <w:t>32.50.50.190-00001285</w:t>
            </w:r>
            <w:r>
              <w:rPr>
                <w:rFonts w:ascii="Times New Roman" w:eastAsia="Times New Roman" w:hAnsi="Times New Roman" w:cs="Times New Roman"/>
                <w:color w:val="000000"/>
                <w:sz w:val="16"/>
                <w:szCs w:val="16"/>
                <w:lang w:eastAsia="ru-RU"/>
              </w:rPr>
              <w:t>**</w:t>
            </w:r>
          </w:p>
        </w:tc>
        <w:tc>
          <w:tcPr>
            <w:tcW w:w="812"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Простыня должна быть изготовлена из полиэтилена и предназначена для укрытия манипулятора инструмента.</w:t>
            </w:r>
          </w:p>
        </w:tc>
        <w:tc>
          <w:tcPr>
            <w:tcW w:w="451"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val="restart"/>
            <w:tcBorders>
              <w:top w:val="single" w:sz="4" w:space="0" w:color="auto"/>
              <w:left w:val="single" w:sz="8"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шт</w:t>
            </w:r>
          </w:p>
        </w:tc>
        <w:tc>
          <w:tcPr>
            <w:tcW w:w="361" w:type="pct"/>
            <w:vMerge w:val="restart"/>
            <w:tcBorders>
              <w:top w:val="single" w:sz="4" w:space="0" w:color="auto"/>
              <w:left w:val="single" w:sz="4"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315" w:type="pct"/>
            <w:vMerge w:val="restart"/>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val="restart"/>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val="restart"/>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r>
      <w:tr w:rsidR="000208FA" w:rsidRPr="00474E52" w:rsidTr="00ED5A02">
        <w:trPr>
          <w:trHeight w:val="300"/>
        </w:trPr>
        <w:tc>
          <w:tcPr>
            <w:tcW w:w="125" w:type="pct"/>
            <w:vMerge/>
            <w:tcBorders>
              <w:top w:val="nil"/>
              <w:left w:val="single" w:sz="8" w:space="0" w:color="auto"/>
              <w:right w:val="single" w:sz="8"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top w:val="single" w:sz="6" w:space="0" w:color="000000"/>
              <w:left w:val="single" w:sz="6" w:space="0" w:color="000000"/>
              <w:right w:val="single" w:sz="6" w:space="0" w:color="000000"/>
            </w:tcBorders>
            <w:vAlign w:val="center"/>
          </w:tcPr>
          <w:p w:rsidR="000208FA" w:rsidRPr="008202CB" w:rsidRDefault="000208FA" w:rsidP="00ED5A02">
            <w:pPr>
              <w:jc w:val="center"/>
              <w:rPr>
                <w:rFonts w:ascii="Times New Roman" w:hAnsi="Times New Roman" w:cs="Times New Roman"/>
                <w:color w:val="000000"/>
                <w:sz w:val="16"/>
                <w:szCs w:val="16"/>
              </w:rPr>
            </w:pPr>
          </w:p>
        </w:tc>
        <w:tc>
          <w:tcPr>
            <w:tcW w:w="405" w:type="pct"/>
            <w:vMerge/>
            <w:tcBorders>
              <w:top w:val="single" w:sz="6" w:space="0" w:color="000000"/>
              <w:left w:val="single" w:sz="6" w:space="0" w:color="000000"/>
              <w:right w:val="single" w:sz="6" w:space="0" w:color="000000"/>
            </w:tcBorders>
            <w:vAlign w:val="center"/>
          </w:tcPr>
          <w:p w:rsidR="000208FA" w:rsidRPr="008202CB" w:rsidRDefault="000208FA" w:rsidP="00ED5A02">
            <w:pPr>
              <w:jc w:val="center"/>
              <w:rPr>
                <w:rFonts w:ascii="Times New Roman" w:hAnsi="Times New Roman" w:cs="Times New Roman"/>
                <w:color w:val="000000"/>
                <w:sz w:val="16"/>
                <w:szCs w:val="16"/>
              </w:rPr>
            </w:pPr>
          </w:p>
        </w:tc>
        <w:tc>
          <w:tcPr>
            <w:tcW w:w="812"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Простыня должна иметь магнитные метки для крепления вокруг основания консоли пациента</w:t>
            </w:r>
          </w:p>
        </w:tc>
        <w:tc>
          <w:tcPr>
            <w:tcW w:w="451"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tcBorders>
              <w:top w:val="nil"/>
              <w:left w:val="single" w:sz="8"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r>
      <w:tr w:rsidR="000208FA" w:rsidRPr="00474E52" w:rsidTr="00ED5A02">
        <w:trPr>
          <w:trHeight w:val="300"/>
        </w:trPr>
        <w:tc>
          <w:tcPr>
            <w:tcW w:w="125" w:type="pct"/>
            <w:vMerge/>
            <w:tcBorders>
              <w:top w:val="nil"/>
              <w:left w:val="single" w:sz="8" w:space="0" w:color="auto"/>
              <w:right w:val="single" w:sz="8"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top w:val="single" w:sz="6" w:space="0" w:color="000000"/>
              <w:left w:val="single" w:sz="6" w:space="0" w:color="000000"/>
              <w:right w:val="single" w:sz="6" w:space="0" w:color="000000"/>
            </w:tcBorders>
            <w:vAlign w:val="center"/>
          </w:tcPr>
          <w:p w:rsidR="000208FA" w:rsidRPr="00732EDC" w:rsidRDefault="000208FA" w:rsidP="00ED5A02">
            <w:pPr>
              <w:jc w:val="center"/>
              <w:rPr>
                <w:rFonts w:ascii="Times New Roman" w:hAnsi="Times New Roman" w:cs="Times New Roman"/>
                <w:color w:val="000000"/>
                <w:sz w:val="16"/>
                <w:szCs w:val="16"/>
              </w:rPr>
            </w:pPr>
          </w:p>
        </w:tc>
        <w:tc>
          <w:tcPr>
            <w:tcW w:w="405" w:type="pct"/>
            <w:vMerge/>
            <w:tcBorders>
              <w:top w:val="single" w:sz="6" w:space="0" w:color="000000"/>
              <w:left w:val="single" w:sz="6" w:space="0" w:color="000000"/>
              <w:right w:val="single" w:sz="6" w:space="0" w:color="000000"/>
            </w:tcBorders>
            <w:vAlign w:val="center"/>
          </w:tcPr>
          <w:p w:rsidR="000208FA" w:rsidRPr="00732EDC" w:rsidRDefault="000208FA" w:rsidP="00ED5A02">
            <w:pPr>
              <w:jc w:val="center"/>
              <w:rPr>
                <w:rFonts w:ascii="Times New Roman" w:hAnsi="Times New Roman" w:cs="Times New Roman"/>
                <w:color w:val="000000"/>
                <w:sz w:val="16"/>
                <w:szCs w:val="16"/>
              </w:rPr>
            </w:pPr>
          </w:p>
        </w:tc>
        <w:tc>
          <w:tcPr>
            <w:tcW w:w="812"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451"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tcBorders>
              <w:top w:val="nil"/>
              <w:left w:val="single" w:sz="8"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r>
      <w:tr w:rsidR="000208FA" w:rsidRPr="00474E52" w:rsidTr="00ED5A02">
        <w:trPr>
          <w:trHeight w:val="300"/>
        </w:trPr>
        <w:tc>
          <w:tcPr>
            <w:tcW w:w="125" w:type="pct"/>
            <w:vMerge/>
            <w:tcBorders>
              <w:top w:val="nil"/>
              <w:left w:val="single" w:sz="8" w:space="0" w:color="auto"/>
              <w:right w:val="single" w:sz="8"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top w:val="single" w:sz="6" w:space="0" w:color="000000"/>
              <w:left w:val="single" w:sz="6" w:space="0" w:color="000000"/>
              <w:right w:val="single" w:sz="6" w:space="0" w:color="000000"/>
            </w:tcBorders>
            <w:vAlign w:val="center"/>
          </w:tcPr>
          <w:p w:rsidR="000208FA" w:rsidRPr="00732EDC" w:rsidRDefault="000208FA" w:rsidP="00ED5A02">
            <w:pPr>
              <w:jc w:val="center"/>
              <w:rPr>
                <w:rFonts w:ascii="Times New Roman" w:hAnsi="Times New Roman" w:cs="Times New Roman"/>
                <w:color w:val="000000"/>
                <w:sz w:val="16"/>
                <w:szCs w:val="16"/>
              </w:rPr>
            </w:pPr>
          </w:p>
        </w:tc>
        <w:tc>
          <w:tcPr>
            <w:tcW w:w="405" w:type="pct"/>
            <w:vMerge/>
            <w:tcBorders>
              <w:top w:val="single" w:sz="6" w:space="0" w:color="000000"/>
              <w:left w:val="single" w:sz="6" w:space="0" w:color="000000"/>
              <w:right w:val="single" w:sz="6" w:space="0" w:color="000000"/>
            </w:tcBorders>
            <w:vAlign w:val="center"/>
          </w:tcPr>
          <w:p w:rsidR="000208FA" w:rsidRPr="00732EDC" w:rsidRDefault="000208FA" w:rsidP="00ED5A02">
            <w:pPr>
              <w:jc w:val="center"/>
              <w:rPr>
                <w:rFonts w:ascii="Times New Roman" w:hAnsi="Times New Roman" w:cs="Times New Roman"/>
                <w:color w:val="000000"/>
                <w:sz w:val="16"/>
                <w:szCs w:val="16"/>
              </w:rPr>
            </w:pPr>
          </w:p>
        </w:tc>
        <w:tc>
          <w:tcPr>
            <w:tcW w:w="812"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В упаковке</w:t>
            </w:r>
          </w:p>
        </w:tc>
        <w:tc>
          <w:tcPr>
            <w:tcW w:w="451"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 20</w:t>
            </w:r>
          </w:p>
        </w:tc>
        <w:tc>
          <w:tcPr>
            <w:tcW w:w="270"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Штука</w:t>
            </w:r>
          </w:p>
        </w:tc>
        <w:tc>
          <w:tcPr>
            <w:tcW w:w="677"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226" w:type="pct"/>
            <w:vMerge/>
            <w:tcBorders>
              <w:top w:val="nil"/>
              <w:left w:val="single" w:sz="8"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r>
      <w:tr w:rsidR="000208FA" w:rsidRPr="00474E52" w:rsidTr="00ED5A02">
        <w:trPr>
          <w:trHeight w:val="300"/>
        </w:trPr>
        <w:tc>
          <w:tcPr>
            <w:tcW w:w="125" w:type="pct"/>
            <w:vMerge/>
            <w:tcBorders>
              <w:top w:val="nil"/>
              <w:left w:val="single" w:sz="8" w:space="0" w:color="auto"/>
              <w:right w:val="single" w:sz="8"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top w:val="single" w:sz="6" w:space="0" w:color="000000"/>
              <w:left w:val="single" w:sz="6" w:space="0" w:color="000000"/>
              <w:right w:val="single" w:sz="6" w:space="0" w:color="000000"/>
            </w:tcBorders>
            <w:vAlign w:val="center"/>
          </w:tcPr>
          <w:p w:rsidR="000208FA" w:rsidRPr="00732EDC" w:rsidRDefault="000208FA" w:rsidP="00ED5A02">
            <w:pPr>
              <w:jc w:val="center"/>
              <w:rPr>
                <w:rFonts w:ascii="Times New Roman" w:hAnsi="Times New Roman" w:cs="Times New Roman"/>
                <w:color w:val="000000"/>
                <w:sz w:val="16"/>
                <w:szCs w:val="16"/>
              </w:rPr>
            </w:pPr>
          </w:p>
        </w:tc>
        <w:tc>
          <w:tcPr>
            <w:tcW w:w="405" w:type="pct"/>
            <w:vMerge/>
            <w:tcBorders>
              <w:top w:val="single" w:sz="6" w:space="0" w:color="000000"/>
              <w:left w:val="single" w:sz="6" w:space="0" w:color="000000"/>
              <w:right w:val="single" w:sz="6" w:space="0" w:color="000000"/>
            </w:tcBorders>
            <w:vAlign w:val="center"/>
          </w:tcPr>
          <w:p w:rsidR="000208FA" w:rsidRPr="00732EDC" w:rsidRDefault="000208FA" w:rsidP="00ED5A02">
            <w:pPr>
              <w:jc w:val="center"/>
              <w:rPr>
                <w:rFonts w:ascii="Times New Roman" w:hAnsi="Times New Roman" w:cs="Times New Roman"/>
                <w:color w:val="000000"/>
                <w:sz w:val="16"/>
                <w:szCs w:val="16"/>
              </w:rPr>
            </w:pPr>
          </w:p>
        </w:tc>
        <w:tc>
          <w:tcPr>
            <w:tcW w:w="812"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Простыня должна быть полностью совместима с комплексом, роботизированным хирургическим эндоскопическим DaVinci®Xi, модель IS 4000, имеющимся у заказчика</w:t>
            </w:r>
          </w:p>
        </w:tc>
        <w:tc>
          <w:tcPr>
            <w:tcW w:w="451"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tcBorders>
              <w:top w:val="nil"/>
              <w:left w:val="single" w:sz="8"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r>
      <w:tr w:rsidR="000208FA" w:rsidRPr="00474E52" w:rsidTr="00ED5A02">
        <w:trPr>
          <w:trHeight w:val="300"/>
        </w:trPr>
        <w:tc>
          <w:tcPr>
            <w:tcW w:w="125" w:type="pct"/>
            <w:vMerge/>
            <w:tcBorders>
              <w:top w:val="nil"/>
              <w:left w:val="single" w:sz="8" w:space="0" w:color="auto"/>
              <w:right w:val="single" w:sz="8"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6"/>
                <w:szCs w:val="16"/>
                <w:lang w:eastAsia="ru-RU"/>
              </w:rPr>
            </w:pPr>
          </w:p>
        </w:tc>
        <w:tc>
          <w:tcPr>
            <w:tcW w:w="549" w:type="pct"/>
            <w:vMerge/>
            <w:tcBorders>
              <w:top w:val="single" w:sz="6" w:space="0" w:color="000000"/>
              <w:left w:val="single" w:sz="6" w:space="0" w:color="000000"/>
              <w:right w:val="single" w:sz="6" w:space="0" w:color="000000"/>
            </w:tcBorders>
            <w:vAlign w:val="center"/>
          </w:tcPr>
          <w:p w:rsidR="000208FA" w:rsidRPr="00732EDC" w:rsidRDefault="000208FA" w:rsidP="00ED5A02">
            <w:pPr>
              <w:jc w:val="center"/>
              <w:rPr>
                <w:rFonts w:ascii="Times New Roman" w:hAnsi="Times New Roman" w:cs="Times New Roman"/>
                <w:color w:val="000000"/>
                <w:sz w:val="16"/>
                <w:szCs w:val="16"/>
              </w:rPr>
            </w:pPr>
          </w:p>
        </w:tc>
        <w:tc>
          <w:tcPr>
            <w:tcW w:w="405" w:type="pct"/>
            <w:vMerge/>
            <w:tcBorders>
              <w:top w:val="single" w:sz="6" w:space="0" w:color="000000"/>
              <w:left w:val="single" w:sz="6" w:space="0" w:color="000000"/>
              <w:right w:val="single" w:sz="6" w:space="0" w:color="000000"/>
            </w:tcBorders>
            <w:vAlign w:val="center"/>
          </w:tcPr>
          <w:p w:rsidR="000208FA" w:rsidRPr="00732EDC" w:rsidRDefault="000208FA" w:rsidP="00ED5A02">
            <w:pPr>
              <w:jc w:val="center"/>
              <w:rPr>
                <w:rFonts w:ascii="Times New Roman" w:hAnsi="Times New Roman" w:cs="Times New Roman"/>
                <w:color w:val="000000"/>
                <w:sz w:val="16"/>
                <w:szCs w:val="16"/>
              </w:rPr>
            </w:pPr>
          </w:p>
        </w:tc>
        <w:tc>
          <w:tcPr>
            <w:tcW w:w="812"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Простыня должна быть стерильной для однократного применения</w:t>
            </w:r>
          </w:p>
        </w:tc>
        <w:tc>
          <w:tcPr>
            <w:tcW w:w="451"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соответствие</w:t>
            </w:r>
          </w:p>
        </w:tc>
        <w:tc>
          <w:tcPr>
            <w:tcW w:w="270"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rPr>
                <w:rFonts w:ascii="Times New Roman" w:eastAsia="Times New Roman" w:hAnsi="Times New Roman" w:cs="Times New Roman"/>
                <w:color w:val="000000"/>
                <w:sz w:val="16"/>
                <w:szCs w:val="16"/>
                <w:lang w:eastAsia="ru-RU"/>
              </w:rPr>
            </w:pPr>
          </w:p>
        </w:tc>
        <w:tc>
          <w:tcPr>
            <w:tcW w:w="677" w:type="pct"/>
            <w:tcBorders>
              <w:top w:val="nil"/>
              <w:left w:val="single" w:sz="6" w:space="0" w:color="000000"/>
              <w:bottom w:val="single" w:sz="6" w:space="0" w:color="000000"/>
              <w:right w:val="single" w:sz="6" w:space="0" w:color="000000"/>
            </w:tcBorders>
            <w:vAlign w:val="center"/>
          </w:tcPr>
          <w:p w:rsidR="000208FA" w:rsidRPr="00C313C8" w:rsidRDefault="000208FA" w:rsidP="00ED5A02">
            <w:pPr>
              <w:spacing w:after="0" w:line="240" w:lineRule="auto"/>
              <w:jc w:val="center"/>
              <w:rPr>
                <w:rFonts w:ascii="Times New Roman" w:eastAsia="Times New Roman" w:hAnsi="Times New Roman" w:cs="Times New Roman"/>
                <w:color w:val="000000"/>
                <w:sz w:val="16"/>
                <w:szCs w:val="16"/>
                <w:lang w:eastAsia="ru-RU"/>
              </w:rPr>
            </w:pPr>
            <w:r w:rsidRPr="00C313C8">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226" w:type="pct"/>
            <w:vMerge/>
            <w:tcBorders>
              <w:top w:val="nil"/>
              <w:left w:val="single" w:sz="8"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right w:val="single" w:sz="4" w:space="0" w:color="auto"/>
            </w:tcBorders>
            <w:vAlign w:val="center"/>
          </w:tcPr>
          <w:p w:rsidR="000208FA"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top w:val="single" w:sz="4" w:space="0" w:color="auto"/>
              <w:left w:val="single" w:sz="4" w:space="0" w:color="auto"/>
              <w:right w:val="single" w:sz="4" w:space="0" w:color="auto"/>
            </w:tcBorders>
          </w:tcPr>
          <w:p w:rsidR="000208FA" w:rsidRPr="00474E52" w:rsidRDefault="000208FA" w:rsidP="00ED5A02">
            <w:pPr>
              <w:spacing w:after="0" w:line="240" w:lineRule="auto"/>
              <w:jc w:val="center"/>
              <w:rPr>
                <w:rFonts w:ascii="Times New Roman" w:eastAsia="Times New Roman" w:hAnsi="Times New Roman" w:cs="Times New Roman"/>
                <w:color w:val="000000"/>
                <w:sz w:val="18"/>
                <w:szCs w:val="18"/>
                <w:lang w:eastAsia="ru-RU"/>
              </w:rPr>
            </w:pPr>
          </w:p>
        </w:tc>
      </w:tr>
    </w:tbl>
    <w:p w:rsidR="000208FA" w:rsidRDefault="000208FA" w:rsidP="000208FA">
      <w:pPr>
        <w:rPr>
          <w:rFonts w:ascii="Times New Roman" w:hAnsi="Times New Roman" w:cs="Times New Roman"/>
          <w:b/>
          <w:i/>
        </w:rPr>
      </w:pPr>
    </w:p>
    <w:p w:rsidR="000208FA" w:rsidRPr="00C84F8F" w:rsidRDefault="000208FA" w:rsidP="000208FA">
      <w:pPr>
        <w:rPr>
          <w:rFonts w:ascii="Times New Roman" w:hAnsi="Times New Roman" w:cs="Times New Roman"/>
          <w:b/>
          <w:i/>
        </w:rPr>
      </w:pPr>
      <w:r w:rsidRPr="00C84F8F">
        <w:rPr>
          <w:rFonts w:ascii="Times New Roman" w:hAnsi="Times New Roman" w:cs="Times New Roman"/>
          <w:b/>
          <w:i/>
        </w:rPr>
        <w:t xml:space="preserve">**В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 (письмо Минфина России от 24 января 2022 г. N 24-03-08/4090) </w:t>
      </w:r>
    </w:p>
    <w:p w:rsidR="000208FA" w:rsidRDefault="000208FA" w:rsidP="000208FA">
      <w:pPr>
        <w:rPr>
          <w:rFonts w:ascii="Times New Roman" w:hAnsi="Times New Roman" w:cs="Times New Roman"/>
          <w:b/>
          <w:i/>
        </w:rPr>
      </w:pPr>
    </w:p>
    <w:p w:rsidR="000208FA" w:rsidRDefault="000208FA" w:rsidP="000820E3">
      <w:pPr>
        <w:rPr>
          <w:rFonts w:ascii="Times New Roman" w:hAnsi="Times New Roman" w:cs="Times New Roman"/>
          <w:b/>
          <w:sz w:val="28"/>
          <w:szCs w:val="28"/>
        </w:rPr>
        <w:sectPr w:rsidR="000208FA" w:rsidSect="000208FA">
          <w:headerReference w:type="first" r:id="rId18"/>
          <w:footerReference w:type="first" r:id="rId19"/>
          <w:pgSz w:w="16838" w:h="11906" w:orient="landscape"/>
          <w:pgMar w:top="1701" w:right="539" w:bottom="851" w:left="567" w:header="567" w:footer="567" w:gutter="0"/>
          <w:cols w:space="708"/>
          <w:titlePg/>
          <w:docGrid w:linePitch="360"/>
        </w:sectPr>
      </w:pP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AD" w:rsidRDefault="00900CAD">
      <w:pPr>
        <w:spacing w:after="0" w:line="240" w:lineRule="auto"/>
      </w:pPr>
      <w:r>
        <w:separator/>
      </w:r>
    </w:p>
  </w:endnote>
  <w:endnote w:type="continuationSeparator" w:id="0">
    <w:p w:rsidR="00900CAD" w:rsidRDefault="0090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2029D" w:rsidRDefault="0072029D">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2029D">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2029D">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2029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2029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208FA">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2029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208F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AD" w:rsidRDefault="00900CAD">
      <w:pPr>
        <w:spacing w:after="0" w:line="240" w:lineRule="auto"/>
      </w:pPr>
      <w:r>
        <w:separator/>
      </w:r>
    </w:p>
  </w:footnote>
  <w:footnote w:type="continuationSeparator" w:id="0">
    <w:p w:rsidR="00900CAD" w:rsidRDefault="00900CAD">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2029D" w:rsidRDefault="0072029D">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2029D" w:rsidRDefault="0072029D">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2029D" w:rsidRDefault="0072029D">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08FA"/>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2029D"/>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00CAD"/>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DEC6-5BC4-4C5F-929C-000BB395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2024-06-26T10:19:00Z</dcterms:created>
  <dcterms:modified xsi:type="dcterms:W3CDTF">2024-06-26T10:19:00Z</dcterms:modified>
</cp:coreProperties>
</file>