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27.04.2024 № 05-07/752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D6434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31.10.2024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письменной заявки от Покупателя. Последняя дата подачи заявки на поставку 23.10.2024. Максимальное количество партий - 10 (десять).</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 преимущество инвалидам</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lastRenderedPageBreak/>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01"/>
        <w:gridCol w:w="5771"/>
        <w:gridCol w:w="743"/>
        <w:gridCol w:w="919"/>
        <w:gridCol w:w="1403"/>
        <w:gridCol w:w="1238"/>
        <w:gridCol w:w="743"/>
        <w:gridCol w:w="1186"/>
        <w:gridCol w:w="1141"/>
      </w:tblGrid>
      <w:tr w:rsidR="005B5992" w:rsidRPr="005B5992" w:rsidTr="004B5AE3">
        <w:trPr>
          <w:trHeight w:val="20"/>
          <w:jc w:val="center"/>
        </w:trPr>
        <w:tc>
          <w:tcPr>
            <w:tcW w:w="704" w:type="dxa"/>
            <w:vAlign w:val="center"/>
            <w:hideMark/>
          </w:tcPr>
          <w:p w:rsidR="005B5992" w:rsidRPr="005B5992" w:rsidRDefault="005B5992" w:rsidP="005B5992">
            <w:pPr>
              <w:spacing w:after="0" w:line="240" w:lineRule="auto"/>
              <w:jc w:val="center"/>
              <w:rPr>
                <w:rFonts w:ascii="Times New Roman" w:hAnsi="Times New Roman" w:cs="Times New Roman"/>
                <w:lang w:eastAsia="ru-RU"/>
              </w:rPr>
            </w:pPr>
            <w:bookmarkStart w:id="21" w:name="_Ref518475891"/>
            <w:r w:rsidRPr="005B5992">
              <w:rPr>
                <w:rFonts w:ascii="Times New Roman" w:hAnsi="Times New Roman" w:cs="Times New Roman"/>
                <w:lang w:eastAsia="ru-RU"/>
              </w:rPr>
              <w:t>№ п/п</w:t>
            </w:r>
          </w:p>
        </w:tc>
        <w:tc>
          <w:tcPr>
            <w:tcW w:w="2101" w:type="dxa"/>
            <w:vAlign w:val="center"/>
            <w:hideMark/>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lang w:eastAsia="ru-RU"/>
              </w:rPr>
              <w:t xml:space="preserve">Наименование товара </w:t>
            </w:r>
          </w:p>
        </w:tc>
        <w:tc>
          <w:tcPr>
            <w:tcW w:w="5771" w:type="dxa"/>
            <w:vAlign w:val="center"/>
            <w:hideMark/>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lang w:eastAsia="ru-RU"/>
              </w:rPr>
              <w:t>Требования к качеству, техническим и функциональным характеристикам товара</w:t>
            </w:r>
          </w:p>
        </w:tc>
        <w:tc>
          <w:tcPr>
            <w:tcW w:w="743" w:type="dxa"/>
            <w:vAlign w:val="center"/>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lang w:eastAsia="ru-RU"/>
              </w:rPr>
              <w:t>Кол-во</w:t>
            </w:r>
          </w:p>
        </w:tc>
        <w:tc>
          <w:tcPr>
            <w:tcW w:w="919" w:type="dxa"/>
            <w:vAlign w:val="center"/>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lang w:eastAsia="ru-RU"/>
              </w:rPr>
              <w:t>Ед. изм.</w:t>
            </w:r>
          </w:p>
        </w:tc>
        <w:tc>
          <w:tcPr>
            <w:tcW w:w="1403" w:type="dxa"/>
            <w:vAlign w:val="center"/>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lang w:eastAsia="ru-RU"/>
              </w:rPr>
              <w:t>ОКПД2/ КТРУ</w:t>
            </w:r>
          </w:p>
        </w:tc>
        <w:tc>
          <w:tcPr>
            <w:tcW w:w="1238" w:type="dxa"/>
            <w:shd w:val="clear" w:color="auto" w:fill="FFFFCC"/>
            <w:vAlign w:val="center"/>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lang w:eastAsia="ru-RU"/>
              </w:rPr>
              <w:t>Страна происхождения</w:t>
            </w:r>
          </w:p>
        </w:tc>
        <w:tc>
          <w:tcPr>
            <w:tcW w:w="743" w:type="dxa"/>
            <w:shd w:val="clear" w:color="auto" w:fill="FFFFCC"/>
            <w:vAlign w:val="center"/>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lang w:eastAsia="ru-RU"/>
              </w:rPr>
              <w:t>НДС %</w:t>
            </w:r>
          </w:p>
        </w:tc>
        <w:tc>
          <w:tcPr>
            <w:tcW w:w="1186" w:type="dxa"/>
            <w:shd w:val="clear" w:color="auto" w:fill="FFFFCC"/>
            <w:vAlign w:val="center"/>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lang w:eastAsia="ru-RU"/>
              </w:rPr>
              <w:t>Цена за ед. без НДС (руб.)</w:t>
            </w:r>
          </w:p>
        </w:tc>
        <w:tc>
          <w:tcPr>
            <w:tcW w:w="1141" w:type="dxa"/>
            <w:shd w:val="clear" w:color="auto" w:fill="FFFFCC"/>
            <w:vAlign w:val="center"/>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lang w:eastAsia="ru-RU"/>
              </w:rPr>
              <w:t>Сумма без НДС (руб.)</w:t>
            </w:r>
          </w:p>
        </w:tc>
      </w:tr>
      <w:tr w:rsidR="005B5992" w:rsidRPr="005B5992" w:rsidTr="004B5AE3">
        <w:trPr>
          <w:trHeight w:val="20"/>
          <w:jc w:val="center"/>
        </w:trPr>
        <w:tc>
          <w:tcPr>
            <w:tcW w:w="704" w:type="dxa"/>
          </w:tcPr>
          <w:p w:rsidR="005B5992" w:rsidRPr="005B5992" w:rsidRDefault="005B5992" w:rsidP="005B5992">
            <w:pPr>
              <w:numPr>
                <w:ilvl w:val="0"/>
                <w:numId w:val="20"/>
              </w:numPr>
              <w:spacing w:after="0" w:line="240" w:lineRule="auto"/>
              <w:ind w:left="139" w:hanging="283"/>
              <w:contextualSpacing/>
              <w:jc w:val="center"/>
              <w:rPr>
                <w:rFonts w:ascii="Times New Roman" w:hAnsi="Times New Roman" w:cs="Times New Roman"/>
                <w:lang w:eastAsia="ru-RU"/>
              </w:rPr>
            </w:pPr>
          </w:p>
        </w:tc>
        <w:tc>
          <w:tcPr>
            <w:tcW w:w="2101" w:type="dxa"/>
          </w:tcPr>
          <w:p w:rsidR="005B5992" w:rsidRPr="005B5992" w:rsidRDefault="005B5992" w:rsidP="005B5992">
            <w:pPr>
              <w:spacing w:after="0" w:line="240" w:lineRule="auto"/>
              <w:rPr>
                <w:rFonts w:ascii="Times New Roman" w:eastAsia="Times New Roman" w:hAnsi="Times New Roman" w:cs="Times New Roman"/>
                <w:lang w:eastAsia="ru-RU"/>
              </w:rPr>
            </w:pPr>
            <w:r w:rsidRPr="005B5992">
              <w:rPr>
                <w:rFonts w:ascii="Times New Roman" w:eastAsia="Times New Roman" w:hAnsi="Times New Roman" w:cs="Times New Roman"/>
                <w:lang w:eastAsia="ru-RU"/>
              </w:rPr>
              <w:t xml:space="preserve">Коннектор для </w:t>
            </w:r>
            <w:proofErr w:type="spellStart"/>
            <w:r w:rsidRPr="005B5992">
              <w:rPr>
                <w:rFonts w:ascii="Times New Roman" w:eastAsia="Times New Roman" w:hAnsi="Times New Roman" w:cs="Times New Roman"/>
                <w:lang w:eastAsia="ru-RU"/>
              </w:rPr>
              <w:t>безыгольного</w:t>
            </w:r>
            <w:proofErr w:type="spellEnd"/>
            <w:r w:rsidRPr="005B5992">
              <w:rPr>
                <w:rFonts w:ascii="Times New Roman" w:eastAsia="Times New Roman" w:hAnsi="Times New Roman" w:cs="Times New Roman"/>
                <w:lang w:eastAsia="ru-RU"/>
              </w:rPr>
              <w:t xml:space="preserve"> соединения с прямоточным клапаном </w:t>
            </w:r>
          </w:p>
          <w:p w:rsidR="005B5992" w:rsidRPr="005B5992" w:rsidRDefault="005B5992" w:rsidP="005B5992">
            <w:pPr>
              <w:spacing w:after="0"/>
              <w:rPr>
                <w:rFonts w:ascii="Times New Roman" w:hAnsi="Times New Roman" w:cs="Times New Roman"/>
              </w:rPr>
            </w:pPr>
          </w:p>
        </w:tc>
        <w:tc>
          <w:tcPr>
            <w:tcW w:w="5771" w:type="dxa"/>
          </w:tcPr>
          <w:p w:rsidR="005B5992" w:rsidRPr="005B5992" w:rsidRDefault="005B5992" w:rsidP="005B5992">
            <w:pPr>
              <w:spacing w:after="0"/>
              <w:rPr>
                <w:rFonts w:ascii="Times New Roman" w:hAnsi="Times New Roman" w:cs="Times New Roman"/>
              </w:rPr>
            </w:pPr>
            <w:r w:rsidRPr="005B5992">
              <w:rPr>
                <w:rFonts w:ascii="Times New Roman" w:hAnsi="Times New Roman" w:cs="Times New Roman"/>
              </w:rPr>
              <w:t xml:space="preserve">1. </w:t>
            </w:r>
            <w:proofErr w:type="spellStart"/>
            <w:r w:rsidRPr="005B5992">
              <w:rPr>
                <w:rFonts w:ascii="Times New Roman" w:hAnsi="Times New Roman" w:cs="Times New Roman"/>
              </w:rPr>
              <w:t>Безыгольный</w:t>
            </w:r>
            <w:proofErr w:type="spellEnd"/>
            <w:r w:rsidRPr="005B5992">
              <w:rPr>
                <w:rFonts w:ascii="Times New Roman" w:hAnsi="Times New Roman" w:cs="Times New Roman"/>
              </w:rPr>
              <w:t xml:space="preserve"> коннектор должен иметь плоскую дезинфицируемую расщепленную мембрану. Плоская мембраны позволяет качественно обрабатывать рабочую поверхность перед и после каждого подключения. Расщепленная мембрана выполняет функцию автоматического клапана исключает риск кровопотери и воздушной эмболии через разъем устройства сосудистого доступа.</w:t>
            </w:r>
          </w:p>
          <w:p w:rsidR="005B5992" w:rsidRPr="005B5992" w:rsidRDefault="005B5992" w:rsidP="005B5992">
            <w:pPr>
              <w:spacing w:after="0"/>
              <w:rPr>
                <w:rFonts w:ascii="Times New Roman" w:hAnsi="Times New Roman" w:cs="Times New Roman"/>
              </w:rPr>
            </w:pPr>
            <w:r w:rsidRPr="005B5992">
              <w:rPr>
                <w:rFonts w:ascii="Times New Roman" w:hAnsi="Times New Roman" w:cs="Times New Roman"/>
              </w:rPr>
              <w:t xml:space="preserve">2. </w:t>
            </w:r>
            <w:proofErr w:type="spellStart"/>
            <w:r w:rsidRPr="005B5992">
              <w:rPr>
                <w:rFonts w:ascii="Times New Roman" w:hAnsi="Times New Roman" w:cs="Times New Roman"/>
              </w:rPr>
              <w:t>Безыгольный</w:t>
            </w:r>
            <w:proofErr w:type="spellEnd"/>
            <w:r w:rsidRPr="005B5992">
              <w:rPr>
                <w:rFonts w:ascii="Times New Roman" w:hAnsi="Times New Roman" w:cs="Times New Roman"/>
              </w:rPr>
              <w:t xml:space="preserve"> коннектор должен быть совместим с любыми </w:t>
            </w:r>
            <w:proofErr w:type="spellStart"/>
            <w:r w:rsidRPr="005B5992">
              <w:rPr>
                <w:rFonts w:ascii="Times New Roman" w:hAnsi="Times New Roman" w:cs="Times New Roman"/>
              </w:rPr>
              <w:t>инфузионными</w:t>
            </w:r>
            <w:proofErr w:type="spellEnd"/>
            <w:r w:rsidRPr="005B5992">
              <w:rPr>
                <w:rFonts w:ascii="Times New Roman" w:hAnsi="Times New Roman" w:cs="Times New Roman"/>
              </w:rPr>
              <w:t xml:space="preserve"> устройствами с разъемами </w:t>
            </w:r>
            <w:proofErr w:type="spellStart"/>
            <w:r w:rsidRPr="005B5992">
              <w:rPr>
                <w:rFonts w:ascii="Times New Roman" w:hAnsi="Times New Roman" w:cs="Times New Roman"/>
              </w:rPr>
              <w:t>Луер-лок</w:t>
            </w:r>
            <w:proofErr w:type="spellEnd"/>
            <w:r w:rsidRPr="005B5992">
              <w:rPr>
                <w:rFonts w:ascii="Times New Roman" w:hAnsi="Times New Roman" w:cs="Times New Roman"/>
              </w:rPr>
              <w:t xml:space="preserve"> и </w:t>
            </w:r>
            <w:proofErr w:type="spellStart"/>
            <w:r w:rsidRPr="005B5992">
              <w:rPr>
                <w:rFonts w:ascii="Times New Roman" w:hAnsi="Times New Roman" w:cs="Times New Roman"/>
              </w:rPr>
              <w:t>Луер</w:t>
            </w:r>
            <w:proofErr w:type="spellEnd"/>
            <w:r w:rsidRPr="005B5992">
              <w:rPr>
                <w:rFonts w:ascii="Times New Roman" w:hAnsi="Times New Roman" w:cs="Times New Roman"/>
              </w:rPr>
              <w:t xml:space="preserve">-слип. </w:t>
            </w:r>
          </w:p>
          <w:p w:rsidR="005B5992" w:rsidRPr="005B5992" w:rsidRDefault="005B5992" w:rsidP="005B5992">
            <w:pPr>
              <w:spacing w:after="0"/>
              <w:rPr>
                <w:rFonts w:ascii="Times New Roman" w:hAnsi="Times New Roman" w:cs="Times New Roman"/>
              </w:rPr>
            </w:pPr>
            <w:r w:rsidRPr="005B5992">
              <w:rPr>
                <w:rFonts w:ascii="Times New Roman" w:hAnsi="Times New Roman" w:cs="Times New Roman"/>
              </w:rPr>
              <w:t xml:space="preserve">3. Все компоненты </w:t>
            </w:r>
            <w:proofErr w:type="spellStart"/>
            <w:r w:rsidRPr="005B5992">
              <w:rPr>
                <w:rFonts w:ascii="Times New Roman" w:hAnsi="Times New Roman" w:cs="Times New Roman"/>
              </w:rPr>
              <w:t>безыгольного</w:t>
            </w:r>
            <w:proofErr w:type="spellEnd"/>
            <w:r w:rsidRPr="005B5992">
              <w:rPr>
                <w:rFonts w:ascii="Times New Roman" w:hAnsi="Times New Roman" w:cs="Times New Roman"/>
              </w:rPr>
              <w:t xml:space="preserve"> коннектора должны быть устойчивы к липидным эмульсиям и к большинству цитотоксических лекарств и антисептиков. Позволяет использовать в любых клинических ситуациях, с различными схемами лечения.</w:t>
            </w:r>
          </w:p>
          <w:p w:rsidR="005B5992" w:rsidRPr="005B5992" w:rsidRDefault="005B5992" w:rsidP="005B5992">
            <w:pPr>
              <w:spacing w:after="0"/>
              <w:rPr>
                <w:rFonts w:ascii="Times New Roman" w:hAnsi="Times New Roman" w:cs="Times New Roman"/>
              </w:rPr>
            </w:pPr>
            <w:r w:rsidRPr="005B5992">
              <w:rPr>
                <w:rFonts w:ascii="Times New Roman" w:hAnsi="Times New Roman" w:cs="Times New Roman"/>
              </w:rPr>
              <w:t xml:space="preserve">4. Ресурс изделия должен быть не менее 6 суток эксплуатации или 300 подключений. Позволяет сократить частоту смены </w:t>
            </w:r>
            <w:proofErr w:type="spellStart"/>
            <w:r w:rsidRPr="005B5992">
              <w:rPr>
                <w:rFonts w:ascii="Times New Roman" w:hAnsi="Times New Roman" w:cs="Times New Roman"/>
              </w:rPr>
              <w:t>безыгольного</w:t>
            </w:r>
            <w:proofErr w:type="spellEnd"/>
            <w:r w:rsidRPr="005B5992">
              <w:rPr>
                <w:rFonts w:ascii="Times New Roman" w:hAnsi="Times New Roman" w:cs="Times New Roman"/>
              </w:rPr>
              <w:t xml:space="preserve"> коннектора, что освобождает рабочее время среднего медперсонала и снижает риск контаминации разъема основного устройства сосудистого доступа. </w:t>
            </w:r>
          </w:p>
          <w:p w:rsidR="005B5992" w:rsidRPr="005B5992" w:rsidRDefault="005B5992" w:rsidP="005B5992">
            <w:pPr>
              <w:spacing w:after="0"/>
              <w:rPr>
                <w:rFonts w:ascii="Times New Roman" w:hAnsi="Times New Roman" w:cs="Times New Roman"/>
              </w:rPr>
            </w:pPr>
            <w:r w:rsidRPr="005B5992">
              <w:rPr>
                <w:rFonts w:ascii="Times New Roman" w:hAnsi="Times New Roman" w:cs="Times New Roman"/>
              </w:rPr>
              <w:t>5. Внутреннее строение обеспечивает прямой ток жидкости. Позволяет эффективно промывать устройство перед и после подключения.</w:t>
            </w:r>
          </w:p>
          <w:p w:rsidR="005B5992" w:rsidRPr="005B5992" w:rsidRDefault="005B5992" w:rsidP="005B5992">
            <w:pPr>
              <w:spacing w:after="0"/>
              <w:rPr>
                <w:rFonts w:ascii="Times New Roman" w:hAnsi="Times New Roman" w:cs="Times New Roman"/>
              </w:rPr>
            </w:pPr>
            <w:r w:rsidRPr="005B5992">
              <w:rPr>
                <w:rFonts w:ascii="Times New Roman" w:hAnsi="Times New Roman" w:cs="Times New Roman"/>
              </w:rPr>
              <w:t xml:space="preserve">6. </w:t>
            </w:r>
            <w:proofErr w:type="spellStart"/>
            <w:r w:rsidRPr="005B5992">
              <w:rPr>
                <w:rFonts w:ascii="Times New Roman" w:hAnsi="Times New Roman" w:cs="Times New Roman"/>
              </w:rPr>
              <w:t>Безыгольный</w:t>
            </w:r>
            <w:proofErr w:type="spellEnd"/>
            <w:r w:rsidRPr="005B5992">
              <w:rPr>
                <w:rFonts w:ascii="Times New Roman" w:hAnsi="Times New Roman" w:cs="Times New Roman"/>
              </w:rPr>
              <w:t xml:space="preserve"> коннектор должен быть с нейтральным </w:t>
            </w:r>
            <w:r w:rsidRPr="005B5992">
              <w:rPr>
                <w:rFonts w:ascii="Times New Roman" w:hAnsi="Times New Roman" w:cs="Times New Roman"/>
              </w:rPr>
              <w:lastRenderedPageBreak/>
              <w:t xml:space="preserve">смещением жидкости при отключении </w:t>
            </w:r>
            <w:proofErr w:type="spellStart"/>
            <w:r w:rsidRPr="005B5992">
              <w:rPr>
                <w:rFonts w:ascii="Times New Roman" w:hAnsi="Times New Roman" w:cs="Times New Roman"/>
              </w:rPr>
              <w:t>инфузионных</w:t>
            </w:r>
            <w:proofErr w:type="spellEnd"/>
            <w:r w:rsidRPr="005B5992">
              <w:rPr>
                <w:rFonts w:ascii="Times New Roman" w:hAnsi="Times New Roman" w:cs="Times New Roman"/>
              </w:rPr>
              <w:t xml:space="preserve"> устройств. Предотвращает рефлюкс крови на дистальном конце катетера, что предотвращает риск развития тромботической окклюзии и продлевает срок службы основного устройства сосудистого доступа (порт-системы, PICC-линии, ЦВК и пр.) </w:t>
            </w:r>
          </w:p>
          <w:p w:rsidR="005B5992" w:rsidRPr="005B5992" w:rsidRDefault="005B5992" w:rsidP="005B5992">
            <w:pPr>
              <w:spacing w:after="0"/>
              <w:rPr>
                <w:rFonts w:ascii="Times New Roman" w:hAnsi="Times New Roman" w:cs="Times New Roman"/>
              </w:rPr>
            </w:pPr>
            <w:r w:rsidRPr="005B5992">
              <w:rPr>
                <w:rFonts w:ascii="Times New Roman" w:hAnsi="Times New Roman" w:cs="Times New Roman"/>
              </w:rPr>
              <w:t>7. Объем заполнения должен быть не более 0,05 мл. Для минимизации мертвого пространства с целью предотвращения потери дорогостоящих лекарственных препаратов.</w:t>
            </w:r>
          </w:p>
          <w:p w:rsidR="005B5992" w:rsidRPr="005B5992" w:rsidRDefault="005B5992" w:rsidP="005B5992">
            <w:pPr>
              <w:spacing w:after="0"/>
              <w:rPr>
                <w:rFonts w:ascii="Times New Roman" w:hAnsi="Times New Roman" w:cs="Times New Roman"/>
              </w:rPr>
            </w:pPr>
            <w:r w:rsidRPr="005B5992">
              <w:rPr>
                <w:rFonts w:ascii="Times New Roman" w:hAnsi="Times New Roman" w:cs="Times New Roman"/>
              </w:rPr>
              <w:t>8. Совместимость с МРТ исследованиями. Для обеспечения безопасности выполнения диагностических процедур с применением магнитного поля.</w:t>
            </w:r>
          </w:p>
          <w:p w:rsidR="005B5992" w:rsidRPr="005B5992" w:rsidRDefault="005B5992" w:rsidP="005B5992">
            <w:pPr>
              <w:spacing w:after="0"/>
              <w:rPr>
                <w:rFonts w:ascii="Times New Roman" w:hAnsi="Times New Roman" w:cs="Times New Roman"/>
              </w:rPr>
            </w:pPr>
            <w:r w:rsidRPr="005B5992">
              <w:rPr>
                <w:rFonts w:ascii="Times New Roman" w:hAnsi="Times New Roman" w:cs="Times New Roman"/>
              </w:rPr>
              <w:t xml:space="preserve">9. Совместимость с введением контрастного вещества под давлением. Не требуется удаление или смена </w:t>
            </w:r>
            <w:proofErr w:type="spellStart"/>
            <w:r w:rsidRPr="005B5992">
              <w:rPr>
                <w:rFonts w:ascii="Times New Roman" w:hAnsi="Times New Roman" w:cs="Times New Roman"/>
              </w:rPr>
              <w:t>безыгольного</w:t>
            </w:r>
            <w:proofErr w:type="spellEnd"/>
            <w:r w:rsidRPr="005B5992">
              <w:rPr>
                <w:rFonts w:ascii="Times New Roman" w:hAnsi="Times New Roman" w:cs="Times New Roman"/>
              </w:rPr>
              <w:t xml:space="preserve"> коннектора при необходимости выполнения КТ с контрастированием.</w:t>
            </w:r>
          </w:p>
          <w:p w:rsidR="005B5992" w:rsidRPr="005B5992" w:rsidRDefault="005B5992" w:rsidP="005B5992">
            <w:pPr>
              <w:spacing w:after="0"/>
              <w:rPr>
                <w:rFonts w:ascii="Times New Roman" w:hAnsi="Times New Roman" w:cs="Times New Roman"/>
              </w:rPr>
            </w:pPr>
            <w:r w:rsidRPr="005B5992">
              <w:rPr>
                <w:rFonts w:ascii="Times New Roman" w:hAnsi="Times New Roman" w:cs="Times New Roman"/>
              </w:rPr>
              <w:t xml:space="preserve">10. Гравитационная скорость потока должна составлять не менее 100 мл/мин. Скорость введения под давлением не менее 600 мл/мин. </w:t>
            </w:r>
            <w:proofErr w:type="spellStart"/>
            <w:r w:rsidRPr="005B5992">
              <w:rPr>
                <w:rFonts w:ascii="Times New Roman" w:hAnsi="Times New Roman" w:cs="Times New Roman"/>
              </w:rPr>
              <w:t>Безыгольный</w:t>
            </w:r>
            <w:proofErr w:type="spellEnd"/>
            <w:r w:rsidRPr="005B5992">
              <w:rPr>
                <w:rFonts w:ascii="Times New Roman" w:hAnsi="Times New Roman" w:cs="Times New Roman"/>
              </w:rPr>
              <w:t xml:space="preserve"> коннектор не должен ограничивать пропускную способность любого устройства сосудистого доступа при любых лечебных и диагностических мероприятиях (противошоковая </w:t>
            </w:r>
            <w:proofErr w:type="spellStart"/>
            <w:r w:rsidRPr="005B5992">
              <w:rPr>
                <w:rFonts w:ascii="Times New Roman" w:hAnsi="Times New Roman" w:cs="Times New Roman"/>
              </w:rPr>
              <w:t>инфузионная</w:t>
            </w:r>
            <w:proofErr w:type="spellEnd"/>
            <w:r w:rsidRPr="005B5992">
              <w:rPr>
                <w:rFonts w:ascii="Times New Roman" w:hAnsi="Times New Roman" w:cs="Times New Roman"/>
              </w:rPr>
              <w:t xml:space="preserve"> терапия, введение контрастного вещества под давлением и пр.)</w:t>
            </w:r>
          </w:p>
        </w:tc>
        <w:tc>
          <w:tcPr>
            <w:tcW w:w="743" w:type="dxa"/>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lang w:eastAsia="ru-RU"/>
              </w:rPr>
              <w:lastRenderedPageBreak/>
              <w:t>2000</w:t>
            </w:r>
          </w:p>
        </w:tc>
        <w:tc>
          <w:tcPr>
            <w:tcW w:w="919" w:type="dxa"/>
          </w:tcPr>
          <w:p w:rsidR="005B5992" w:rsidRPr="005B5992" w:rsidRDefault="005B5992" w:rsidP="005B5992">
            <w:pPr>
              <w:spacing w:after="0" w:line="240" w:lineRule="auto"/>
              <w:jc w:val="center"/>
              <w:rPr>
                <w:rFonts w:ascii="Times New Roman" w:hAnsi="Times New Roman" w:cs="Times New Roman"/>
                <w:lang w:eastAsia="ru-RU"/>
              </w:rPr>
            </w:pPr>
            <w:proofErr w:type="spellStart"/>
            <w:r w:rsidRPr="005B5992">
              <w:rPr>
                <w:rFonts w:ascii="Times New Roman" w:hAnsi="Times New Roman" w:cs="Times New Roman"/>
                <w:lang w:eastAsia="ru-RU"/>
              </w:rPr>
              <w:t>шт</w:t>
            </w:r>
            <w:proofErr w:type="spellEnd"/>
          </w:p>
        </w:tc>
        <w:tc>
          <w:tcPr>
            <w:tcW w:w="1403" w:type="dxa"/>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rPr>
              <w:t>32.50.50.190-00001134**</w:t>
            </w:r>
          </w:p>
        </w:tc>
        <w:tc>
          <w:tcPr>
            <w:tcW w:w="1238" w:type="dxa"/>
            <w:shd w:val="clear" w:color="auto" w:fill="FFFFCC"/>
          </w:tcPr>
          <w:p w:rsidR="005B5992" w:rsidRPr="005B5992" w:rsidRDefault="005B5992" w:rsidP="005B5992">
            <w:pPr>
              <w:spacing w:after="0" w:line="240" w:lineRule="auto"/>
              <w:jc w:val="center"/>
              <w:rPr>
                <w:rFonts w:ascii="Times New Roman" w:hAnsi="Times New Roman" w:cs="Times New Roman"/>
                <w:lang w:eastAsia="ru-RU"/>
              </w:rPr>
            </w:pPr>
          </w:p>
        </w:tc>
        <w:tc>
          <w:tcPr>
            <w:tcW w:w="743" w:type="dxa"/>
            <w:shd w:val="clear" w:color="auto" w:fill="FFFFCC"/>
          </w:tcPr>
          <w:p w:rsidR="005B5992" w:rsidRPr="005B5992" w:rsidRDefault="005B5992" w:rsidP="005B5992">
            <w:pPr>
              <w:spacing w:after="0" w:line="240" w:lineRule="auto"/>
              <w:jc w:val="center"/>
              <w:rPr>
                <w:rFonts w:ascii="Times New Roman" w:hAnsi="Times New Roman" w:cs="Times New Roman"/>
                <w:lang w:eastAsia="ru-RU"/>
              </w:rPr>
            </w:pPr>
          </w:p>
        </w:tc>
        <w:tc>
          <w:tcPr>
            <w:tcW w:w="1186" w:type="dxa"/>
            <w:shd w:val="clear" w:color="auto" w:fill="FFFFCC"/>
          </w:tcPr>
          <w:p w:rsidR="005B5992" w:rsidRPr="005B5992" w:rsidRDefault="005B5992" w:rsidP="005B5992">
            <w:pPr>
              <w:spacing w:after="0" w:line="240" w:lineRule="auto"/>
              <w:jc w:val="center"/>
              <w:rPr>
                <w:rFonts w:ascii="Times New Roman" w:hAnsi="Times New Roman" w:cs="Times New Roman"/>
                <w:lang w:eastAsia="ru-RU"/>
              </w:rPr>
            </w:pPr>
          </w:p>
        </w:tc>
        <w:tc>
          <w:tcPr>
            <w:tcW w:w="1141" w:type="dxa"/>
            <w:shd w:val="clear" w:color="auto" w:fill="FFFFCC"/>
          </w:tcPr>
          <w:p w:rsidR="005B5992" w:rsidRPr="005B5992" w:rsidRDefault="005B5992" w:rsidP="005B5992">
            <w:pPr>
              <w:spacing w:after="0" w:line="240" w:lineRule="auto"/>
              <w:jc w:val="center"/>
              <w:rPr>
                <w:rFonts w:ascii="Times New Roman" w:hAnsi="Times New Roman" w:cs="Times New Roman"/>
                <w:lang w:eastAsia="ru-RU"/>
              </w:rPr>
            </w:pPr>
          </w:p>
        </w:tc>
      </w:tr>
      <w:tr w:rsidR="005B5992" w:rsidRPr="005B5992" w:rsidTr="004B5AE3">
        <w:trPr>
          <w:trHeight w:val="20"/>
          <w:jc w:val="center"/>
        </w:trPr>
        <w:tc>
          <w:tcPr>
            <w:tcW w:w="704" w:type="dxa"/>
          </w:tcPr>
          <w:p w:rsidR="005B5992" w:rsidRPr="005B5992" w:rsidRDefault="005B5992" w:rsidP="005B5992">
            <w:pPr>
              <w:numPr>
                <w:ilvl w:val="0"/>
                <w:numId w:val="20"/>
              </w:numPr>
              <w:spacing w:after="0" w:line="240" w:lineRule="auto"/>
              <w:ind w:left="139" w:hanging="283"/>
              <w:contextualSpacing/>
              <w:jc w:val="center"/>
              <w:rPr>
                <w:rFonts w:ascii="Times New Roman" w:hAnsi="Times New Roman" w:cs="Times New Roman"/>
                <w:lang w:eastAsia="ru-RU"/>
              </w:rPr>
            </w:pPr>
          </w:p>
        </w:tc>
        <w:tc>
          <w:tcPr>
            <w:tcW w:w="2101" w:type="dxa"/>
          </w:tcPr>
          <w:p w:rsidR="005B5992" w:rsidRPr="005B5992" w:rsidRDefault="005B5992" w:rsidP="005B5992">
            <w:pPr>
              <w:spacing w:after="0"/>
              <w:rPr>
                <w:rFonts w:ascii="Times New Roman" w:hAnsi="Times New Roman" w:cs="Times New Roman"/>
              </w:rPr>
            </w:pPr>
            <w:r w:rsidRPr="005B5992">
              <w:rPr>
                <w:rFonts w:ascii="Times New Roman" w:hAnsi="Times New Roman" w:cs="Times New Roman"/>
              </w:rPr>
              <w:t xml:space="preserve">Коннектор для </w:t>
            </w:r>
            <w:proofErr w:type="spellStart"/>
            <w:r w:rsidRPr="005B5992">
              <w:rPr>
                <w:rFonts w:ascii="Times New Roman" w:hAnsi="Times New Roman" w:cs="Times New Roman"/>
              </w:rPr>
              <w:t>безыгольного</w:t>
            </w:r>
            <w:proofErr w:type="spellEnd"/>
            <w:r w:rsidRPr="005B5992">
              <w:rPr>
                <w:rFonts w:ascii="Times New Roman" w:hAnsi="Times New Roman" w:cs="Times New Roman"/>
              </w:rPr>
              <w:t xml:space="preserve"> соединения с прямоточным клапаном</w:t>
            </w:r>
          </w:p>
        </w:tc>
        <w:tc>
          <w:tcPr>
            <w:tcW w:w="5771" w:type="dxa"/>
          </w:tcPr>
          <w:p w:rsidR="005B5992" w:rsidRPr="005B5992" w:rsidRDefault="005B5992" w:rsidP="005B5992">
            <w:pPr>
              <w:rPr>
                <w:rFonts w:ascii="Times New Roman" w:hAnsi="Times New Roman" w:cs="Times New Roman"/>
                <w:color w:val="000000"/>
              </w:rPr>
            </w:pPr>
            <w:r w:rsidRPr="005B5992">
              <w:rPr>
                <w:rFonts w:ascii="Times New Roman" w:hAnsi="Times New Roman" w:cs="Times New Roman"/>
              </w:rPr>
              <w:t xml:space="preserve">1. </w:t>
            </w:r>
            <w:proofErr w:type="spellStart"/>
            <w:r w:rsidRPr="005B5992">
              <w:rPr>
                <w:rFonts w:ascii="Times New Roman" w:hAnsi="Times New Roman" w:cs="Times New Roman"/>
              </w:rPr>
              <w:t>Безыгольный</w:t>
            </w:r>
            <w:proofErr w:type="spellEnd"/>
            <w:r w:rsidRPr="005B5992">
              <w:rPr>
                <w:rFonts w:ascii="Times New Roman" w:hAnsi="Times New Roman" w:cs="Times New Roman"/>
              </w:rPr>
              <w:t xml:space="preserve"> коннектор должен иметь </w:t>
            </w:r>
            <w:r w:rsidRPr="005B5992">
              <w:rPr>
                <w:rFonts w:ascii="Times New Roman" w:hAnsi="Times New Roman" w:cs="Times New Roman"/>
                <w:color w:val="000000"/>
              </w:rPr>
              <w:t>встроенный клапан для автоматического открытия/закрытия канала для автоматического открытия/закрытия канала, что позволяет снизить вытекания раствора.</w:t>
            </w:r>
          </w:p>
          <w:p w:rsidR="005B5992" w:rsidRPr="005B5992" w:rsidRDefault="005B5992" w:rsidP="005B5992">
            <w:pPr>
              <w:rPr>
                <w:rFonts w:ascii="Times New Roman" w:hAnsi="Times New Roman" w:cs="Times New Roman"/>
                <w:color w:val="000000"/>
              </w:rPr>
            </w:pPr>
            <w:r w:rsidRPr="005B5992">
              <w:rPr>
                <w:rFonts w:ascii="Times New Roman" w:hAnsi="Times New Roman" w:cs="Times New Roman"/>
                <w:color w:val="000000"/>
              </w:rPr>
              <w:t xml:space="preserve">2. </w:t>
            </w:r>
            <w:proofErr w:type="spellStart"/>
            <w:r w:rsidRPr="005B5992">
              <w:rPr>
                <w:rFonts w:ascii="Times New Roman" w:hAnsi="Times New Roman" w:cs="Times New Roman"/>
                <w:color w:val="000000"/>
              </w:rPr>
              <w:t>Безыгольный</w:t>
            </w:r>
            <w:proofErr w:type="spellEnd"/>
            <w:r w:rsidRPr="005B5992">
              <w:rPr>
                <w:rFonts w:ascii="Times New Roman" w:hAnsi="Times New Roman" w:cs="Times New Roman"/>
                <w:color w:val="000000"/>
              </w:rPr>
              <w:t xml:space="preserve"> коннектор должен иметь винтовое </w:t>
            </w:r>
            <w:r w:rsidRPr="005B5992">
              <w:rPr>
                <w:rFonts w:ascii="Times New Roman" w:hAnsi="Times New Roman" w:cs="Times New Roman"/>
                <w:color w:val="000000"/>
              </w:rPr>
              <w:lastRenderedPageBreak/>
              <w:t xml:space="preserve">соединение </w:t>
            </w:r>
            <w:proofErr w:type="spellStart"/>
            <w:r w:rsidRPr="005B5992">
              <w:rPr>
                <w:rFonts w:ascii="Times New Roman" w:hAnsi="Times New Roman" w:cs="Times New Roman"/>
                <w:color w:val="000000"/>
              </w:rPr>
              <w:t>Люэр</w:t>
            </w:r>
            <w:proofErr w:type="spellEnd"/>
            <w:r w:rsidRPr="005B5992">
              <w:rPr>
                <w:rFonts w:ascii="Times New Roman" w:hAnsi="Times New Roman" w:cs="Times New Roman"/>
                <w:color w:val="000000"/>
              </w:rPr>
              <w:t xml:space="preserve"> </w:t>
            </w:r>
            <w:proofErr w:type="spellStart"/>
            <w:r w:rsidRPr="005B5992">
              <w:rPr>
                <w:rFonts w:ascii="Times New Roman" w:hAnsi="Times New Roman" w:cs="Times New Roman"/>
                <w:color w:val="000000"/>
              </w:rPr>
              <w:t>лок</w:t>
            </w:r>
            <w:proofErr w:type="spellEnd"/>
            <w:r w:rsidRPr="005B5992">
              <w:rPr>
                <w:rFonts w:ascii="Times New Roman" w:hAnsi="Times New Roman" w:cs="Times New Roman"/>
                <w:color w:val="000000"/>
              </w:rPr>
              <w:t xml:space="preserve"> для предотвращения риска </w:t>
            </w:r>
            <w:proofErr w:type="spellStart"/>
            <w:r w:rsidRPr="005B5992">
              <w:rPr>
                <w:rFonts w:ascii="Times New Roman" w:hAnsi="Times New Roman" w:cs="Times New Roman"/>
                <w:color w:val="000000"/>
              </w:rPr>
              <w:t>рассоединения</w:t>
            </w:r>
            <w:proofErr w:type="spellEnd"/>
            <w:r w:rsidRPr="005B5992">
              <w:rPr>
                <w:rFonts w:ascii="Times New Roman" w:hAnsi="Times New Roman" w:cs="Times New Roman"/>
                <w:color w:val="000000"/>
              </w:rPr>
              <w:t xml:space="preserve"> системы при проведении </w:t>
            </w:r>
            <w:proofErr w:type="spellStart"/>
            <w:r w:rsidRPr="005B5992">
              <w:rPr>
                <w:rFonts w:ascii="Times New Roman" w:hAnsi="Times New Roman" w:cs="Times New Roman"/>
                <w:color w:val="000000"/>
              </w:rPr>
              <w:t>инфузионной</w:t>
            </w:r>
            <w:proofErr w:type="spellEnd"/>
            <w:r w:rsidRPr="005B5992">
              <w:rPr>
                <w:rFonts w:ascii="Times New Roman" w:hAnsi="Times New Roman" w:cs="Times New Roman"/>
                <w:color w:val="000000"/>
              </w:rPr>
              <w:t xml:space="preserve"> терапии.</w:t>
            </w:r>
          </w:p>
          <w:p w:rsidR="005B5992" w:rsidRPr="005B5992" w:rsidRDefault="005B5992" w:rsidP="005B5992">
            <w:pPr>
              <w:rPr>
                <w:rFonts w:ascii="Times New Roman" w:hAnsi="Times New Roman" w:cs="Times New Roman"/>
                <w:color w:val="000000"/>
              </w:rPr>
            </w:pPr>
            <w:r w:rsidRPr="005B5992">
              <w:rPr>
                <w:rFonts w:ascii="Times New Roman" w:hAnsi="Times New Roman" w:cs="Times New Roman"/>
                <w:color w:val="000000"/>
              </w:rPr>
              <w:t xml:space="preserve">3. </w:t>
            </w:r>
            <w:proofErr w:type="spellStart"/>
            <w:r w:rsidRPr="005B5992">
              <w:rPr>
                <w:rFonts w:ascii="Times New Roman" w:hAnsi="Times New Roman" w:cs="Times New Roman"/>
                <w:color w:val="000000"/>
              </w:rPr>
              <w:t>Безыгольный</w:t>
            </w:r>
            <w:proofErr w:type="spellEnd"/>
            <w:r w:rsidRPr="005B5992">
              <w:rPr>
                <w:rFonts w:ascii="Times New Roman" w:hAnsi="Times New Roman" w:cs="Times New Roman"/>
                <w:color w:val="000000"/>
              </w:rPr>
              <w:t xml:space="preserve"> коннектор должен иметь ровную обрабатываемую поверхность, не требующую защитный колпачков для предотвращения контаминации.</w:t>
            </w:r>
          </w:p>
          <w:p w:rsidR="005B5992" w:rsidRPr="005B5992" w:rsidRDefault="005B5992" w:rsidP="005B5992">
            <w:pPr>
              <w:rPr>
                <w:rFonts w:ascii="Times New Roman" w:hAnsi="Times New Roman" w:cs="Times New Roman"/>
                <w:color w:val="000000"/>
              </w:rPr>
            </w:pPr>
            <w:r w:rsidRPr="005B5992">
              <w:rPr>
                <w:rFonts w:ascii="Times New Roman" w:hAnsi="Times New Roman" w:cs="Times New Roman"/>
                <w:color w:val="000000"/>
              </w:rPr>
              <w:t xml:space="preserve">4. </w:t>
            </w:r>
            <w:proofErr w:type="spellStart"/>
            <w:r w:rsidRPr="005B5992">
              <w:rPr>
                <w:rFonts w:ascii="Times New Roman" w:hAnsi="Times New Roman" w:cs="Times New Roman"/>
                <w:color w:val="000000"/>
              </w:rPr>
              <w:t>Безыгольный</w:t>
            </w:r>
            <w:proofErr w:type="spellEnd"/>
            <w:r w:rsidRPr="005B5992">
              <w:rPr>
                <w:rFonts w:ascii="Times New Roman" w:hAnsi="Times New Roman" w:cs="Times New Roman"/>
                <w:color w:val="000000"/>
              </w:rPr>
              <w:t xml:space="preserve"> коннектор не должен содержать латекс, ПВХ и </w:t>
            </w:r>
            <w:proofErr w:type="spellStart"/>
            <w:r w:rsidRPr="005B5992">
              <w:rPr>
                <w:rFonts w:ascii="Times New Roman" w:hAnsi="Times New Roman" w:cs="Times New Roman"/>
                <w:color w:val="000000"/>
              </w:rPr>
              <w:t>фталатов</w:t>
            </w:r>
            <w:proofErr w:type="spellEnd"/>
            <w:r w:rsidRPr="005B5992">
              <w:rPr>
                <w:rFonts w:ascii="Times New Roman" w:hAnsi="Times New Roman" w:cs="Times New Roman"/>
                <w:color w:val="000000"/>
              </w:rPr>
              <w:t xml:space="preserve">. Отсутствие латекса для предупреждения развития аллергических реакций у пациента. Отсутствие ПВХ и </w:t>
            </w:r>
            <w:proofErr w:type="spellStart"/>
            <w:r w:rsidRPr="005B5992">
              <w:rPr>
                <w:rFonts w:ascii="Times New Roman" w:hAnsi="Times New Roman" w:cs="Times New Roman"/>
                <w:color w:val="000000"/>
              </w:rPr>
              <w:t>фталатов</w:t>
            </w:r>
            <w:proofErr w:type="spellEnd"/>
            <w:r w:rsidRPr="005B5992">
              <w:rPr>
                <w:rFonts w:ascii="Times New Roman" w:hAnsi="Times New Roman" w:cs="Times New Roman"/>
                <w:color w:val="000000"/>
              </w:rPr>
              <w:t xml:space="preserve"> позволяют использовать данное изделие при проведении химиотерапии или при проведении </w:t>
            </w:r>
            <w:proofErr w:type="spellStart"/>
            <w:r w:rsidRPr="005B5992">
              <w:rPr>
                <w:rFonts w:ascii="Times New Roman" w:hAnsi="Times New Roman" w:cs="Times New Roman"/>
                <w:color w:val="000000"/>
              </w:rPr>
              <w:t>инфузионной</w:t>
            </w:r>
            <w:proofErr w:type="spellEnd"/>
            <w:r w:rsidRPr="005B5992">
              <w:rPr>
                <w:rFonts w:ascii="Times New Roman" w:hAnsi="Times New Roman" w:cs="Times New Roman"/>
                <w:color w:val="000000"/>
              </w:rPr>
              <w:t xml:space="preserve"> терапии у новорожденных.</w:t>
            </w:r>
          </w:p>
          <w:p w:rsidR="005B5992" w:rsidRPr="005B5992" w:rsidRDefault="005B5992" w:rsidP="005B5992">
            <w:pPr>
              <w:rPr>
                <w:rFonts w:ascii="Times New Roman" w:hAnsi="Times New Roman" w:cs="Times New Roman"/>
                <w:color w:val="000000"/>
              </w:rPr>
            </w:pPr>
            <w:r w:rsidRPr="005B5992">
              <w:rPr>
                <w:rFonts w:ascii="Times New Roman" w:hAnsi="Times New Roman" w:cs="Times New Roman"/>
                <w:color w:val="000000"/>
              </w:rPr>
              <w:t>5. Максимальная скорость потока должна быть не менее 350 мл/мин. Высокая скорость потока позволяет, при необходимости, за минимальный временной промежуток достигнуть требуемой концентрации лекарственного препарата в организме пациента.</w:t>
            </w:r>
          </w:p>
          <w:p w:rsidR="005B5992" w:rsidRPr="005B5992" w:rsidRDefault="005B5992" w:rsidP="005B5992">
            <w:pPr>
              <w:rPr>
                <w:rFonts w:ascii="Times New Roman" w:hAnsi="Times New Roman" w:cs="Times New Roman"/>
                <w:color w:val="000000"/>
              </w:rPr>
            </w:pPr>
            <w:r w:rsidRPr="005B5992">
              <w:rPr>
                <w:rFonts w:ascii="Times New Roman" w:hAnsi="Times New Roman" w:cs="Times New Roman"/>
                <w:color w:val="000000"/>
              </w:rPr>
              <w:t xml:space="preserve">6. Диаметр силиконовой мембраны должен быть 4+-0,1 мм., что соответствует диаметру коннектора стандартного инъекционного шприца или соединению </w:t>
            </w:r>
            <w:proofErr w:type="spellStart"/>
            <w:r w:rsidRPr="005B5992">
              <w:rPr>
                <w:rFonts w:ascii="Times New Roman" w:hAnsi="Times New Roman" w:cs="Times New Roman"/>
                <w:color w:val="000000"/>
              </w:rPr>
              <w:t>male</w:t>
            </w:r>
            <w:proofErr w:type="spellEnd"/>
            <w:r w:rsidRPr="005B5992">
              <w:rPr>
                <w:rFonts w:ascii="Times New Roman" w:hAnsi="Times New Roman" w:cs="Times New Roman"/>
                <w:color w:val="000000"/>
              </w:rPr>
              <w:t xml:space="preserve"> </w:t>
            </w:r>
            <w:proofErr w:type="spellStart"/>
            <w:r w:rsidRPr="005B5992">
              <w:rPr>
                <w:rFonts w:ascii="Times New Roman" w:hAnsi="Times New Roman" w:cs="Times New Roman"/>
                <w:color w:val="000000"/>
              </w:rPr>
              <w:t>инфузионной</w:t>
            </w:r>
            <w:proofErr w:type="spellEnd"/>
            <w:r w:rsidRPr="005B5992">
              <w:rPr>
                <w:rFonts w:ascii="Times New Roman" w:hAnsi="Times New Roman" w:cs="Times New Roman"/>
                <w:color w:val="000000"/>
              </w:rPr>
              <w:t xml:space="preserve"> линии.</w:t>
            </w:r>
          </w:p>
          <w:p w:rsidR="005B5992" w:rsidRPr="005B5992" w:rsidRDefault="005B5992" w:rsidP="005B5992">
            <w:pPr>
              <w:rPr>
                <w:rFonts w:ascii="Times New Roman" w:hAnsi="Times New Roman" w:cs="Times New Roman"/>
                <w:color w:val="000000"/>
              </w:rPr>
            </w:pPr>
            <w:r w:rsidRPr="005B5992">
              <w:rPr>
                <w:rFonts w:ascii="Times New Roman" w:hAnsi="Times New Roman" w:cs="Times New Roman"/>
                <w:color w:val="000000"/>
              </w:rPr>
              <w:t xml:space="preserve">7. Диаметр поверхности </w:t>
            </w:r>
            <w:proofErr w:type="spellStart"/>
            <w:r w:rsidRPr="005B5992">
              <w:rPr>
                <w:rFonts w:ascii="Times New Roman" w:hAnsi="Times New Roman" w:cs="Times New Roman"/>
                <w:color w:val="000000"/>
              </w:rPr>
              <w:t>Люэр</w:t>
            </w:r>
            <w:proofErr w:type="spellEnd"/>
            <w:r w:rsidRPr="005B5992">
              <w:rPr>
                <w:rFonts w:ascii="Times New Roman" w:hAnsi="Times New Roman" w:cs="Times New Roman"/>
                <w:color w:val="000000"/>
              </w:rPr>
              <w:t xml:space="preserve"> </w:t>
            </w:r>
            <w:proofErr w:type="spellStart"/>
            <w:r w:rsidRPr="005B5992">
              <w:rPr>
                <w:rFonts w:ascii="Times New Roman" w:hAnsi="Times New Roman" w:cs="Times New Roman"/>
                <w:color w:val="000000"/>
              </w:rPr>
              <w:t>Лок</w:t>
            </w:r>
            <w:proofErr w:type="spellEnd"/>
            <w:r w:rsidRPr="005B5992">
              <w:rPr>
                <w:rFonts w:ascii="Times New Roman" w:hAnsi="Times New Roman" w:cs="Times New Roman"/>
                <w:color w:val="000000"/>
              </w:rPr>
              <w:t xml:space="preserve"> соединения типа «</w:t>
            </w:r>
            <w:proofErr w:type="spellStart"/>
            <w:r w:rsidRPr="005B5992">
              <w:rPr>
                <w:rFonts w:ascii="Times New Roman" w:hAnsi="Times New Roman" w:cs="Times New Roman"/>
                <w:color w:val="000000"/>
              </w:rPr>
              <w:t>female</w:t>
            </w:r>
            <w:proofErr w:type="spellEnd"/>
            <w:r w:rsidRPr="005B5992">
              <w:rPr>
                <w:rFonts w:ascii="Times New Roman" w:hAnsi="Times New Roman" w:cs="Times New Roman"/>
                <w:color w:val="000000"/>
              </w:rPr>
              <w:t>» должен быть 8+-0,1 мм., что соответствует стандартному диаметру коннекторов</w:t>
            </w:r>
          </w:p>
        </w:tc>
        <w:tc>
          <w:tcPr>
            <w:tcW w:w="743" w:type="dxa"/>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lang w:eastAsia="ru-RU"/>
              </w:rPr>
              <w:lastRenderedPageBreak/>
              <w:t>1200</w:t>
            </w:r>
          </w:p>
        </w:tc>
        <w:tc>
          <w:tcPr>
            <w:tcW w:w="919" w:type="dxa"/>
          </w:tcPr>
          <w:p w:rsidR="005B5992" w:rsidRPr="005B5992" w:rsidRDefault="005B5992" w:rsidP="005B5992">
            <w:pPr>
              <w:spacing w:after="0" w:line="240" w:lineRule="auto"/>
              <w:jc w:val="center"/>
              <w:rPr>
                <w:rFonts w:ascii="Times New Roman" w:hAnsi="Times New Roman" w:cs="Times New Roman"/>
                <w:lang w:eastAsia="ru-RU"/>
              </w:rPr>
            </w:pPr>
            <w:proofErr w:type="spellStart"/>
            <w:r w:rsidRPr="005B5992">
              <w:rPr>
                <w:rFonts w:ascii="Times New Roman" w:hAnsi="Times New Roman" w:cs="Times New Roman"/>
                <w:lang w:eastAsia="ru-RU"/>
              </w:rPr>
              <w:t>шт</w:t>
            </w:r>
            <w:proofErr w:type="spellEnd"/>
          </w:p>
        </w:tc>
        <w:tc>
          <w:tcPr>
            <w:tcW w:w="1403" w:type="dxa"/>
          </w:tcPr>
          <w:p w:rsidR="005B5992" w:rsidRPr="005B5992" w:rsidRDefault="005B5992" w:rsidP="005B5992">
            <w:pPr>
              <w:spacing w:after="0" w:line="240" w:lineRule="auto"/>
              <w:jc w:val="center"/>
              <w:rPr>
                <w:rFonts w:ascii="Times New Roman" w:hAnsi="Times New Roman" w:cs="Times New Roman"/>
                <w:lang w:eastAsia="ru-RU"/>
              </w:rPr>
            </w:pPr>
            <w:r w:rsidRPr="005B5992">
              <w:rPr>
                <w:rFonts w:ascii="Times New Roman" w:hAnsi="Times New Roman" w:cs="Times New Roman"/>
              </w:rPr>
              <w:t>32.50.50.190-00001134**</w:t>
            </w:r>
          </w:p>
        </w:tc>
        <w:tc>
          <w:tcPr>
            <w:tcW w:w="1238" w:type="dxa"/>
            <w:shd w:val="clear" w:color="auto" w:fill="FFFFCC"/>
          </w:tcPr>
          <w:p w:rsidR="005B5992" w:rsidRPr="005B5992" w:rsidRDefault="005B5992" w:rsidP="005B5992">
            <w:pPr>
              <w:spacing w:after="0" w:line="240" w:lineRule="auto"/>
              <w:jc w:val="center"/>
              <w:rPr>
                <w:rFonts w:ascii="Times New Roman" w:hAnsi="Times New Roman" w:cs="Times New Roman"/>
                <w:lang w:eastAsia="ru-RU"/>
              </w:rPr>
            </w:pPr>
          </w:p>
        </w:tc>
        <w:tc>
          <w:tcPr>
            <w:tcW w:w="743" w:type="dxa"/>
            <w:shd w:val="clear" w:color="auto" w:fill="FFFFCC"/>
          </w:tcPr>
          <w:p w:rsidR="005B5992" w:rsidRPr="005B5992" w:rsidRDefault="005B5992" w:rsidP="005B5992">
            <w:pPr>
              <w:spacing w:after="0" w:line="240" w:lineRule="auto"/>
              <w:jc w:val="center"/>
              <w:rPr>
                <w:rFonts w:ascii="Times New Roman" w:hAnsi="Times New Roman" w:cs="Times New Roman"/>
                <w:lang w:eastAsia="ru-RU"/>
              </w:rPr>
            </w:pPr>
          </w:p>
        </w:tc>
        <w:tc>
          <w:tcPr>
            <w:tcW w:w="1186" w:type="dxa"/>
            <w:shd w:val="clear" w:color="auto" w:fill="FFFFCC"/>
          </w:tcPr>
          <w:p w:rsidR="005B5992" w:rsidRPr="005B5992" w:rsidRDefault="005B5992" w:rsidP="005B5992">
            <w:pPr>
              <w:spacing w:after="0" w:line="240" w:lineRule="auto"/>
              <w:jc w:val="center"/>
              <w:rPr>
                <w:rFonts w:ascii="Times New Roman" w:hAnsi="Times New Roman" w:cs="Times New Roman"/>
                <w:lang w:eastAsia="ru-RU"/>
              </w:rPr>
            </w:pPr>
          </w:p>
        </w:tc>
        <w:tc>
          <w:tcPr>
            <w:tcW w:w="1141" w:type="dxa"/>
            <w:shd w:val="clear" w:color="auto" w:fill="FFFFCC"/>
          </w:tcPr>
          <w:p w:rsidR="005B5992" w:rsidRPr="005B5992" w:rsidRDefault="005B5992" w:rsidP="005B5992">
            <w:pPr>
              <w:spacing w:after="0" w:line="240" w:lineRule="auto"/>
              <w:jc w:val="center"/>
              <w:rPr>
                <w:rFonts w:ascii="Times New Roman" w:hAnsi="Times New Roman" w:cs="Times New Roman"/>
                <w:lang w:eastAsia="ru-RU"/>
              </w:rPr>
            </w:pPr>
          </w:p>
        </w:tc>
      </w:tr>
    </w:tbl>
    <w:bookmarkEnd w:id="21"/>
    <w:p w:rsidR="005B5992" w:rsidRPr="005B5992" w:rsidRDefault="005B5992" w:rsidP="005B5992">
      <w:pPr>
        <w:rPr>
          <w:rFonts w:ascii="Times New Roman" w:hAnsi="Times New Roman" w:cs="Times New Roman"/>
          <w:b/>
          <w:sz w:val="28"/>
          <w:szCs w:val="28"/>
        </w:rPr>
      </w:pPr>
      <w:r w:rsidRPr="005B5992">
        <w:rPr>
          <w:rFonts w:ascii="Times New Roman" w:hAnsi="Times New Roman" w:cs="Times New Roman"/>
          <w:b/>
          <w:sz w:val="28"/>
          <w:szCs w:val="28"/>
        </w:rPr>
        <w:lastRenderedPageBreak/>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 (письмо Минфина России от 24 января 2022 г. N 24-03-08/4090)</w:t>
      </w:r>
    </w:p>
    <w:p w:rsidR="005B5992" w:rsidRPr="005B5992" w:rsidRDefault="005B5992" w:rsidP="005B5992">
      <w:pPr>
        <w:rPr>
          <w:rFonts w:ascii="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5B5992">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45" w:rsidRDefault="00B05945">
      <w:pPr>
        <w:spacing w:after="0" w:line="240" w:lineRule="auto"/>
      </w:pPr>
      <w:r>
        <w:separator/>
      </w:r>
    </w:p>
  </w:endnote>
  <w:endnote w:type="continuationSeparator" w:id="0">
    <w:p w:rsidR="00B05945" w:rsidRDefault="00B0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64344" w:rsidRDefault="00D64344">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D64344">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64344">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D6434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D6434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D6434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45" w:rsidRDefault="00B05945">
      <w:pPr>
        <w:spacing w:after="0" w:line="240" w:lineRule="auto"/>
      </w:pPr>
      <w:r>
        <w:separator/>
      </w:r>
    </w:p>
  </w:footnote>
  <w:footnote w:type="continuationSeparator" w:id="0">
    <w:p w:rsidR="00B05945" w:rsidRDefault="00B05945">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64344" w:rsidRDefault="00D64344">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64344" w:rsidRDefault="00D64344">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64344" w:rsidRDefault="00D64344">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5992"/>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05945"/>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64344"/>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23F691-98D8-400C-B614-AC6CA6E7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6537-7B87-4040-9FC7-0ECE2A4E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2024-04-27T12:18:00Z</dcterms:created>
  <dcterms:modified xsi:type="dcterms:W3CDTF">2024-04-27T12:18:00Z</dcterms:modified>
</cp:coreProperties>
</file>