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16.01.2025 № 05-07/42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C2126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CE7B3D">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90 (девяноста) календарных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Допускается частичная поставка товара отдельными партиями в пределах данного срока.</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CE7B3D">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CE7B3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8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268"/>
        <w:gridCol w:w="1418"/>
        <w:gridCol w:w="1131"/>
        <w:gridCol w:w="2691"/>
        <w:gridCol w:w="1418"/>
        <w:gridCol w:w="995"/>
        <w:gridCol w:w="1560"/>
        <w:gridCol w:w="708"/>
        <w:gridCol w:w="992"/>
        <w:gridCol w:w="850"/>
        <w:gridCol w:w="992"/>
      </w:tblGrid>
      <w:tr w:rsidR="005A63D5" w:rsidRPr="007D43A2" w:rsidTr="006A5D76">
        <w:trPr>
          <w:trHeight w:val="402"/>
        </w:trPr>
        <w:tc>
          <w:tcPr>
            <w:tcW w:w="138" w:type="pct"/>
            <w:vMerge w:val="restart"/>
            <w:shd w:val="clear" w:color="auto" w:fill="auto"/>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r w:rsidRPr="007D43A2">
              <w:rPr>
                <w:rFonts w:ascii="Times New Roman" w:eastAsia="Times New Roman" w:hAnsi="Times New Roman" w:cs="Times New Roman"/>
                <w:b/>
                <w:bCs/>
                <w:color w:val="000000"/>
                <w:sz w:val="16"/>
                <w:szCs w:val="16"/>
                <w:lang w:eastAsia="ru-RU"/>
              </w:rPr>
              <w:t>№</w:t>
            </w:r>
          </w:p>
        </w:tc>
        <w:tc>
          <w:tcPr>
            <w:tcW w:w="734" w:type="pct"/>
            <w:vMerge w:val="restart"/>
            <w:shd w:val="clear" w:color="auto" w:fill="auto"/>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r w:rsidRPr="007D43A2">
              <w:rPr>
                <w:rFonts w:ascii="Times New Roman" w:eastAsia="Times New Roman" w:hAnsi="Times New Roman" w:cs="Times New Roman"/>
                <w:b/>
                <w:bCs/>
                <w:color w:val="000000"/>
                <w:sz w:val="16"/>
                <w:szCs w:val="16"/>
                <w:lang w:eastAsia="ru-RU"/>
              </w:rPr>
              <w:t xml:space="preserve">Наименование товара, </w:t>
            </w:r>
          </w:p>
        </w:tc>
        <w:tc>
          <w:tcPr>
            <w:tcW w:w="459" w:type="pct"/>
            <w:vMerge w:val="restart"/>
            <w:shd w:val="clear" w:color="auto" w:fill="auto"/>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r w:rsidRPr="007D43A2">
              <w:rPr>
                <w:rFonts w:ascii="Times New Roman" w:eastAsia="Times New Roman" w:hAnsi="Times New Roman" w:cs="Times New Roman"/>
                <w:b/>
                <w:bCs/>
                <w:color w:val="000000"/>
                <w:sz w:val="16"/>
                <w:szCs w:val="16"/>
                <w:lang w:eastAsia="ru-RU"/>
              </w:rPr>
              <w:t>КТРУ/ОКПД2</w:t>
            </w:r>
          </w:p>
        </w:tc>
        <w:tc>
          <w:tcPr>
            <w:tcW w:w="366" w:type="pct"/>
            <w:vMerge w:val="restart"/>
            <w:shd w:val="clear" w:color="auto" w:fill="auto"/>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r w:rsidRPr="007D43A2">
              <w:rPr>
                <w:rFonts w:ascii="Times New Roman" w:eastAsia="Times New Roman" w:hAnsi="Times New Roman" w:cs="Times New Roman"/>
                <w:b/>
                <w:bCs/>
                <w:color w:val="000000"/>
                <w:sz w:val="16"/>
                <w:szCs w:val="16"/>
                <w:lang w:eastAsia="ru-RU"/>
              </w:rPr>
              <w:t>Единица измерения</w:t>
            </w:r>
          </w:p>
        </w:tc>
        <w:tc>
          <w:tcPr>
            <w:tcW w:w="871" w:type="pct"/>
            <w:vMerge w:val="restart"/>
            <w:shd w:val="clear" w:color="auto" w:fill="auto"/>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r w:rsidRPr="007D43A2">
              <w:rPr>
                <w:rFonts w:ascii="Times New Roman" w:eastAsia="Times New Roman" w:hAnsi="Times New Roman" w:cs="Times New Roman"/>
                <w:b/>
                <w:bCs/>
                <w:color w:val="000000"/>
                <w:sz w:val="16"/>
                <w:szCs w:val="16"/>
                <w:lang w:eastAsia="ru-RU"/>
              </w:rPr>
              <w:t>Функциональные, технические, качественные, эксплуатационные характеристики товара (единицы измерения)</w:t>
            </w:r>
          </w:p>
        </w:tc>
        <w:tc>
          <w:tcPr>
            <w:tcW w:w="459" w:type="pct"/>
            <w:vMerge w:val="restart"/>
            <w:shd w:val="clear" w:color="auto" w:fill="auto"/>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r w:rsidRPr="007D43A2">
              <w:rPr>
                <w:rFonts w:ascii="Times New Roman" w:eastAsia="Times New Roman" w:hAnsi="Times New Roman" w:cs="Times New Roman"/>
                <w:b/>
                <w:bCs/>
                <w:color w:val="000000"/>
                <w:sz w:val="16"/>
                <w:szCs w:val="16"/>
                <w:lang w:eastAsia="ru-RU"/>
              </w:rPr>
              <w:t>Значения характеристик товара, которые не подлежат изменению участником закупки, или минимальные и (или) максимальные значения характеристик товара</w:t>
            </w:r>
          </w:p>
        </w:tc>
        <w:tc>
          <w:tcPr>
            <w:tcW w:w="322" w:type="pct"/>
            <w:vMerge w:val="restart"/>
            <w:shd w:val="clear" w:color="auto" w:fill="auto"/>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r w:rsidRPr="007D43A2">
              <w:rPr>
                <w:rFonts w:ascii="Times New Roman" w:eastAsia="Times New Roman" w:hAnsi="Times New Roman" w:cs="Times New Roman"/>
                <w:b/>
                <w:bCs/>
                <w:color w:val="000000"/>
                <w:sz w:val="16"/>
                <w:szCs w:val="16"/>
                <w:lang w:eastAsia="ru-RU"/>
              </w:rPr>
              <w:t>Единица измерения значения</w:t>
            </w:r>
          </w:p>
        </w:tc>
        <w:tc>
          <w:tcPr>
            <w:tcW w:w="505" w:type="pct"/>
            <w:vMerge w:val="restart"/>
            <w:shd w:val="clear" w:color="auto" w:fill="auto"/>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r w:rsidRPr="007D43A2">
              <w:rPr>
                <w:rFonts w:ascii="Times New Roman" w:eastAsia="Times New Roman" w:hAnsi="Times New Roman" w:cs="Times New Roman"/>
                <w:b/>
                <w:bCs/>
                <w:color w:val="000000"/>
                <w:sz w:val="16"/>
                <w:szCs w:val="16"/>
                <w:lang w:eastAsia="ru-RU"/>
              </w:rPr>
              <w:t>Инструкция заказчика по указанию значений характеристик товара участником закупки</w:t>
            </w:r>
          </w:p>
        </w:tc>
        <w:tc>
          <w:tcPr>
            <w:tcW w:w="229" w:type="pct"/>
            <w:vMerge w:val="restart"/>
            <w:shd w:val="clear" w:color="auto" w:fill="auto"/>
            <w:noWrap/>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r w:rsidRPr="007D43A2">
              <w:rPr>
                <w:rFonts w:ascii="Times New Roman" w:eastAsia="Times New Roman" w:hAnsi="Times New Roman" w:cs="Times New Roman"/>
                <w:b/>
                <w:bCs/>
                <w:color w:val="000000"/>
                <w:sz w:val="16"/>
                <w:szCs w:val="16"/>
                <w:lang w:eastAsia="ru-RU"/>
              </w:rPr>
              <w:t>Кол-во</w:t>
            </w:r>
          </w:p>
        </w:tc>
        <w:tc>
          <w:tcPr>
            <w:tcW w:w="321" w:type="pct"/>
            <w:vMerge w:val="restart"/>
            <w:shd w:val="clear" w:color="auto" w:fill="auto"/>
            <w:noWrap/>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r w:rsidRPr="007D43A2">
              <w:rPr>
                <w:rFonts w:ascii="Times New Roman" w:eastAsia="Times New Roman" w:hAnsi="Times New Roman" w:cs="Times New Roman"/>
                <w:b/>
                <w:bCs/>
                <w:color w:val="000000"/>
                <w:sz w:val="16"/>
                <w:szCs w:val="16"/>
                <w:lang w:eastAsia="ru-RU"/>
              </w:rPr>
              <w:t>Страна происхождения Товара</w:t>
            </w:r>
          </w:p>
        </w:tc>
        <w:tc>
          <w:tcPr>
            <w:tcW w:w="275" w:type="pct"/>
            <w:vMerge w:val="restart"/>
            <w:shd w:val="clear" w:color="auto" w:fill="auto"/>
            <w:noWrap/>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r w:rsidRPr="007D43A2">
              <w:rPr>
                <w:rFonts w:ascii="Times New Roman" w:eastAsia="Times New Roman" w:hAnsi="Times New Roman" w:cs="Times New Roman"/>
                <w:b/>
                <w:bCs/>
                <w:color w:val="000000"/>
                <w:sz w:val="16"/>
                <w:szCs w:val="16"/>
                <w:lang w:eastAsia="ru-RU"/>
              </w:rPr>
              <w:t>Ставка НДС</w:t>
            </w:r>
          </w:p>
        </w:tc>
        <w:tc>
          <w:tcPr>
            <w:tcW w:w="321" w:type="pct"/>
            <w:vMerge w:val="restart"/>
            <w:shd w:val="clear" w:color="auto" w:fill="auto"/>
            <w:noWrap/>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r w:rsidRPr="007D43A2">
              <w:rPr>
                <w:rFonts w:ascii="Times New Roman" w:eastAsia="Times New Roman" w:hAnsi="Times New Roman" w:cs="Times New Roman"/>
                <w:b/>
                <w:bCs/>
                <w:color w:val="000000"/>
                <w:sz w:val="16"/>
                <w:szCs w:val="16"/>
                <w:lang w:eastAsia="ru-RU"/>
              </w:rPr>
              <w:t>Цена за ед. без НДС</w:t>
            </w:r>
          </w:p>
        </w:tc>
      </w:tr>
      <w:tr w:rsidR="005A63D5" w:rsidRPr="007D43A2" w:rsidTr="006A5D76">
        <w:trPr>
          <w:trHeight w:val="402"/>
        </w:trPr>
        <w:tc>
          <w:tcPr>
            <w:tcW w:w="138" w:type="pct"/>
            <w:vMerge/>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p>
        </w:tc>
        <w:tc>
          <w:tcPr>
            <w:tcW w:w="734"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459"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366"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871"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459"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322" w:type="pct"/>
            <w:vMerge/>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p>
        </w:tc>
        <w:tc>
          <w:tcPr>
            <w:tcW w:w="505" w:type="pct"/>
            <w:vMerge/>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p>
        </w:tc>
        <w:tc>
          <w:tcPr>
            <w:tcW w:w="229"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321"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275"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321"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r>
      <w:tr w:rsidR="005A63D5" w:rsidRPr="007D43A2" w:rsidTr="006A5D76">
        <w:trPr>
          <w:trHeight w:val="402"/>
        </w:trPr>
        <w:tc>
          <w:tcPr>
            <w:tcW w:w="138" w:type="pct"/>
            <w:vMerge/>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p>
        </w:tc>
        <w:tc>
          <w:tcPr>
            <w:tcW w:w="734"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459"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366"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871"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459"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322" w:type="pct"/>
            <w:vMerge/>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p>
        </w:tc>
        <w:tc>
          <w:tcPr>
            <w:tcW w:w="505" w:type="pct"/>
            <w:vMerge/>
            <w:vAlign w:val="center"/>
            <w:hideMark/>
          </w:tcPr>
          <w:p w:rsidR="005A63D5" w:rsidRPr="007D43A2" w:rsidRDefault="005A63D5" w:rsidP="00002500">
            <w:pPr>
              <w:spacing w:after="0" w:line="240" w:lineRule="auto"/>
              <w:jc w:val="center"/>
              <w:rPr>
                <w:rFonts w:ascii="Times New Roman" w:eastAsia="Times New Roman" w:hAnsi="Times New Roman" w:cs="Times New Roman"/>
                <w:b/>
                <w:bCs/>
                <w:color w:val="000000"/>
                <w:sz w:val="16"/>
                <w:szCs w:val="16"/>
                <w:lang w:eastAsia="ru-RU"/>
              </w:rPr>
            </w:pPr>
          </w:p>
        </w:tc>
        <w:tc>
          <w:tcPr>
            <w:tcW w:w="229"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321"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275"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c>
          <w:tcPr>
            <w:tcW w:w="321" w:type="pct"/>
            <w:vMerge/>
            <w:vAlign w:val="center"/>
            <w:hideMark/>
          </w:tcPr>
          <w:p w:rsidR="005A63D5" w:rsidRPr="007D43A2" w:rsidRDefault="005A63D5" w:rsidP="00002500">
            <w:pPr>
              <w:spacing w:after="0" w:line="240" w:lineRule="auto"/>
              <w:rPr>
                <w:rFonts w:ascii="Times New Roman" w:eastAsia="Times New Roman" w:hAnsi="Times New Roman" w:cs="Times New Roman"/>
                <w:b/>
                <w:bCs/>
                <w:color w:val="000000"/>
                <w:sz w:val="16"/>
                <w:szCs w:val="16"/>
                <w:lang w:eastAsia="ru-RU"/>
              </w:rPr>
            </w:pPr>
          </w:p>
        </w:tc>
      </w:tr>
      <w:tr w:rsidR="005A63D5" w:rsidRPr="007D43A2" w:rsidTr="006A5D76">
        <w:trPr>
          <w:trHeight w:val="402"/>
        </w:trPr>
        <w:tc>
          <w:tcPr>
            <w:tcW w:w="138" w:type="pct"/>
            <w:vMerge w:val="restar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734" w:type="pct"/>
            <w:vMerge w:val="restart"/>
            <w:vAlign w:val="center"/>
          </w:tcPr>
          <w:p w:rsidR="005A63D5" w:rsidRPr="007D43A2" w:rsidRDefault="005A63D5" w:rsidP="005A63D5">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Иммунохроматографический экспресс-тест для</w:t>
            </w:r>
          </w:p>
          <w:p w:rsidR="005A63D5" w:rsidRPr="007D43A2" w:rsidRDefault="005A63D5" w:rsidP="005A63D5">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качественного определения антигенов</w:t>
            </w:r>
          </w:p>
          <w:p w:rsidR="005A63D5" w:rsidRPr="007D43A2" w:rsidRDefault="005A63D5" w:rsidP="005A63D5">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аденовируса и ротавируса</w:t>
            </w:r>
          </w:p>
          <w:p w:rsidR="005A63D5" w:rsidRPr="007D43A2" w:rsidRDefault="005A63D5" w:rsidP="005A63D5">
            <w:pPr>
              <w:spacing w:after="0" w:line="240" w:lineRule="auto"/>
              <w:jc w:val="center"/>
              <w:rPr>
                <w:rFonts w:ascii="Times New Roman" w:eastAsia="Times New Roman" w:hAnsi="Times New Roman" w:cs="Times New Roman"/>
                <w:color w:val="000000"/>
                <w:sz w:val="16"/>
                <w:szCs w:val="16"/>
                <w:lang w:eastAsia="ru-RU"/>
              </w:rPr>
            </w:pPr>
          </w:p>
        </w:tc>
        <w:tc>
          <w:tcPr>
            <w:tcW w:w="459" w:type="pct"/>
            <w:vMerge w:val="restart"/>
            <w:vAlign w:val="center"/>
          </w:tcPr>
          <w:p w:rsidR="005A63D5" w:rsidRPr="007D43A2" w:rsidRDefault="005A63D5" w:rsidP="005A63D5">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21.20.23.110</w:t>
            </w:r>
          </w:p>
        </w:tc>
        <w:tc>
          <w:tcPr>
            <w:tcW w:w="366" w:type="pct"/>
            <w:vMerge w:val="restart"/>
            <w:vAlign w:val="center"/>
          </w:tcPr>
          <w:p w:rsidR="005A63D5" w:rsidRPr="007D43A2" w:rsidRDefault="005A63D5" w:rsidP="005A63D5">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набор</w:t>
            </w:r>
          </w:p>
        </w:tc>
        <w:tc>
          <w:tcPr>
            <w:tcW w:w="871" w:type="pct"/>
            <w:shd w:val="clear" w:color="auto" w:fill="auto"/>
            <w:vAlign w:val="center"/>
          </w:tcPr>
          <w:p w:rsidR="005A63D5" w:rsidRPr="007D43A2" w:rsidRDefault="005A63D5" w:rsidP="005A63D5">
            <w:pPr>
              <w:spacing w:after="0" w:line="240" w:lineRule="auto"/>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Двойной тест на ротавирус и аденовирус представляет собой качественный иммунохроматографический экспресс-тест для выявления ротавируса и аденовируса в человеческом кале.</w:t>
            </w:r>
          </w:p>
        </w:tc>
        <w:tc>
          <w:tcPr>
            <w:tcW w:w="459"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Соответствует</w:t>
            </w:r>
          </w:p>
        </w:tc>
        <w:tc>
          <w:tcPr>
            <w:tcW w:w="322"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w:t>
            </w:r>
          </w:p>
        </w:tc>
        <w:tc>
          <w:tcPr>
            <w:tcW w:w="505"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9" w:type="pct"/>
            <w:vMerge w:val="restar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8</w:t>
            </w:r>
          </w:p>
        </w:tc>
        <w:tc>
          <w:tcPr>
            <w:tcW w:w="321" w:type="pct"/>
            <w:vMerge w:val="restart"/>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275" w:type="pct"/>
            <w:vMerge w:val="restart"/>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21" w:type="pct"/>
            <w:vMerge w:val="restart"/>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r>
      <w:tr w:rsidR="005A63D5" w:rsidRPr="007D43A2" w:rsidTr="006A5D76">
        <w:trPr>
          <w:trHeight w:val="402"/>
        </w:trPr>
        <w:tc>
          <w:tcPr>
            <w:tcW w:w="138" w:type="pct"/>
            <w:vMerge/>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p>
        </w:tc>
        <w:tc>
          <w:tcPr>
            <w:tcW w:w="734"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459"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66"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871" w:type="pct"/>
            <w:shd w:val="clear" w:color="auto" w:fill="auto"/>
            <w:vAlign w:val="center"/>
          </w:tcPr>
          <w:p w:rsidR="005A63D5" w:rsidRPr="007D43A2" w:rsidRDefault="005A63D5" w:rsidP="005A63D5">
            <w:pPr>
              <w:spacing w:after="0" w:line="240" w:lineRule="auto"/>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Тестовое устройство состоит из пластмассового корпуса, содержащего две разные полоски для обнаружения ротавируса и аденовируса.</w:t>
            </w:r>
          </w:p>
        </w:tc>
        <w:tc>
          <w:tcPr>
            <w:tcW w:w="459"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Соответствует</w:t>
            </w:r>
          </w:p>
        </w:tc>
        <w:tc>
          <w:tcPr>
            <w:tcW w:w="322"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w:t>
            </w:r>
          </w:p>
        </w:tc>
        <w:tc>
          <w:tcPr>
            <w:tcW w:w="505"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9"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21"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275"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21"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r>
      <w:tr w:rsidR="005A63D5" w:rsidRPr="007D43A2" w:rsidTr="006A5D76">
        <w:trPr>
          <w:trHeight w:val="402"/>
        </w:trPr>
        <w:tc>
          <w:tcPr>
            <w:tcW w:w="138" w:type="pct"/>
            <w:vMerge/>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p>
        </w:tc>
        <w:tc>
          <w:tcPr>
            <w:tcW w:w="734"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459"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66"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871" w:type="pct"/>
            <w:shd w:val="clear" w:color="auto" w:fill="auto"/>
            <w:vAlign w:val="center"/>
          </w:tcPr>
          <w:p w:rsidR="005A63D5" w:rsidRPr="007D43A2" w:rsidRDefault="005A63D5" w:rsidP="005A63D5">
            <w:pPr>
              <w:spacing w:after="0" w:line="240" w:lineRule="auto"/>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Метод определения основан на использовании специфических мышиных моноклональных антител к ротавирусному и аденовирусному антигену, конъюгированных с красителем, и иммобилизованных на мембране тестовой кассеты других поликлональных мышиных антител к вирусным антигенам для избирательного определения ротавируса или аденовируса с высокой степенью чувствительности и специфичности. При помещении пробы в устройство для сбора проб с экстрагентом она растворяется, и несколько капель полученного экстракта вносятся в обе лунки для проб тестовой кассеты.</w:t>
            </w:r>
          </w:p>
        </w:tc>
        <w:tc>
          <w:tcPr>
            <w:tcW w:w="459"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Соответствует</w:t>
            </w:r>
          </w:p>
        </w:tc>
        <w:tc>
          <w:tcPr>
            <w:tcW w:w="322"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w:t>
            </w:r>
          </w:p>
        </w:tc>
        <w:tc>
          <w:tcPr>
            <w:tcW w:w="505"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9"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21"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275"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21"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r>
      <w:tr w:rsidR="005A63D5" w:rsidRPr="007D43A2" w:rsidTr="006A5D76">
        <w:trPr>
          <w:trHeight w:val="402"/>
        </w:trPr>
        <w:tc>
          <w:tcPr>
            <w:tcW w:w="138" w:type="pct"/>
            <w:vMerge/>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p>
        </w:tc>
        <w:tc>
          <w:tcPr>
            <w:tcW w:w="734"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459"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66"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871" w:type="pct"/>
            <w:shd w:val="clear" w:color="auto" w:fill="auto"/>
            <w:vAlign w:val="center"/>
          </w:tcPr>
          <w:p w:rsidR="005A63D5" w:rsidRPr="007D43A2" w:rsidRDefault="005A63D5" w:rsidP="005A63D5">
            <w:pPr>
              <w:spacing w:after="0" w:line="240" w:lineRule="auto"/>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Качественный результат теста считывается визуально.</w:t>
            </w:r>
          </w:p>
        </w:tc>
        <w:tc>
          <w:tcPr>
            <w:tcW w:w="459"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Соответствует</w:t>
            </w:r>
          </w:p>
        </w:tc>
        <w:tc>
          <w:tcPr>
            <w:tcW w:w="322"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w:t>
            </w:r>
          </w:p>
        </w:tc>
        <w:tc>
          <w:tcPr>
            <w:tcW w:w="505"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9"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21"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275"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21"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r>
      <w:tr w:rsidR="005A63D5" w:rsidRPr="007D43A2" w:rsidTr="006A5D76">
        <w:trPr>
          <w:trHeight w:val="402"/>
        </w:trPr>
        <w:tc>
          <w:tcPr>
            <w:tcW w:w="138" w:type="pct"/>
            <w:vMerge/>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p>
        </w:tc>
        <w:tc>
          <w:tcPr>
            <w:tcW w:w="734"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459"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66"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871" w:type="pct"/>
            <w:shd w:val="clear" w:color="auto" w:fill="auto"/>
            <w:vAlign w:val="center"/>
          </w:tcPr>
          <w:p w:rsidR="005A63D5" w:rsidRPr="007D43A2" w:rsidRDefault="005A63D5" w:rsidP="005A63D5">
            <w:pPr>
              <w:spacing w:after="0" w:line="240" w:lineRule="auto"/>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Состав теста:</w:t>
            </w:r>
          </w:p>
        </w:tc>
        <w:tc>
          <w:tcPr>
            <w:tcW w:w="459"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Тестовые кассеты – не менее 20 шт;</w:t>
            </w:r>
          </w:p>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Oдноразовые пластмассовые пипетки – не менее 20 шт;</w:t>
            </w:r>
          </w:p>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Пластмассовые пробирки с 2 мл экстрагента – не менее 20 шт;</w:t>
            </w:r>
          </w:p>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Аппликаторы для отбора проб – не менее 20 шт;</w:t>
            </w:r>
          </w:p>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Инструкция – не менее 1 шт.</w:t>
            </w:r>
          </w:p>
        </w:tc>
        <w:tc>
          <w:tcPr>
            <w:tcW w:w="322"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w:t>
            </w:r>
          </w:p>
        </w:tc>
        <w:tc>
          <w:tcPr>
            <w:tcW w:w="505"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29"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21"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275"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21"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r>
      <w:tr w:rsidR="005A63D5" w:rsidRPr="007D43A2" w:rsidTr="006A5D76">
        <w:trPr>
          <w:trHeight w:val="402"/>
        </w:trPr>
        <w:tc>
          <w:tcPr>
            <w:tcW w:w="138" w:type="pct"/>
            <w:vMerge/>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p>
        </w:tc>
        <w:tc>
          <w:tcPr>
            <w:tcW w:w="734"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459"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66"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871" w:type="pct"/>
            <w:shd w:val="clear" w:color="auto" w:fill="auto"/>
            <w:vAlign w:val="center"/>
          </w:tcPr>
          <w:p w:rsidR="005A63D5" w:rsidRPr="007D43A2" w:rsidRDefault="005A63D5" w:rsidP="005A63D5">
            <w:pPr>
              <w:spacing w:after="0" w:line="240" w:lineRule="auto"/>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Набор хранить при температуре от 4 до 30°C в герметично закупоренной фабричной упаковке.</w:t>
            </w:r>
          </w:p>
        </w:tc>
        <w:tc>
          <w:tcPr>
            <w:tcW w:w="459"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Соответствует</w:t>
            </w:r>
          </w:p>
        </w:tc>
        <w:tc>
          <w:tcPr>
            <w:tcW w:w="322"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w:t>
            </w:r>
          </w:p>
        </w:tc>
        <w:tc>
          <w:tcPr>
            <w:tcW w:w="505"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9"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21"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275"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21"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r>
      <w:tr w:rsidR="005A63D5" w:rsidRPr="007D43A2" w:rsidTr="006A5D76">
        <w:trPr>
          <w:trHeight w:val="402"/>
        </w:trPr>
        <w:tc>
          <w:tcPr>
            <w:tcW w:w="138" w:type="pct"/>
            <w:vMerge/>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p>
        </w:tc>
        <w:tc>
          <w:tcPr>
            <w:tcW w:w="734"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459"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66"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871" w:type="pct"/>
            <w:shd w:val="clear" w:color="auto" w:fill="auto"/>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Тест стабилен до истечения срока хранения, указанного на этикетке.</w:t>
            </w:r>
          </w:p>
        </w:tc>
        <w:tc>
          <w:tcPr>
            <w:tcW w:w="459"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Соответствует</w:t>
            </w:r>
          </w:p>
        </w:tc>
        <w:tc>
          <w:tcPr>
            <w:tcW w:w="322"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w:t>
            </w:r>
          </w:p>
        </w:tc>
        <w:tc>
          <w:tcPr>
            <w:tcW w:w="505" w:type="pct"/>
            <w:vAlign w:val="center"/>
          </w:tcPr>
          <w:p w:rsidR="005A63D5" w:rsidRPr="007D43A2" w:rsidRDefault="005A63D5" w:rsidP="00002500">
            <w:pPr>
              <w:spacing w:after="0" w:line="240" w:lineRule="auto"/>
              <w:jc w:val="center"/>
              <w:rPr>
                <w:rFonts w:ascii="Times New Roman" w:eastAsia="Times New Roman" w:hAnsi="Times New Roman" w:cs="Times New Roman"/>
                <w:color w:val="000000"/>
                <w:sz w:val="16"/>
                <w:szCs w:val="16"/>
                <w:lang w:eastAsia="ru-RU"/>
              </w:rPr>
            </w:pPr>
            <w:r w:rsidRPr="007D43A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29"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21"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275"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c>
          <w:tcPr>
            <w:tcW w:w="321" w:type="pct"/>
            <w:vMerge/>
            <w:vAlign w:val="center"/>
          </w:tcPr>
          <w:p w:rsidR="005A63D5" w:rsidRPr="007D43A2" w:rsidRDefault="005A63D5" w:rsidP="00002500">
            <w:pPr>
              <w:spacing w:after="0" w:line="240" w:lineRule="auto"/>
              <w:rPr>
                <w:rFonts w:ascii="Times New Roman" w:eastAsia="Times New Roman" w:hAnsi="Times New Roman" w:cs="Times New Roman"/>
                <w:color w:val="000000"/>
                <w:sz w:val="16"/>
                <w:szCs w:val="16"/>
                <w:lang w:eastAsia="ru-RU"/>
              </w:rPr>
            </w:pPr>
          </w:p>
        </w:tc>
      </w:tr>
    </w:tbl>
    <w:p w:rsidR="00170252" w:rsidRPr="007D43A2" w:rsidRDefault="00170252" w:rsidP="000820E3">
      <w:pPr>
        <w:rPr>
          <w:rFonts w:ascii="Times New Roman" w:hAnsi="Times New Roman" w:cs="Times New Roman"/>
          <w:b/>
          <w:sz w:val="16"/>
          <w:szCs w:val="16"/>
        </w:rPr>
      </w:pPr>
    </w:p>
    <w:sectPr w:rsidR="00170252" w:rsidRPr="007D43A2" w:rsidSect="00CE7B3D">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906" w:rsidRDefault="00BB2906">
      <w:pPr>
        <w:spacing w:after="0" w:line="240" w:lineRule="auto"/>
      </w:pPr>
      <w:r>
        <w:separator/>
      </w:r>
    </w:p>
  </w:endnote>
  <w:endnote w:type="continuationSeparator" w:id="0">
    <w:p w:rsidR="00BB2906" w:rsidRDefault="00BB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2126C" w:rsidRDefault="00C2126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2126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C2126C">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2126C">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2126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2126C">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A5D76">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906" w:rsidRDefault="00BB2906">
      <w:pPr>
        <w:spacing w:after="0" w:line="240" w:lineRule="auto"/>
      </w:pPr>
      <w:r>
        <w:separator/>
      </w:r>
    </w:p>
  </w:footnote>
  <w:footnote w:type="continuationSeparator" w:id="0">
    <w:p w:rsidR="00BB2906" w:rsidRDefault="00BB2906">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2126C" w:rsidRDefault="00C2126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2126C" w:rsidRDefault="00C2126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2126C" w:rsidRDefault="00C2126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A63D5"/>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A5D76"/>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3A2"/>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434EC"/>
    <w:rsid w:val="00B61169"/>
    <w:rsid w:val="00B664DC"/>
    <w:rsid w:val="00B666D7"/>
    <w:rsid w:val="00B66D35"/>
    <w:rsid w:val="00B67E6D"/>
    <w:rsid w:val="00B77DAE"/>
    <w:rsid w:val="00B8743B"/>
    <w:rsid w:val="00B96A23"/>
    <w:rsid w:val="00BA5FF8"/>
    <w:rsid w:val="00BB195D"/>
    <w:rsid w:val="00BB2906"/>
    <w:rsid w:val="00BC0D28"/>
    <w:rsid w:val="00BE3F70"/>
    <w:rsid w:val="00BE4CB3"/>
    <w:rsid w:val="00BF2771"/>
    <w:rsid w:val="00C1195F"/>
    <w:rsid w:val="00C134B9"/>
    <w:rsid w:val="00C14573"/>
    <w:rsid w:val="00C2126C"/>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E7B3D"/>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C95"/>
    <w:rsid w:val="00F52E6A"/>
    <w:rsid w:val="00F709FA"/>
    <w:rsid w:val="00F72D5A"/>
    <w:rsid w:val="00F73B84"/>
    <w:rsid w:val="00F84F75"/>
    <w:rsid w:val="00F904BD"/>
    <w:rsid w:val="00F92171"/>
    <w:rsid w:val="00FB1AB7"/>
    <w:rsid w:val="00FB3393"/>
    <w:rsid w:val="00FC6343"/>
    <w:rsid w:val="00FC6CB1"/>
    <w:rsid w:val="00FD4F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F7364-9894-4829-882E-F2100D24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2025-01-16T09:21:00Z</dcterms:created>
  <dcterms:modified xsi:type="dcterms:W3CDTF">2025-01-16T09:21:00Z</dcterms:modified>
</cp:coreProperties>
</file>