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603DF0" w:rsidP="007837E5">
      <w:pPr>
        <w:spacing w:after="0" w:line="240" w:lineRule="auto"/>
        <w:ind w:left="-993"/>
        <w:jc w:val="center"/>
      </w:pPr>
      <w:bookmarkStart w:id="0" w:name="УдалитьВТЗ"/>
      <w:r>
        <w:rPr>
          <w:noProof/>
          <w:lang w:eastAsia="ru-RU"/>
        </w:rPr>
        <w:drawing>
          <wp:inline distT="0" distB="0" distL="0" distR="0" wp14:anchorId="4E247988" wp14:editId="68572FB8">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27.05.2024 № 21.1-03/883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28.06.2024</w:t>
                  </w:r>
                  <w:r w:rsidRPr="00A70444">
                    <w:rPr>
                      <w:rFonts w:ascii="Times New Roman" w:hAnsi="Times New Roman" w:cs="Times New Roman"/>
                      <w:b/>
                      <w:sz w:val="24"/>
                      <w:szCs w:val="24"/>
                      <w:u w:val="single"/>
                    </w:rPr>
                    <w:fldChar w:fldCharType="end"/>
                  </w:r>
                  <w:bookmarkEnd w:id="2"/>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10"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9F2DD5">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D26C0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3"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мягкого инвентаря </w:t>
            </w:r>
            <w:r w:rsidRPr="003D1995">
              <w:rPr>
                <w:rFonts w:ascii="Times New Roman" w:hAnsi="Times New Roman" w:cs="Times New Roman"/>
                <w:b/>
                <w:sz w:val="24"/>
                <w:szCs w:val="24"/>
              </w:rPr>
              <w:fldChar w:fldCharType="end"/>
            </w:r>
            <w:bookmarkEnd w:id="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4"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5"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29.11.2024</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21.11.2024. Максимальное количество партий 5 (пять).</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менее 12 (двенадцати) месяцев с момента поставки</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5%</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5"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9"/>
          </w:p>
        </w:tc>
      </w:tr>
    </w:tbl>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710"/>
        <w:gridCol w:w="1770"/>
        <w:gridCol w:w="1914"/>
        <w:gridCol w:w="848"/>
        <w:gridCol w:w="1499"/>
        <w:gridCol w:w="775"/>
        <w:gridCol w:w="641"/>
        <w:gridCol w:w="1694"/>
        <w:gridCol w:w="1273"/>
        <w:gridCol w:w="858"/>
        <w:gridCol w:w="1161"/>
        <w:gridCol w:w="1104"/>
      </w:tblGrid>
      <w:tr w:rsidR="003D0C17" w:rsidRPr="0056422D" w:rsidTr="00772EE5">
        <w:tc>
          <w:tcPr>
            <w:tcW w:w="220"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w:t>
            </w:r>
          </w:p>
        </w:tc>
        <w:tc>
          <w:tcPr>
            <w:tcW w:w="536"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Наименование</w:t>
            </w:r>
          </w:p>
        </w:tc>
        <w:tc>
          <w:tcPr>
            <w:tcW w:w="1891" w:type="pct"/>
            <w:gridSpan w:val="4"/>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Технические характеристики</w:t>
            </w:r>
          </w:p>
        </w:tc>
        <w:tc>
          <w:tcPr>
            <w:tcW w:w="243"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Ед. изм.</w:t>
            </w:r>
          </w:p>
        </w:tc>
        <w:tc>
          <w:tcPr>
            <w:tcW w:w="201"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Кол-во</w:t>
            </w:r>
          </w:p>
        </w:tc>
        <w:tc>
          <w:tcPr>
            <w:tcW w:w="531" w:type="pct"/>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ОКПД2/</w:t>
            </w:r>
          </w:p>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КТРУ</w:t>
            </w:r>
          </w:p>
        </w:tc>
        <w:tc>
          <w:tcPr>
            <w:tcW w:w="399" w:type="pct"/>
            <w:shd w:val="clear" w:color="auto" w:fill="FFFF99"/>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Times New Roman" w:hAnsi="Times New Roman" w:cs="Times New Roman"/>
                <w:b/>
                <w:sz w:val="18"/>
                <w:szCs w:val="18"/>
              </w:rPr>
              <w:t>Страна происхождения</w:t>
            </w:r>
          </w:p>
        </w:tc>
        <w:tc>
          <w:tcPr>
            <w:tcW w:w="269" w:type="pct"/>
            <w:shd w:val="clear" w:color="auto" w:fill="FFFF99"/>
          </w:tcPr>
          <w:p w:rsidR="003D0C17" w:rsidRPr="0056422D" w:rsidRDefault="003D0C17" w:rsidP="0056422D">
            <w:pPr>
              <w:spacing w:after="0" w:line="240" w:lineRule="auto"/>
              <w:jc w:val="center"/>
              <w:rPr>
                <w:rFonts w:ascii="Times New Roman" w:eastAsia="Times New Roman" w:hAnsi="Times New Roman" w:cs="Times New Roman"/>
                <w:b/>
                <w:sz w:val="18"/>
                <w:szCs w:val="18"/>
              </w:rPr>
            </w:pPr>
            <w:r w:rsidRPr="0056422D">
              <w:rPr>
                <w:rFonts w:ascii="Times New Roman" w:eastAsia="Times New Roman" w:hAnsi="Times New Roman" w:cs="Times New Roman"/>
                <w:b/>
                <w:sz w:val="18"/>
                <w:szCs w:val="18"/>
              </w:rPr>
              <w:t xml:space="preserve">НДС </w:t>
            </w:r>
          </w:p>
          <w:p w:rsidR="003D0C17" w:rsidRPr="0056422D" w:rsidRDefault="003D0C17" w:rsidP="0056422D">
            <w:pPr>
              <w:spacing w:after="0" w:line="240" w:lineRule="auto"/>
              <w:jc w:val="center"/>
              <w:rPr>
                <w:rFonts w:ascii="Times New Roman" w:eastAsia="Times New Roman" w:hAnsi="Times New Roman" w:cs="Times New Roman"/>
                <w:b/>
                <w:sz w:val="18"/>
                <w:szCs w:val="18"/>
              </w:rPr>
            </w:pPr>
            <w:r w:rsidRPr="0056422D">
              <w:rPr>
                <w:rFonts w:ascii="Times New Roman" w:eastAsia="Times New Roman" w:hAnsi="Times New Roman" w:cs="Times New Roman"/>
                <w:b/>
                <w:sz w:val="18"/>
                <w:szCs w:val="18"/>
              </w:rPr>
              <w:t>(%)</w:t>
            </w:r>
          </w:p>
        </w:tc>
        <w:tc>
          <w:tcPr>
            <w:tcW w:w="364" w:type="pct"/>
            <w:shd w:val="clear" w:color="auto" w:fill="FFFF99"/>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Times New Roman" w:hAnsi="Times New Roman" w:cs="Times New Roman"/>
                <w:b/>
                <w:sz w:val="18"/>
                <w:szCs w:val="18"/>
              </w:rPr>
              <w:t>Цена за ед. с НДС (</w:t>
            </w:r>
            <w:proofErr w:type="spellStart"/>
            <w:r w:rsidRPr="0056422D">
              <w:rPr>
                <w:rFonts w:ascii="Times New Roman" w:eastAsia="Times New Roman" w:hAnsi="Times New Roman" w:cs="Times New Roman"/>
                <w:b/>
                <w:sz w:val="18"/>
                <w:szCs w:val="18"/>
              </w:rPr>
              <w:t>руб</w:t>
            </w:r>
            <w:proofErr w:type="spellEnd"/>
            <w:r w:rsidRPr="0056422D">
              <w:rPr>
                <w:rFonts w:ascii="Times New Roman" w:eastAsia="Times New Roman" w:hAnsi="Times New Roman" w:cs="Times New Roman"/>
                <w:b/>
                <w:sz w:val="18"/>
                <w:szCs w:val="18"/>
              </w:rPr>
              <w:t>)</w:t>
            </w:r>
          </w:p>
        </w:tc>
        <w:tc>
          <w:tcPr>
            <w:tcW w:w="346" w:type="pct"/>
            <w:shd w:val="clear" w:color="auto" w:fill="FFFF99"/>
          </w:tcPr>
          <w:p w:rsidR="003D0C17" w:rsidRPr="0056422D" w:rsidRDefault="003D0C17" w:rsidP="0056422D">
            <w:pPr>
              <w:spacing w:after="0" w:line="240" w:lineRule="auto"/>
              <w:jc w:val="center"/>
              <w:rPr>
                <w:rFonts w:ascii="Times New Roman" w:eastAsia="Times New Roman" w:hAnsi="Times New Roman" w:cs="Times New Roman"/>
                <w:b/>
                <w:sz w:val="18"/>
                <w:szCs w:val="18"/>
              </w:rPr>
            </w:pPr>
            <w:r w:rsidRPr="0056422D">
              <w:rPr>
                <w:rFonts w:ascii="Times New Roman" w:eastAsia="Times New Roman" w:hAnsi="Times New Roman" w:cs="Times New Roman"/>
                <w:b/>
                <w:sz w:val="18"/>
                <w:szCs w:val="18"/>
              </w:rPr>
              <w:t xml:space="preserve">Сумма с НДС </w:t>
            </w:r>
          </w:p>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Times New Roman" w:hAnsi="Times New Roman" w:cs="Times New Roman"/>
                <w:b/>
                <w:sz w:val="18"/>
                <w:szCs w:val="18"/>
              </w:rPr>
              <w:t>(</w:t>
            </w:r>
            <w:proofErr w:type="spellStart"/>
            <w:r w:rsidRPr="0056422D">
              <w:rPr>
                <w:rFonts w:ascii="Times New Roman" w:eastAsia="Times New Roman" w:hAnsi="Times New Roman" w:cs="Times New Roman"/>
                <w:b/>
                <w:sz w:val="18"/>
                <w:szCs w:val="18"/>
              </w:rPr>
              <w:t>руб</w:t>
            </w:r>
            <w:proofErr w:type="spellEnd"/>
            <w:r w:rsidRPr="0056422D">
              <w:rPr>
                <w:rFonts w:ascii="Times New Roman" w:eastAsia="Times New Roman" w:hAnsi="Times New Roman" w:cs="Times New Roman"/>
                <w:b/>
                <w:sz w:val="18"/>
                <w:szCs w:val="18"/>
              </w:rPr>
              <w:t>)</w:t>
            </w:r>
          </w:p>
        </w:tc>
      </w:tr>
      <w:tr w:rsidR="003D0C17" w:rsidRPr="0056422D" w:rsidTr="00772EE5">
        <w:tc>
          <w:tcPr>
            <w:tcW w:w="220" w:type="pct"/>
            <w:vMerge w:val="restar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1</w:t>
            </w:r>
          </w:p>
        </w:tc>
        <w:tc>
          <w:tcPr>
            <w:tcW w:w="536" w:type="pct"/>
            <w:vMerge w:val="restart"/>
            <w:shd w:val="clear" w:color="FFFFFF" w:fill="auto"/>
          </w:tcPr>
          <w:p w:rsidR="003D0C17" w:rsidRPr="0056422D" w:rsidRDefault="003D0C17" w:rsidP="0056422D">
            <w:pPr>
              <w:spacing w:after="0" w:line="240" w:lineRule="auto"/>
              <w:rPr>
                <w:rFonts w:ascii="Times New Roman" w:eastAsia="Calibri" w:hAnsi="Times New Roman" w:cs="Times New Roman"/>
                <w:b/>
                <w:sz w:val="18"/>
                <w:szCs w:val="18"/>
              </w:rPr>
            </w:pPr>
            <w:r w:rsidRPr="0056422D">
              <w:rPr>
                <w:rFonts w:ascii="Times New Roman" w:eastAsia="Calibri" w:hAnsi="Times New Roman" w:cs="Times New Roman"/>
                <w:b/>
                <w:sz w:val="18"/>
                <w:szCs w:val="18"/>
              </w:rPr>
              <w:t>Подушка</w:t>
            </w:r>
          </w:p>
        </w:tc>
        <w:tc>
          <w:tcPr>
            <w:tcW w:w="555"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 xml:space="preserve">Наименование </w:t>
            </w:r>
          </w:p>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характеристики</w:t>
            </w:r>
          </w:p>
        </w:tc>
        <w:tc>
          <w:tcPr>
            <w:tcW w:w="600"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 xml:space="preserve">Значение </w:t>
            </w:r>
          </w:p>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характеристики</w:t>
            </w:r>
          </w:p>
          <w:p w:rsidR="003D0C17" w:rsidRPr="0056422D" w:rsidRDefault="003D0C17" w:rsidP="0056422D">
            <w:pPr>
              <w:spacing w:after="0" w:line="240" w:lineRule="auto"/>
              <w:jc w:val="center"/>
              <w:rPr>
                <w:rFonts w:ascii="Times New Roman" w:eastAsia="Calibri" w:hAnsi="Times New Roman" w:cs="Times New Roman"/>
                <w:sz w:val="18"/>
                <w:szCs w:val="18"/>
              </w:rPr>
            </w:pPr>
          </w:p>
        </w:tc>
        <w:tc>
          <w:tcPr>
            <w:tcW w:w="266"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Ед.</w:t>
            </w:r>
          </w:p>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изм.</w:t>
            </w:r>
          </w:p>
        </w:tc>
        <w:tc>
          <w:tcPr>
            <w:tcW w:w="470" w:type="pc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Инструкция по заполнению характеристик в заявке</w:t>
            </w:r>
          </w:p>
        </w:tc>
        <w:tc>
          <w:tcPr>
            <w:tcW w:w="243" w:type="pct"/>
            <w:vMerge w:val="restart"/>
            <w:shd w:val="clear" w:color="FFFFFF" w:fill="auto"/>
          </w:tcPr>
          <w:p w:rsidR="003D0C17" w:rsidRPr="0056422D" w:rsidRDefault="003D0C17" w:rsidP="0056422D">
            <w:pPr>
              <w:spacing w:after="0" w:line="240" w:lineRule="auto"/>
              <w:jc w:val="center"/>
              <w:rPr>
                <w:rFonts w:ascii="Times New Roman" w:eastAsia="Calibri" w:hAnsi="Times New Roman" w:cs="Times New Roman"/>
                <w:b/>
                <w:sz w:val="18"/>
                <w:szCs w:val="18"/>
              </w:rPr>
            </w:pPr>
            <w:proofErr w:type="spellStart"/>
            <w:r w:rsidRPr="0056422D">
              <w:rPr>
                <w:rFonts w:ascii="Times New Roman" w:eastAsia="Calibri" w:hAnsi="Times New Roman" w:cs="Times New Roman"/>
                <w:b/>
                <w:sz w:val="18"/>
                <w:szCs w:val="18"/>
              </w:rPr>
              <w:t>шт</w:t>
            </w:r>
            <w:proofErr w:type="spellEnd"/>
          </w:p>
        </w:tc>
        <w:tc>
          <w:tcPr>
            <w:tcW w:w="201" w:type="pct"/>
            <w:vMerge w:val="restart"/>
            <w:shd w:val="clear" w:color="FFFFFF" w:fill="auto"/>
          </w:tcPr>
          <w:p w:rsidR="003D0C17" w:rsidRPr="0056422D" w:rsidRDefault="00D22441" w:rsidP="00295B9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r w:rsidR="00295B9E">
              <w:rPr>
                <w:rFonts w:ascii="Times New Roman" w:eastAsia="Calibri" w:hAnsi="Times New Roman" w:cs="Times New Roman"/>
                <w:b/>
                <w:sz w:val="18"/>
                <w:szCs w:val="18"/>
              </w:rPr>
              <w:t>8</w:t>
            </w:r>
            <w:r>
              <w:rPr>
                <w:rFonts w:ascii="Times New Roman" w:eastAsia="Calibri" w:hAnsi="Times New Roman" w:cs="Times New Roman"/>
                <w:b/>
                <w:sz w:val="18"/>
                <w:szCs w:val="18"/>
              </w:rPr>
              <w:t>0</w:t>
            </w:r>
          </w:p>
        </w:tc>
        <w:tc>
          <w:tcPr>
            <w:tcW w:w="531" w:type="pct"/>
            <w:vMerge w:val="restart"/>
          </w:tcPr>
          <w:p w:rsidR="003D0C17" w:rsidRPr="0056422D" w:rsidRDefault="003D0C17"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13.92.24.140-00000002</w:t>
            </w:r>
          </w:p>
        </w:tc>
        <w:tc>
          <w:tcPr>
            <w:tcW w:w="399" w:type="pct"/>
            <w:vMerge w:val="restart"/>
            <w:shd w:val="clear" w:color="auto" w:fill="FFFF99"/>
          </w:tcPr>
          <w:p w:rsidR="003D0C17" w:rsidRPr="0056422D" w:rsidRDefault="003D0C17" w:rsidP="0056422D">
            <w:pPr>
              <w:spacing w:after="0" w:line="240" w:lineRule="auto"/>
              <w:jc w:val="center"/>
              <w:rPr>
                <w:rFonts w:ascii="Times New Roman" w:eastAsia="Times New Roman" w:hAnsi="Times New Roman" w:cs="Times New Roman"/>
                <w:b/>
                <w:sz w:val="18"/>
                <w:szCs w:val="18"/>
              </w:rPr>
            </w:pPr>
          </w:p>
        </w:tc>
        <w:tc>
          <w:tcPr>
            <w:tcW w:w="269" w:type="pct"/>
            <w:vMerge w:val="restart"/>
            <w:shd w:val="clear" w:color="auto" w:fill="FFFF99"/>
          </w:tcPr>
          <w:p w:rsidR="003D0C17" w:rsidRPr="0056422D" w:rsidRDefault="003D0C17" w:rsidP="0056422D">
            <w:pPr>
              <w:spacing w:after="0" w:line="240" w:lineRule="auto"/>
              <w:jc w:val="center"/>
              <w:rPr>
                <w:rFonts w:ascii="Times New Roman" w:eastAsia="Times New Roman" w:hAnsi="Times New Roman" w:cs="Times New Roman"/>
                <w:b/>
                <w:sz w:val="18"/>
                <w:szCs w:val="18"/>
              </w:rPr>
            </w:pPr>
          </w:p>
        </w:tc>
        <w:tc>
          <w:tcPr>
            <w:tcW w:w="364" w:type="pct"/>
            <w:vMerge w:val="restart"/>
            <w:shd w:val="clear" w:color="auto" w:fill="FFFF99"/>
          </w:tcPr>
          <w:p w:rsidR="003D0C17" w:rsidRPr="0056422D" w:rsidRDefault="003D0C17" w:rsidP="0056422D">
            <w:pPr>
              <w:spacing w:after="0" w:line="240" w:lineRule="auto"/>
              <w:jc w:val="center"/>
              <w:rPr>
                <w:rFonts w:ascii="Times New Roman" w:eastAsia="Times New Roman" w:hAnsi="Times New Roman" w:cs="Times New Roman"/>
                <w:b/>
                <w:sz w:val="18"/>
                <w:szCs w:val="18"/>
              </w:rPr>
            </w:pPr>
          </w:p>
        </w:tc>
        <w:tc>
          <w:tcPr>
            <w:tcW w:w="346" w:type="pct"/>
            <w:vMerge w:val="restart"/>
            <w:shd w:val="clear" w:color="auto" w:fill="FFFF99"/>
          </w:tcPr>
          <w:p w:rsidR="003D0C17" w:rsidRPr="0056422D" w:rsidRDefault="003D0C17"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Длина</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eastAsia="Calibri" w:hAnsi="Times New Roman" w:cs="Times New Roman"/>
                <w:sz w:val="18"/>
                <w:szCs w:val="18"/>
              </w:rPr>
              <w:t>&gt; 65  и  ≤ 70</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eastAsia="Calibri" w:hAnsi="Times New Roman" w:cs="Times New Roman"/>
                <w:sz w:val="18"/>
                <w:szCs w:val="18"/>
              </w:rPr>
              <w:t>см</w:t>
            </w:r>
          </w:p>
        </w:tc>
        <w:tc>
          <w:tcPr>
            <w:tcW w:w="470"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 xml:space="preserve">Участник </w:t>
            </w:r>
            <w:r w:rsidRPr="0056422D">
              <w:rPr>
                <w:rFonts w:ascii="Times New Roman" w:eastAsia="Calibri" w:hAnsi="Times New Roman" w:cs="Times New Roman"/>
                <w:sz w:val="18"/>
                <w:szCs w:val="18"/>
              </w:rPr>
              <w:lastRenderedPageBreak/>
              <w:t>закупки указывает в заявке конкретное значение характеристики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Тип наполнителя</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roofErr w:type="spellStart"/>
            <w:r w:rsidRPr="0056422D">
              <w:rPr>
                <w:rFonts w:ascii="Times New Roman" w:eastAsia="Calibri" w:hAnsi="Times New Roman" w:cs="Times New Roman"/>
                <w:sz w:val="18"/>
                <w:szCs w:val="18"/>
              </w:rPr>
              <w:t>Искуственный</w:t>
            </w:r>
            <w:proofErr w:type="spellEnd"/>
            <w:r w:rsidRPr="0056422D">
              <w:rPr>
                <w:rFonts w:ascii="Times New Roman" w:eastAsia="Calibri" w:hAnsi="Times New Roman" w:cs="Times New Roman"/>
                <w:sz w:val="18"/>
                <w:szCs w:val="18"/>
              </w:rPr>
              <w:tab/>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Ширина</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eastAsia="Calibri" w:hAnsi="Times New Roman" w:cs="Times New Roman"/>
                <w:sz w:val="18"/>
                <w:szCs w:val="18"/>
              </w:rPr>
              <w:t>&gt; 65  и  ≤ 70</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eastAsia="Calibri" w:hAnsi="Times New Roman" w:cs="Times New Roman"/>
                <w:sz w:val="18"/>
                <w:szCs w:val="18"/>
              </w:rPr>
              <w:t>см</w:t>
            </w:r>
          </w:p>
        </w:tc>
        <w:tc>
          <w:tcPr>
            <w:tcW w:w="470"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Участник закупки указывает в заявке конкретное значение характеристики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1891" w:type="pct"/>
            <w:gridSpan w:val="4"/>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r w:rsidRPr="0056422D">
              <w:rPr>
                <w:rFonts w:ascii="Times New Roman" w:eastAsia="Calibri" w:hAnsi="Times New Roman" w:cs="Times New Roman"/>
                <w:b/>
                <w:sz w:val="18"/>
                <w:szCs w:val="18"/>
              </w:rPr>
              <w:t>Дополнительные характеристики</w:t>
            </w:r>
            <w:r w:rsidRPr="0056422D">
              <w:rPr>
                <w:rFonts w:ascii="Times New Roman" w:eastAsia="Calibri" w:hAnsi="Times New Roman" w:cs="Times New Roman"/>
                <w:b/>
                <w:sz w:val="18"/>
                <w:szCs w:val="18"/>
                <w:lang w:val="en-US"/>
              </w:rPr>
              <w:t>:</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Форма подушки</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eastAsia="Calibri" w:hAnsi="Times New Roman" w:cs="Times New Roman"/>
                <w:sz w:val="18"/>
                <w:szCs w:val="18"/>
              </w:rPr>
              <w:t>Квадратная</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Материал наполнителя</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roofErr w:type="spellStart"/>
            <w:r w:rsidRPr="0056422D">
              <w:rPr>
                <w:rFonts w:ascii="Times New Roman" w:eastAsia="Calibri" w:hAnsi="Times New Roman" w:cs="Times New Roman"/>
                <w:sz w:val="18"/>
                <w:szCs w:val="18"/>
              </w:rPr>
              <w:t>силиконизированное</w:t>
            </w:r>
            <w:proofErr w:type="spellEnd"/>
            <w:r w:rsidRPr="0056422D">
              <w:rPr>
                <w:rFonts w:ascii="Times New Roman" w:eastAsia="Calibri" w:hAnsi="Times New Roman" w:cs="Times New Roman"/>
                <w:sz w:val="18"/>
                <w:szCs w:val="18"/>
              </w:rPr>
              <w:t xml:space="preserve"> микроволокно</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hAnsi="Times New Roman" w:cs="Times New Roman"/>
                <w:sz w:val="18"/>
                <w:szCs w:val="18"/>
              </w:rPr>
              <w:t>Наперник</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hAnsi="Times New Roman" w:cs="Times New Roman"/>
                <w:sz w:val="18"/>
                <w:szCs w:val="18"/>
              </w:rPr>
              <w:t>выполнен из 100% хлопчатобумажной ткани (тик отбеленный) плотностью не менее 182 г/</w:t>
            </w:r>
            <w:proofErr w:type="spellStart"/>
            <w:r w:rsidRPr="0056422D">
              <w:rPr>
                <w:rFonts w:ascii="Times New Roman" w:hAnsi="Times New Roman" w:cs="Times New Roman"/>
                <w:sz w:val="18"/>
                <w:szCs w:val="18"/>
              </w:rPr>
              <w:t>м.кв</w:t>
            </w:r>
            <w:proofErr w:type="spellEnd"/>
            <w:r w:rsidRPr="0056422D">
              <w:rPr>
                <w:rFonts w:ascii="Times New Roman" w:hAnsi="Times New Roman" w:cs="Times New Roman"/>
                <w:sz w:val="18"/>
                <w:szCs w:val="18"/>
              </w:rPr>
              <w:t>.</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Степень поддержки подушки</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r w:rsidRPr="0056422D">
              <w:rPr>
                <w:rFonts w:ascii="Times New Roman" w:hAnsi="Times New Roman" w:cs="Times New Roman"/>
                <w:sz w:val="18"/>
                <w:szCs w:val="18"/>
              </w:rPr>
              <w:t>средняя</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Вес подушки</w:t>
            </w:r>
          </w:p>
        </w:tc>
        <w:tc>
          <w:tcPr>
            <w:tcW w:w="600"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Не менее 1,2 кг</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Основные требования к качеству изделия</w:t>
            </w:r>
          </w:p>
        </w:tc>
        <w:tc>
          <w:tcPr>
            <w:tcW w:w="600" w:type="pct"/>
            <w:shd w:val="clear" w:color="FFFFFF" w:fill="auto"/>
          </w:tcPr>
          <w:p w:rsidR="0056422D" w:rsidRPr="0056422D" w:rsidRDefault="0056422D" w:rsidP="0056422D">
            <w:pPr>
              <w:spacing w:after="0" w:line="240" w:lineRule="auto"/>
              <w:rPr>
                <w:rFonts w:ascii="Times New Roman" w:eastAsia="Calibri" w:hAnsi="Times New Roman" w:cs="Times New Roman"/>
                <w:sz w:val="18"/>
                <w:szCs w:val="18"/>
              </w:rPr>
            </w:pPr>
            <w:proofErr w:type="spellStart"/>
            <w:r w:rsidRPr="0056422D">
              <w:rPr>
                <w:rFonts w:ascii="Times New Roman" w:eastAsia="Calibri" w:hAnsi="Times New Roman" w:cs="Times New Roman"/>
                <w:sz w:val="18"/>
                <w:szCs w:val="18"/>
              </w:rPr>
              <w:t>Гипоаллергенность</w:t>
            </w:r>
            <w:proofErr w:type="spellEnd"/>
            <w:r w:rsidRPr="0056422D">
              <w:rPr>
                <w:rFonts w:ascii="Times New Roman" w:eastAsia="Calibri" w:hAnsi="Times New Roman" w:cs="Times New Roman"/>
                <w:sz w:val="18"/>
                <w:szCs w:val="18"/>
              </w:rPr>
              <w:t>, гигроскопичность, воздухопроницаемость, не должно впитывать запах и пыль.</w:t>
            </w:r>
          </w:p>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Применяемые материалы наперника обеспечивают отсутствие миграции наполнителя в процессе использования изделия.</w:t>
            </w:r>
          </w:p>
          <w:p w:rsidR="0056422D" w:rsidRPr="0056422D" w:rsidRDefault="0056422D" w:rsidP="0056422D">
            <w:pPr>
              <w:spacing w:after="0" w:line="240" w:lineRule="auto"/>
              <w:rPr>
                <w:rFonts w:ascii="Times New Roman" w:eastAsia="Calibri" w:hAnsi="Times New Roman" w:cs="Times New Roman"/>
                <w:sz w:val="18"/>
                <w:szCs w:val="18"/>
              </w:rPr>
            </w:pPr>
            <w:r w:rsidRPr="0056422D">
              <w:rPr>
                <w:rFonts w:ascii="Times New Roman" w:hAnsi="Times New Roman" w:cs="Times New Roman"/>
                <w:sz w:val="18"/>
                <w:szCs w:val="18"/>
              </w:rPr>
              <w:t>Изделия не имеют загрязнений и посторонних запахов</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Способы обработки</w:t>
            </w:r>
          </w:p>
        </w:tc>
        <w:tc>
          <w:tcPr>
            <w:tcW w:w="60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Изделие устойчиво к стирке в температурном режиме 60°С и обработке паром в </w:t>
            </w:r>
            <w:proofErr w:type="spellStart"/>
            <w:r w:rsidRPr="0056422D">
              <w:rPr>
                <w:rFonts w:ascii="Times New Roman" w:hAnsi="Times New Roman" w:cs="Times New Roman"/>
                <w:sz w:val="18"/>
                <w:szCs w:val="18"/>
              </w:rPr>
              <w:t>дезкамере</w:t>
            </w:r>
            <w:proofErr w:type="spellEnd"/>
            <w:r w:rsidRPr="0056422D">
              <w:rPr>
                <w:rFonts w:ascii="Times New Roman" w:hAnsi="Times New Roman" w:cs="Times New Roman"/>
                <w:sz w:val="18"/>
                <w:szCs w:val="18"/>
              </w:rPr>
              <w:t>.</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Маркировка</w:t>
            </w:r>
          </w:p>
        </w:tc>
        <w:tc>
          <w:tcPr>
            <w:tcW w:w="60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Изделие </w:t>
            </w:r>
            <w:r w:rsidR="00772EE5">
              <w:rPr>
                <w:rFonts w:ascii="Times New Roman" w:hAnsi="Times New Roman" w:cs="Times New Roman"/>
                <w:sz w:val="18"/>
                <w:szCs w:val="18"/>
              </w:rPr>
              <w:t xml:space="preserve">имеет </w:t>
            </w:r>
            <w:r w:rsidRPr="0056422D">
              <w:rPr>
                <w:rFonts w:ascii="Times New Roman" w:hAnsi="Times New Roman" w:cs="Times New Roman"/>
                <w:sz w:val="18"/>
                <w:szCs w:val="18"/>
              </w:rPr>
              <w:t>этикетку, содержащую следующую информацию:</w:t>
            </w:r>
          </w:p>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наименование изделия;</w:t>
            </w:r>
          </w:p>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дата изготовления;</w:t>
            </w:r>
          </w:p>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 наименование изготовителя изделия; </w:t>
            </w:r>
          </w:p>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размер изделия;</w:t>
            </w:r>
          </w:p>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сырьевой состав и характеристики материала;</w:t>
            </w:r>
          </w:p>
          <w:p w:rsid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 страна </w:t>
            </w:r>
            <w:r w:rsidRPr="0056422D">
              <w:rPr>
                <w:rFonts w:ascii="Times New Roman" w:hAnsi="Times New Roman" w:cs="Times New Roman"/>
                <w:sz w:val="18"/>
                <w:szCs w:val="18"/>
              </w:rPr>
              <w:lastRenderedPageBreak/>
              <w:t>происхождения;</w:t>
            </w:r>
          </w:p>
          <w:p w:rsidR="00772EE5" w:rsidRPr="0056422D" w:rsidRDefault="00772EE5" w:rsidP="0056422D">
            <w:pPr>
              <w:spacing w:after="0" w:line="240" w:lineRule="auto"/>
              <w:rPr>
                <w:rFonts w:ascii="Times New Roman" w:hAnsi="Times New Roman" w:cs="Times New Roman"/>
                <w:sz w:val="18"/>
                <w:szCs w:val="18"/>
              </w:rPr>
            </w:pPr>
            <w:r>
              <w:rPr>
                <w:rFonts w:ascii="Times New Roman" w:hAnsi="Times New Roman" w:cs="Times New Roman"/>
                <w:sz w:val="18"/>
                <w:szCs w:val="18"/>
              </w:rPr>
              <w:t>- способы по уходу за изделием.</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555"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Упаковка</w:t>
            </w:r>
          </w:p>
        </w:tc>
        <w:tc>
          <w:tcPr>
            <w:tcW w:w="60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Каждое изделие находится в индивидуальной упаковке.</w:t>
            </w: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56422D" w:rsidRPr="0056422D" w:rsidRDefault="0056422D" w:rsidP="0056422D">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p>
        </w:tc>
        <w:tc>
          <w:tcPr>
            <w:tcW w:w="1891" w:type="pct"/>
            <w:gridSpan w:val="4"/>
            <w:shd w:val="clear" w:color="FFFFFF" w:fill="auto"/>
          </w:tcPr>
          <w:p w:rsidR="0056422D" w:rsidRPr="0056422D" w:rsidRDefault="0056422D" w:rsidP="0056422D">
            <w:pPr>
              <w:spacing w:after="0" w:line="240" w:lineRule="auto"/>
              <w:rPr>
                <w:rFonts w:ascii="Times New Roman" w:hAnsi="Times New Roman" w:cs="Times New Roman"/>
                <w:b/>
                <w:i/>
                <w:sz w:val="18"/>
                <w:szCs w:val="18"/>
              </w:rPr>
            </w:pPr>
            <w:r w:rsidRPr="0056422D">
              <w:rPr>
                <w:rFonts w:ascii="Times New Roman" w:hAnsi="Times New Roman" w:cs="Times New Roman"/>
                <w:b/>
                <w:i/>
                <w:sz w:val="18"/>
                <w:szCs w:val="18"/>
              </w:rPr>
              <w:t>Дополнительные характеристики в описании товара определены в соответствии с потребностью Заказчика  исходя из назначения товара и условий его использования, а именно:</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 xml:space="preserve">1. Форма подушки – исходя из имеющихся  у Заказчика комплектов постельного белья (наволочек). </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2. Тип наполнителя – для максимального сходства с натуральным, в том числе для сохранения высоких теплоизоляционных свойств и объема,  не вызывает аллергию, не впитывает посторонние запахи,</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легко восстанавливает форму.</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 xml:space="preserve">3. Тип наперника – для обеспечения необходимых </w:t>
            </w:r>
            <w:r w:rsidRPr="0056422D">
              <w:rPr>
                <w:rFonts w:ascii="Times New Roman" w:hAnsi="Times New Roman" w:cs="Times New Roman"/>
                <w:b/>
                <w:i/>
                <w:sz w:val="18"/>
                <w:szCs w:val="18"/>
              </w:rPr>
              <w:t>гигроскопичности и воздухообмена. Плотность ткани – для обеспечения прочности и износоустойчивости изделия.</w:t>
            </w:r>
            <w:r w:rsidRPr="0056422D">
              <w:rPr>
                <w:rFonts w:ascii="Times New Roman" w:eastAsia="Calibri" w:hAnsi="Times New Roman" w:cs="Times New Roman"/>
                <w:b/>
                <w:i/>
                <w:sz w:val="18"/>
                <w:szCs w:val="18"/>
              </w:rPr>
              <w:t xml:space="preserve"> </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 xml:space="preserve">4.Степень поддержки, а так же  </w:t>
            </w:r>
            <w:proofErr w:type="spellStart"/>
            <w:r w:rsidRPr="0056422D">
              <w:rPr>
                <w:rFonts w:ascii="Times New Roman" w:eastAsia="Calibri" w:hAnsi="Times New Roman" w:cs="Times New Roman"/>
                <w:b/>
                <w:i/>
                <w:sz w:val="18"/>
                <w:szCs w:val="18"/>
              </w:rPr>
              <w:t>гипоаллергенность</w:t>
            </w:r>
            <w:proofErr w:type="spellEnd"/>
            <w:r w:rsidRPr="0056422D">
              <w:rPr>
                <w:rFonts w:ascii="Times New Roman" w:eastAsia="Calibri" w:hAnsi="Times New Roman" w:cs="Times New Roman"/>
                <w:b/>
                <w:i/>
                <w:sz w:val="18"/>
                <w:szCs w:val="18"/>
              </w:rPr>
              <w:t>, гигроскопичность, воздухопроницаемость, не должно впитывать запах и пыль – для комфортного пользования изделием.</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5. Требования к весу готового изделия обусловлены необходимостью обеспечения соответствия заявленной плотности материала наполнителя.</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 xml:space="preserve">6. Устойчивость к указанным способам обработки – обусловлены внутренним положением Учреждения, в части обработки постельного белья, а так же требованиями действующих нормативных документов.    </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7. Требования к упаковке – обусловлены условиями приемки, хранения и выдачи изделий на складе.</w:t>
            </w:r>
          </w:p>
          <w:p w:rsidR="0056422D" w:rsidRPr="0056422D" w:rsidRDefault="0056422D" w:rsidP="0056422D">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t>8. Требования в части отсутствия загрязнений и посторонних запахов –для обеспечения качества изделий.</w:t>
            </w:r>
          </w:p>
          <w:p w:rsidR="0056422D" w:rsidRPr="0056422D" w:rsidRDefault="0056422D" w:rsidP="0056422D">
            <w:pPr>
              <w:spacing w:after="0" w:line="240" w:lineRule="auto"/>
              <w:rPr>
                <w:rFonts w:ascii="Times New Roman" w:hAnsi="Times New Roman" w:cs="Times New Roman"/>
                <w:b/>
                <w:i/>
                <w:sz w:val="18"/>
                <w:szCs w:val="18"/>
              </w:rPr>
            </w:pPr>
            <w:r w:rsidRPr="0056422D">
              <w:rPr>
                <w:rFonts w:ascii="Times New Roman" w:hAnsi="Times New Roman" w:cs="Times New Roman"/>
                <w:b/>
                <w:i/>
                <w:sz w:val="18"/>
                <w:szCs w:val="18"/>
              </w:rPr>
              <w:t>9. Требования в части маркировки необходимы для идентификации изделия, его размеров и  подтверждения заявленных характеристики).</w:t>
            </w:r>
          </w:p>
        </w:tc>
        <w:tc>
          <w:tcPr>
            <w:tcW w:w="243"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531" w:type="pct"/>
            <w:vMerge/>
          </w:tcPr>
          <w:p w:rsidR="0056422D" w:rsidRPr="0056422D" w:rsidRDefault="0056422D"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56422D" w:rsidRPr="0056422D" w:rsidTr="00772EE5">
        <w:tc>
          <w:tcPr>
            <w:tcW w:w="220" w:type="pct"/>
            <w:vMerge w:val="restart"/>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2</w:t>
            </w:r>
          </w:p>
        </w:tc>
        <w:tc>
          <w:tcPr>
            <w:tcW w:w="536" w:type="pct"/>
            <w:vMerge w:val="restart"/>
            <w:shd w:val="clear" w:color="FFFFFF" w:fill="auto"/>
          </w:tcPr>
          <w:p w:rsidR="0056422D" w:rsidRPr="0056422D" w:rsidRDefault="0056422D" w:rsidP="0056422D">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Покрывало</w:t>
            </w:r>
          </w:p>
        </w:tc>
        <w:tc>
          <w:tcPr>
            <w:tcW w:w="555"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 xml:space="preserve">Наименование </w:t>
            </w:r>
          </w:p>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характеристики</w:t>
            </w:r>
          </w:p>
        </w:tc>
        <w:tc>
          <w:tcPr>
            <w:tcW w:w="60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 xml:space="preserve">Значение </w:t>
            </w:r>
          </w:p>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характеристики</w:t>
            </w:r>
          </w:p>
          <w:p w:rsidR="0056422D" w:rsidRPr="0056422D" w:rsidRDefault="0056422D" w:rsidP="0056422D">
            <w:pPr>
              <w:spacing w:after="0" w:line="240" w:lineRule="auto"/>
              <w:jc w:val="center"/>
              <w:rPr>
                <w:rFonts w:ascii="Times New Roman" w:eastAsia="Calibri" w:hAnsi="Times New Roman" w:cs="Times New Roman"/>
                <w:sz w:val="18"/>
                <w:szCs w:val="18"/>
              </w:rPr>
            </w:pPr>
          </w:p>
        </w:tc>
        <w:tc>
          <w:tcPr>
            <w:tcW w:w="266"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Ед.</w:t>
            </w:r>
          </w:p>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изм.</w:t>
            </w:r>
          </w:p>
        </w:tc>
        <w:tc>
          <w:tcPr>
            <w:tcW w:w="470" w:type="pct"/>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r w:rsidRPr="0056422D">
              <w:rPr>
                <w:rFonts w:ascii="Times New Roman" w:eastAsia="Calibri" w:hAnsi="Times New Roman" w:cs="Times New Roman"/>
                <w:b/>
                <w:sz w:val="18"/>
                <w:szCs w:val="18"/>
              </w:rPr>
              <w:t>Инструкция по заполнению характеристик в заявке</w:t>
            </w:r>
          </w:p>
        </w:tc>
        <w:tc>
          <w:tcPr>
            <w:tcW w:w="243" w:type="pct"/>
            <w:vMerge w:val="restart"/>
            <w:shd w:val="clear" w:color="FFFFFF" w:fill="auto"/>
          </w:tcPr>
          <w:p w:rsidR="0056422D" w:rsidRPr="0056422D" w:rsidRDefault="0056422D" w:rsidP="0056422D">
            <w:pPr>
              <w:spacing w:after="0" w:line="240" w:lineRule="auto"/>
              <w:jc w:val="center"/>
              <w:rPr>
                <w:rFonts w:ascii="Times New Roman" w:eastAsia="Calibri" w:hAnsi="Times New Roman" w:cs="Times New Roman"/>
                <w:b/>
                <w:sz w:val="18"/>
                <w:szCs w:val="18"/>
              </w:rPr>
            </w:pPr>
            <w:proofErr w:type="spellStart"/>
            <w:r w:rsidRPr="0056422D">
              <w:rPr>
                <w:rFonts w:ascii="Times New Roman" w:eastAsia="Calibri" w:hAnsi="Times New Roman" w:cs="Times New Roman"/>
                <w:b/>
                <w:sz w:val="18"/>
                <w:szCs w:val="18"/>
              </w:rPr>
              <w:t>шт</w:t>
            </w:r>
            <w:proofErr w:type="spellEnd"/>
          </w:p>
        </w:tc>
        <w:tc>
          <w:tcPr>
            <w:tcW w:w="201" w:type="pct"/>
            <w:vMerge w:val="restart"/>
            <w:shd w:val="clear" w:color="FFFFFF" w:fill="auto"/>
          </w:tcPr>
          <w:p w:rsidR="0056422D" w:rsidRPr="0056422D" w:rsidRDefault="00D22441" w:rsidP="0056422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150</w:t>
            </w:r>
          </w:p>
        </w:tc>
        <w:tc>
          <w:tcPr>
            <w:tcW w:w="531" w:type="pct"/>
            <w:vMerge w:val="restart"/>
          </w:tcPr>
          <w:p w:rsidR="0056422D" w:rsidRPr="0056422D" w:rsidRDefault="00184D23" w:rsidP="0056422D">
            <w:pPr>
              <w:spacing w:after="0" w:line="240" w:lineRule="auto"/>
              <w:jc w:val="center"/>
              <w:rPr>
                <w:rFonts w:ascii="Times New Roman" w:eastAsia="Calibri" w:hAnsi="Times New Roman" w:cs="Times New Roman"/>
                <w:b/>
                <w:sz w:val="18"/>
                <w:szCs w:val="18"/>
              </w:rPr>
            </w:pPr>
            <w:r w:rsidRPr="00184D23">
              <w:rPr>
                <w:rFonts w:ascii="Times New Roman" w:eastAsia="Calibri" w:hAnsi="Times New Roman" w:cs="Times New Roman"/>
                <w:b/>
                <w:sz w:val="18"/>
                <w:szCs w:val="18"/>
              </w:rPr>
              <w:t>13.92.29.190-00000003</w:t>
            </w:r>
          </w:p>
        </w:tc>
        <w:tc>
          <w:tcPr>
            <w:tcW w:w="399" w:type="pct"/>
            <w:vMerge w:val="restart"/>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269" w:type="pct"/>
            <w:vMerge w:val="restart"/>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64" w:type="pct"/>
            <w:vMerge w:val="restart"/>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c>
          <w:tcPr>
            <w:tcW w:w="346" w:type="pct"/>
            <w:vMerge w:val="restart"/>
            <w:shd w:val="clear" w:color="auto" w:fill="FFFF99"/>
          </w:tcPr>
          <w:p w:rsidR="0056422D" w:rsidRPr="0056422D" w:rsidRDefault="0056422D"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r w:rsidRPr="00C111F3">
              <w:rPr>
                <w:rFonts w:ascii="Times New Roman" w:eastAsia="Calibri" w:hAnsi="Times New Roman" w:cs="Times New Roman"/>
                <w:sz w:val="18"/>
                <w:szCs w:val="18"/>
              </w:rPr>
              <w:t>Длина</w:t>
            </w:r>
          </w:p>
        </w:tc>
        <w:tc>
          <w:tcPr>
            <w:tcW w:w="600" w:type="pct"/>
            <w:shd w:val="clear" w:color="FFFFFF" w:fill="auto"/>
          </w:tcPr>
          <w:p w:rsidR="00772EE5" w:rsidRPr="0056422D" w:rsidRDefault="009358B8" w:rsidP="001B0716">
            <w:pPr>
              <w:spacing w:after="0" w:line="240" w:lineRule="auto"/>
              <w:jc w:val="center"/>
              <w:rPr>
                <w:rFonts w:ascii="Times New Roman" w:eastAsia="Calibri" w:hAnsi="Times New Roman" w:cs="Times New Roman"/>
                <w:sz w:val="18"/>
                <w:szCs w:val="18"/>
              </w:rPr>
            </w:pPr>
            <w:r w:rsidRPr="009358B8">
              <w:rPr>
                <w:rFonts w:ascii="Times New Roman" w:eastAsia="Calibri" w:hAnsi="Times New Roman" w:cs="Times New Roman"/>
                <w:sz w:val="18"/>
                <w:szCs w:val="18"/>
              </w:rPr>
              <w:t>&gt; 230  и  ≤ 240</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см</w:t>
            </w:r>
          </w:p>
        </w:tc>
        <w:tc>
          <w:tcPr>
            <w:tcW w:w="470" w:type="pct"/>
            <w:shd w:val="clear" w:color="FFFFFF" w:fill="auto"/>
          </w:tcPr>
          <w:p w:rsidR="00772EE5" w:rsidRPr="0056422D" w:rsidRDefault="00772EE5" w:rsidP="00744577">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 xml:space="preserve">Участник закупки указывает в заявке </w:t>
            </w:r>
            <w:r w:rsidRPr="0056422D">
              <w:rPr>
                <w:rFonts w:ascii="Times New Roman" w:eastAsia="Calibri" w:hAnsi="Times New Roman" w:cs="Times New Roman"/>
                <w:sz w:val="18"/>
                <w:szCs w:val="18"/>
              </w:rPr>
              <w:lastRenderedPageBreak/>
              <w:t>конкретное значение характеристики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r w:rsidRPr="00C111F3">
              <w:rPr>
                <w:rFonts w:ascii="Times New Roman" w:eastAsia="Calibri" w:hAnsi="Times New Roman" w:cs="Times New Roman"/>
                <w:sz w:val="18"/>
                <w:szCs w:val="18"/>
              </w:rPr>
              <w:t>Наличие утеплителя</w:t>
            </w:r>
          </w:p>
        </w:tc>
        <w:tc>
          <w:tcPr>
            <w:tcW w:w="600"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r w:rsidRPr="00C111F3">
              <w:rPr>
                <w:rFonts w:ascii="Times New Roman" w:eastAsia="Calibri" w:hAnsi="Times New Roman" w:cs="Times New Roman"/>
                <w:sz w:val="18"/>
                <w:szCs w:val="18"/>
              </w:rPr>
              <w:t>Одноцветное покрывало</w:t>
            </w:r>
          </w:p>
        </w:tc>
        <w:tc>
          <w:tcPr>
            <w:tcW w:w="600"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r w:rsidRPr="00C111F3">
              <w:rPr>
                <w:rFonts w:ascii="Times New Roman" w:eastAsia="Calibri" w:hAnsi="Times New Roman" w:cs="Times New Roman"/>
                <w:sz w:val="18"/>
                <w:szCs w:val="18"/>
              </w:rPr>
              <w:t>Нет</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C111F3" w:rsidRDefault="00772EE5" w:rsidP="0056422D">
            <w:pPr>
              <w:spacing w:after="0" w:line="240" w:lineRule="auto"/>
              <w:rPr>
                <w:rFonts w:ascii="Times New Roman" w:eastAsia="Calibri" w:hAnsi="Times New Roman" w:cs="Times New Roman"/>
                <w:sz w:val="18"/>
                <w:szCs w:val="18"/>
              </w:rPr>
            </w:pPr>
            <w:r w:rsidRPr="00C111F3">
              <w:rPr>
                <w:rFonts w:ascii="Times New Roman" w:eastAsia="Calibri" w:hAnsi="Times New Roman" w:cs="Times New Roman"/>
                <w:sz w:val="18"/>
                <w:szCs w:val="18"/>
              </w:rPr>
              <w:t>Тип ткани</w:t>
            </w:r>
          </w:p>
        </w:tc>
        <w:tc>
          <w:tcPr>
            <w:tcW w:w="600" w:type="pct"/>
            <w:shd w:val="clear" w:color="FFFFFF" w:fill="auto"/>
          </w:tcPr>
          <w:p w:rsidR="00772EE5" w:rsidRPr="00C111F3" w:rsidRDefault="00772EE5" w:rsidP="0056422D">
            <w:pPr>
              <w:spacing w:after="0" w:line="240" w:lineRule="auto"/>
              <w:jc w:val="center"/>
              <w:rPr>
                <w:rFonts w:ascii="Times New Roman" w:eastAsia="Calibri" w:hAnsi="Times New Roman" w:cs="Times New Roman"/>
                <w:sz w:val="18"/>
                <w:szCs w:val="18"/>
              </w:rPr>
            </w:pPr>
            <w:r w:rsidRPr="00C111F3">
              <w:rPr>
                <w:rFonts w:ascii="Times New Roman" w:eastAsia="Calibri" w:hAnsi="Times New Roman" w:cs="Times New Roman"/>
                <w:sz w:val="18"/>
                <w:szCs w:val="18"/>
              </w:rPr>
              <w:t>Сме</w:t>
            </w:r>
            <w:bookmarkStart w:id="20" w:name="_GoBack"/>
            <w:bookmarkEnd w:id="20"/>
            <w:r w:rsidRPr="00C111F3">
              <w:rPr>
                <w:rFonts w:ascii="Times New Roman" w:eastAsia="Calibri" w:hAnsi="Times New Roman" w:cs="Times New Roman"/>
                <w:sz w:val="18"/>
                <w:szCs w:val="18"/>
              </w:rPr>
              <w:t>совая</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C111F3" w:rsidRDefault="00772EE5" w:rsidP="0056422D">
            <w:pPr>
              <w:spacing w:after="0" w:line="240" w:lineRule="auto"/>
              <w:rPr>
                <w:rFonts w:ascii="Times New Roman" w:eastAsia="Calibri" w:hAnsi="Times New Roman" w:cs="Times New Roman"/>
                <w:sz w:val="18"/>
                <w:szCs w:val="18"/>
              </w:rPr>
            </w:pPr>
            <w:r w:rsidRPr="00C111F3">
              <w:rPr>
                <w:rFonts w:ascii="Times New Roman" w:eastAsia="Calibri" w:hAnsi="Times New Roman" w:cs="Times New Roman"/>
                <w:sz w:val="18"/>
                <w:szCs w:val="18"/>
              </w:rPr>
              <w:t>Ширина</w:t>
            </w:r>
          </w:p>
        </w:tc>
        <w:tc>
          <w:tcPr>
            <w:tcW w:w="600" w:type="pct"/>
            <w:shd w:val="clear" w:color="FFFFFF" w:fill="auto"/>
          </w:tcPr>
          <w:p w:rsidR="00772EE5" w:rsidRPr="00C111F3" w:rsidRDefault="00EB42BD" w:rsidP="001B0716">
            <w:pPr>
              <w:spacing w:after="0" w:line="240" w:lineRule="auto"/>
              <w:jc w:val="center"/>
              <w:rPr>
                <w:rFonts w:ascii="Times New Roman" w:eastAsia="Calibri" w:hAnsi="Times New Roman" w:cs="Times New Roman"/>
                <w:sz w:val="18"/>
                <w:szCs w:val="18"/>
              </w:rPr>
            </w:pPr>
            <w:r w:rsidRPr="00EB42BD">
              <w:rPr>
                <w:rFonts w:ascii="Times New Roman" w:eastAsia="Calibri" w:hAnsi="Times New Roman" w:cs="Times New Roman"/>
                <w:sz w:val="18"/>
                <w:szCs w:val="18"/>
              </w:rPr>
              <w:t>&gt; 150 и ≤ 160</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см</w:t>
            </w:r>
          </w:p>
        </w:tc>
        <w:tc>
          <w:tcPr>
            <w:tcW w:w="470" w:type="pct"/>
            <w:shd w:val="clear" w:color="FFFFFF" w:fill="auto"/>
          </w:tcPr>
          <w:p w:rsidR="00772EE5" w:rsidRPr="0056422D" w:rsidRDefault="00772EE5" w:rsidP="00744577">
            <w:pPr>
              <w:spacing w:after="0" w:line="240" w:lineRule="auto"/>
              <w:rPr>
                <w:rFonts w:ascii="Times New Roman" w:eastAsia="Calibri" w:hAnsi="Times New Roman" w:cs="Times New Roman"/>
                <w:sz w:val="18"/>
                <w:szCs w:val="18"/>
              </w:rPr>
            </w:pPr>
            <w:r w:rsidRPr="0056422D">
              <w:rPr>
                <w:rFonts w:ascii="Times New Roman" w:eastAsia="Calibri" w:hAnsi="Times New Roman" w:cs="Times New Roman"/>
                <w:sz w:val="18"/>
                <w:szCs w:val="18"/>
              </w:rPr>
              <w:t>Участник закупки указывает в заявке конкретное значение характеристики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rPr>
          <w:trHeight w:val="56"/>
        </w:trPr>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1891" w:type="pct"/>
            <w:gridSpan w:val="4"/>
            <w:shd w:val="clear" w:color="FFFFFF" w:fill="auto"/>
          </w:tcPr>
          <w:p w:rsidR="00772EE5" w:rsidRPr="0056422D" w:rsidRDefault="00772EE5" w:rsidP="0056422D">
            <w:pPr>
              <w:spacing w:after="0" w:line="240" w:lineRule="auto"/>
              <w:rPr>
                <w:rFonts w:ascii="Times New Roman" w:eastAsia="Calibri" w:hAnsi="Times New Roman" w:cs="Times New Roman"/>
                <w:b/>
                <w:sz w:val="18"/>
                <w:szCs w:val="18"/>
                <w:u w:val="single"/>
              </w:rPr>
            </w:pPr>
            <w:r w:rsidRPr="00C111F3">
              <w:rPr>
                <w:rFonts w:ascii="Times New Roman" w:eastAsia="Calibri" w:hAnsi="Times New Roman" w:cs="Times New Roman"/>
                <w:b/>
                <w:sz w:val="18"/>
                <w:szCs w:val="18"/>
                <w:u w:val="single"/>
              </w:rPr>
              <w:t>Дополнительные характеристики: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Default="00772EE5" w:rsidP="0056422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Состав ткани</w:t>
            </w:r>
          </w:p>
        </w:tc>
        <w:tc>
          <w:tcPr>
            <w:tcW w:w="600" w:type="pct"/>
            <w:shd w:val="clear" w:color="FFFFFF" w:fill="auto"/>
          </w:tcPr>
          <w:p w:rsidR="00772EE5" w:rsidRDefault="00772EE5" w:rsidP="0056422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Хлопок и полиэфир</w:t>
            </w:r>
          </w:p>
        </w:tc>
        <w:tc>
          <w:tcPr>
            <w:tcW w:w="266" w:type="pct"/>
            <w:shd w:val="clear" w:color="FFFFFF" w:fill="auto"/>
          </w:tcPr>
          <w:p w:rsidR="00772EE5" w:rsidRDefault="00772EE5" w:rsidP="0056422D">
            <w:pPr>
              <w:spacing w:after="0" w:line="240" w:lineRule="auto"/>
              <w:rPr>
                <w:rFonts w:ascii="Times New Roman" w:eastAsia="Calibri" w:hAnsi="Times New Roman" w:cs="Times New Roman"/>
                <w:sz w:val="18"/>
                <w:szCs w:val="18"/>
              </w:rPr>
            </w:pPr>
          </w:p>
        </w:tc>
        <w:tc>
          <w:tcPr>
            <w:tcW w:w="470" w:type="pct"/>
            <w:shd w:val="clear" w:color="FFFFFF" w:fill="auto"/>
          </w:tcPr>
          <w:p w:rsidR="00772EE5" w:rsidRPr="0056422D" w:rsidRDefault="00772EE5" w:rsidP="0056422D">
            <w:pPr>
              <w:spacing w:after="0" w:line="240" w:lineRule="auto"/>
              <w:rPr>
                <w:rFonts w:ascii="Times New Roman" w:hAnsi="Times New Roman" w:cs="Times New Roman"/>
                <w:sz w:val="18"/>
                <w:szCs w:val="18"/>
              </w:rPr>
            </w:pPr>
            <w:r w:rsidRPr="00772EE5">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1B0716" w:rsidRPr="0056422D" w:rsidTr="00772EE5">
        <w:tc>
          <w:tcPr>
            <w:tcW w:w="220" w:type="pct"/>
            <w:vMerge/>
            <w:shd w:val="clear" w:color="FFFFFF" w:fill="auto"/>
          </w:tcPr>
          <w:p w:rsidR="001B0716" w:rsidRPr="0056422D" w:rsidRDefault="001B0716"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1B0716" w:rsidRPr="0056422D" w:rsidRDefault="001B0716"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1B0716" w:rsidRDefault="005A46FA" w:rsidP="001B07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Тип полотна</w:t>
            </w:r>
          </w:p>
        </w:tc>
        <w:tc>
          <w:tcPr>
            <w:tcW w:w="600" w:type="pct"/>
            <w:shd w:val="clear" w:color="FFFFFF" w:fill="auto"/>
          </w:tcPr>
          <w:p w:rsidR="001B0716" w:rsidRDefault="005A46FA" w:rsidP="0056422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Гобелен</w:t>
            </w:r>
          </w:p>
        </w:tc>
        <w:tc>
          <w:tcPr>
            <w:tcW w:w="266" w:type="pct"/>
            <w:shd w:val="clear" w:color="FFFFFF" w:fill="auto"/>
          </w:tcPr>
          <w:p w:rsidR="001B0716" w:rsidRDefault="001B0716" w:rsidP="0056422D">
            <w:pPr>
              <w:spacing w:after="0" w:line="240" w:lineRule="auto"/>
              <w:rPr>
                <w:rFonts w:ascii="Times New Roman" w:eastAsia="Calibri" w:hAnsi="Times New Roman" w:cs="Times New Roman"/>
                <w:sz w:val="18"/>
                <w:szCs w:val="18"/>
              </w:rPr>
            </w:pPr>
          </w:p>
        </w:tc>
        <w:tc>
          <w:tcPr>
            <w:tcW w:w="470" w:type="pct"/>
            <w:shd w:val="clear" w:color="FFFFFF" w:fill="auto"/>
          </w:tcPr>
          <w:p w:rsidR="001B0716" w:rsidRPr="00772EE5" w:rsidRDefault="001B0716" w:rsidP="0056422D">
            <w:pPr>
              <w:spacing w:after="0" w:line="240" w:lineRule="auto"/>
              <w:rPr>
                <w:rFonts w:ascii="Times New Roman" w:hAnsi="Times New Roman" w:cs="Times New Roman"/>
                <w:sz w:val="18"/>
                <w:szCs w:val="18"/>
              </w:rPr>
            </w:pPr>
            <w:r w:rsidRPr="001B0716">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1B0716" w:rsidRPr="0056422D" w:rsidRDefault="001B0716"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1B0716" w:rsidRPr="0056422D" w:rsidRDefault="001B0716" w:rsidP="0056422D">
            <w:pPr>
              <w:spacing w:after="0" w:line="240" w:lineRule="auto"/>
              <w:jc w:val="center"/>
              <w:rPr>
                <w:rFonts w:ascii="Times New Roman" w:eastAsia="Calibri" w:hAnsi="Times New Roman" w:cs="Times New Roman"/>
                <w:b/>
                <w:sz w:val="18"/>
                <w:szCs w:val="18"/>
              </w:rPr>
            </w:pPr>
          </w:p>
        </w:tc>
        <w:tc>
          <w:tcPr>
            <w:tcW w:w="531" w:type="pct"/>
            <w:vMerge/>
          </w:tcPr>
          <w:p w:rsidR="001B0716" w:rsidRPr="0056422D" w:rsidRDefault="001B0716"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1B0716" w:rsidRPr="0056422D" w:rsidRDefault="001B0716"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1B0716" w:rsidRPr="0056422D" w:rsidRDefault="001B0716"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1B0716" w:rsidRPr="0056422D" w:rsidRDefault="001B0716"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1B0716" w:rsidRPr="0056422D" w:rsidRDefault="001B0716"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56422D">
            <w:pPr>
              <w:spacing w:after="0" w:line="240" w:lineRule="auto"/>
              <w:rPr>
                <w:rFonts w:ascii="Times New Roman" w:hAnsi="Times New Roman" w:cs="Times New Roman"/>
                <w:sz w:val="18"/>
                <w:szCs w:val="18"/>
              </w:rPr>
            </w:pPr>
            <w:r>
              <w:rPr>
                <w:rFonts w:ascii="Times New Roman" w:hAnsi="Times New Roman" w:cs="Times New Roman"/>
                <w:sz w:val="18"/>
                <w:szCs w:val="18"/>
              </w:rPr>
              <w:t>Плотность ткани</w:t>
            </w:r>
          </w:p>
        </w:tc>
        <w:tc>
          <w:tcPr>
            <w:tcW w:w="600" w:type="pct"/>
            <w:shd w:val="clear" w:color="FFFFFF" w:fill="auto"/>
          </w:tcPr>
          <w:p w:rsidR="00772EE5" w:rsidRPr="00772EE5" w:rsidRDefault="00772EE5" w:rsidP="00772EE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 менее 300 г</w:t>
            </w:r>
            <w:r w:rsidRPr="00772EE5">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м.кв</w:t>
            </w:r>
            <w:proofErr w:type="spellEnd"/>
            <w:r>
              <w:rPr>
                <w:rFonts w:ascii="Times New Roman" w:eastAsia="Calibri" w:hAnsi="Times New Roman" w:cs="Times New Roman"/>
                <w:sz w:val="18"/>
                <w:szCs w:val="18"/>
              </w:rPr>
              <w:t>.</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Значение характеристики не может </w:t>
            </w:r>
            <w:r w:rsidRPr="0056422D">
              <w:rPr>
                <w:rFonts w:ascii="Times New Roman" w:hAnsi="Times New Roman" w:cs="Times New Roman"/>
                <w:sz w:val="18"/>
                <w:szCs w:val="18"/>
              </w:rPr>
              <w:lastRenderedPageBreak/>
              <w:t>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56422D">
            <w:pPr>
              <w:spacing w:after="0" w:line="240" w:lineRule="auto"/>
              <w:rPr>
                <w:rFonts w:ascii="Times New Roman" w:hAnsi="Times New Roman" w:cs="Times New Roman"/>
                <w:sz w:val="18"/>
                <w:szCs w:val="18"/>
              </w:rPr>
            </w:pPr>
            <w:r>
              <w:rPr>
                <w:rFonts w:ascii="Times New Roman" w:hAnsi="Times New Roman" w:cs="Times New Roman"/>
                <w:sz w:val="18"/>
                <w:szCs w:val="18"/>
              </w:rPr>
              <w:t>Вес изделия</w:t>
            </w:r>
          </w:p>
        </w:tc>
        <w:tc>
          <w:tcPr>
            <w:tcW w:w="600" w:type="pct"/>
            <w:shd w:val="clear" w:color="FFFFFF" w:fill="auto"/>
          </w:tcPr>
          <w:p w:rsidR="00772EE5" w:rsidRPr="0056422D" w:rsidRDefault="00772EE5" w:rsidP="00772EE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 менее 1000 грамм</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Способы обработки</w:t>
            </w:r>
          </w:p>
        </w:tc>
        <w:tc>
          <w:tcPr>
            <w:tcW w:w="600" w:type="pct"/>
            <w:shd w:val="clear" w:color="FFFFFF" w:fill="auto"/>
          </w:tcPr>
          <w:p w:rsidR="00772EE5" w:rsidRPr="0056422D" w:rsidRDefault="00772EE5" w:rsidP="00772EE5">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Изделие устойчиво к стирке в температурном режиме 60°С и </w:t>
            </w:r>
            <w:r>
              <w:rPr>
                <w:rFonts w:ascii="Times New Roman" w:hAnsi="Times New Roman" w:cs="Times New Roman"/>
                <w:sz w:val="18"/>
                <w:szCs w:val="18"/>
              </w:rPr>
              <w:t>сушке в сушильной машине</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Маркировка</w:t>
            </w:r>
          </w:p>
        </w:tc>
        <w:tc>
          <w:tcPr>
            <w:tcW w:w="60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Изделие </w:t>
            </w:r>
            <w:r>
              <w:rPr>
                <w:rFonts w:ascii="Times New Roman" w:hAnsi="Times New Roman" w:cs="Times New Roman"/>
                <w:sz w:val="18"/>
                <w:szCs w:val="18"/>
              </w:rPr>
              <w:t xml:space="preserve">имеет </w:t>
            </w:r>
            <w:r w:rsidRPr="0056422D">
              <w:rPr>
                <w:rFonts w:ascii="Times New Roman" w:hAnsi="Times New Roman" w:cs="Times New Roman"/>
                <w:sz w:val="18"/>
                <w:szCs w:val="18"/>
              </w:rPr>
              <w:t>этикетку, содержащую следующую информацию:</w:t>
            </w:r>
          </w:p>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наименование изделия;</w:t>
            </w:r>
          </w:p>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дата изготовления;</w:t>
            </w:r>
          </w:p>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xml:space="preserve">- наименование изготовителя изделия; </w:t>
            </w:r>
          </w:p>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размер изделия;</w:t>
            </w:r>
          </w:p>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сырьевой состав и характеристики материала;</w:t>
            </w:r>
          </w:p>
          <w:p w:rsidR="00772EE5"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 страна происхождения;</w:t>
            </w:r>
          </w:p>
          <w:p w:rsidR="00772EE5" w:rsidRPr="0056422D" w:rsidRDefault="00772EE5" w:rsidP="00744577">
            <w:pPr>
              <w:spacing w:after="0" w:line="240" w:lineRule="auto"/>
              <w:rPr>
                <w:rFonts w:ascii="Times New Roman" w:hAnsi="Times New Roman" w:cs="Times New Roman"/>
                <w:sz w:val="18"/>
                <w:szCs w:val="18"/>
              </w:rPr>
            </w:pPr>
            <w:r>
              <w:rPr>
                <w:rFonts w:ascii="Times New Roman" w:hAnsi="Times New Roman" w:cs="Times New Roman"/>
                <w:sz w:val="18"/>
                <w:szCs w:val="18"/>
              </w:rPr>
              <w:t>- способы по уходу за изделием.</w:t>
            </w:r>
          </w:p>
        </w:tc>
        <w:tc>
          <w:tcPr>
            <w:tcW w:w="266" w:type="pct"/>
            <w:shd w:val="clear" w:color="FFFFFF" w:fill="auto"/>
          </w:tcPr>
          <w:p w:rsidR="00772EE5" w:rsidRPr="0056422D" w:rsidRDefault="00772EE5" w:rsidP="0056422D">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555"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Упаковка</w:t>
            </w:r>
          </w:p>
        </w:tc>
        <w:tc>
          <w:tcPr>
            <w:tcW w:w="600" w:type="pct"/>
            <w:shd w:val="clear" w:color="FFFFFF" w:fill="auto"/>
          </w:tcPr>
          <w:p w:rsidR="00772EE5"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Каждое изделие находится в индивидуальной упаковке.</w:t>
            </w:r>
          </w:p>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Изделия не имеют загрязнений и посторонних запахов</w:t>
            </w:r>
          </w:p>
        </w:tc>
        <w:tc>
          <w:tcPr>
            <w:tcW w:w="266" w:type="pct"/>
            <w:shd w:val="clear" w:color="FFFFFF" w:fill="auto"/>
          </w:tcPr>
          <w:p w:rsidR="00772EE5" w:rsidRPr="0056422D" w:rsidRDefault="00772EE5" w:rsidP="00744577">
            <w:pPr>
              <w:spacing w:after="0" w:line="240" w:lineRule="auto"/>
              <w:jc w:val="center"/>
              <w:rPr>
                <w:rFonts w:ascii="Times New Roman" w:eastAsia="Calibri" w:hAnsi="Times New Roman" w:cs="Times New Roman"/>
                <w:sz w:val="18"/>
                <w:szCs w:val="18"/>
              </w:rPr>
            </w:pPr>
          </w:p>
        </w:tc>
        <w:tc>
          <w:tcPr>
            <w:tcW w:w="470" w:type="pct"/>
            <w:shd w:val="clear" w:color="FFFFFF" w:fill="auto"/>
          </w:tcPr>
          <w:p w:rsidR="00772EE5" w:rsidRPr="0056422D" w:rsidRDefault="00772EE5" w:rsidP="00744577">
            <w:pPr>
              <w:spacing w:after="0" w:line="240" w:lineRule="auto"/>
              <w:rPr>
                <w:rFonts w:ascii="Times New Roman" w:hAnsi="Times New Roman" w:cs="Times New Roman"/>
                <w:sz w:val="18"/>
                <w:szCs w:val="18"/>
              </w:rPr>
            </w:pPr>
            <w:r w:rsidRPr="0056422D">
              <w:rPr>
                <w:rFonts w:ascii="Times New Roman" w:hAnsi="Times New Roman" w:cs="Times New Roman"/>
                <w:sz w:val="18"/>
                <w:szCs w:val="18"/>
              </w:rPr>
              <w:t>Значение характеристики не может изменяться участником закупки.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r w:rsidR="00772EE5" w:rsidRPr="0056422D" w:rsidTr="00772EE5">
        <w:tc>
          <w:tcPr>
            <w:tcW w:w="220"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6" w:type="pct"/>
            <w:vMerge/>
            <w:shd w:val="clear" w:color="FFFFFF" w:fill="auto"/>
          </w:tcPr>
          <w:p w:rsidR="00772EE5" w:rsidRPr="0056422D" w:rsidRDefault="00772EE5" w:rsidP="0056422D">
            <w:pPr>
              <w:spacing w:after="0" w:line="240" w:lineRule="auto"/>
              <w:rPr>
                <w:rFonts w:ascii="Times New Roman" w:eastAsia="Calibri" w:hAnsi="Times New Roman" w:cs="Times New Roman"/>
                <w:sz w:val="18"/>
                <w:szCs w:val="18"/>
              </w:rPr>
            </w:pPr>
          </w:p>
        </w:tc>
        <w:tc>
          <w:tcPr>
            <w:tcW w:w="1891" w:type="pct"/>
            <w:gridSpan w:val="4"/>
            <w:shd w:val="clear" w:color="FFFFFF" w:fill="auto"/>
          </w:tcPr>
          <w:p w:rsidR="00772EE5" w:rsidRPr="0056422D" w:rsidRDefault="00772EE5" w:rsidP="00744577">
            <w:pPr>
              <w:spacing w:after="0" w:line="240" w:lineRule="auto"/>
              <w:rPr>
                <w:rFonts w:ascii="Times New Roman" w:hAnsi="Times New Roman" w:cs="Times New Roman"/>
                <w:b/>
                <w:i/>
                <w:sz w:val="18"/>
                <w:szCs w:val="18"/>
              </w:rPr>
            </w:pPr>
            <w:r w:rsidRPr="0056422D">
              <w:rPr>
                <w:rFonts w:ascii="Times New Roman" w:hAnsi="Times New Roman" w:cs="Times New Roman"/>
                <w:b/>
                <w:i/>
                <w:sz w:val="18"/>
                <w:szCs w:val="18"/>
              </w:rPr>
              <w:t>Дополнительные характеристики в описании товара определены в соответствии с потребностью Заказчика  исходя из назначения товара и условий его использования, а именно:</w:t>
            </w:r>
          </w:p>
          <w:p w:rsidR="00772EE5" w:rsidRPr="0056422D" w:rsidRDefault="00772EE5" w:rsidP="00772EE5">
            <w:pPr>
              <w:spacing w:after="0" w:line="240" w:lineRule="auto"/>
              <w:rPr>
                <w:rFonts w:ascii="Times New Roman" w:eastAsia="Calibri" w:hAnsi="Times New Roman" w:cs="Times New Roman"/>
                <w:b/>
                <w:i/>
                <w:sz w:val="18"/>
                <w:szCs w:val="18"/>
              </w:rPr>
            </w:pPr>
            <w:r w:rsidRPr="0056422D">
              <w:rPr>
                <w:rFonts w:ascii="Times New Roman" w:eastAsia="Calibri" w:hAnsi="Times New Roman" w:cs="Times New Roman"/>
                <w:b/>
                <w:i/>
                <w:sz w:val="18"/>
                <w:szCs w:val="18"/>
              </w:rPr>
              <w:lastRenderedPageBreak/>
              <w:t xml:space="preserve">1. </w:t>
            </w:r>
            <w:r>
              <w:rPr>
                <w:rFonts w:ascii="Times New Roman" w:eastAsia="Calibri" w:hAnsi="Times New Roman" w:cs="Times New Roman"/>
                <w:b/>
                <w:i/>
                <w:sz w:val="18"/>
                <w:szCs w:val="18"/>
              </w:rPr>
              <w:t xml:space="preserve">В части состава материала и его плотности - </w:t>
            </w:r>
            <w:r w:rsidRPr="0056422D">
              <w:rPr>
                <w:rFonts w:ascii="Times New Roman" w:eastAsia="Calibri" w:hAnsi="Times New Roman" w:cs="Times New Roman"/>
                <w:b/>
                <w:i/>
                <w:sz w:val="18"/>
                <w:szCs w:val="18"/>
              </w:rPr>
              <w:t xml:space="preserve"> для обеспечения необходимых </w:t>
            </w:r>
            <w:r w:rsidRPr="0056422D">
              <w:rPr>
                <w:rFonts w:ascii="Times New Roman" w:hAnsi="Times New Roman" w:cs="Times New Roman"/>
                <w:b/>
                <w:i/>
                <w:sz w:val="18"/>
                <w:szCs w:val="18"/>
              </w:rPr>
              <w:t>гигроскопичности и воздухообмена. Плотность ткани – для обеспечения прочности и износоустойчивости изделия.</w:t>
            </w:r>
          </w:p>
          <w:p w:rsidR="00772EE5" w:rsidRPr="0056422D" w:rsidRDefault="00772EE5" w:rsidP="00744577">
            <w:pPr>
              <w:spacing w:after="0" w:line="240" w:lineRule="auto"/>
              <w:rPr>
                <w:rFonts w:ascii="Times New Roman" w:eastAsia="Calibri" w:hAnsi="Times New Roman" w:cs="Times New Roman"/>
                <w:b/>
                <w:i/>
                <w:sz w:val="18"/>
                <w:szCs w:val="18"/>
              </w:rPr>
            </w:pPr>
            <w:r>
              <w:rPr>
                <w:rFonts w:ascii="Times New Roman" w:eastAsia="Calibri" w:hAnsi="Times New Roman" w:cs="Times New Roman"/>
                <w:b/>
                <w:i/>
                <w:sz w:val="18"/>
                <w:szCs w:val="18"/>
              </w:rPr>
              <w:t>2</w:t>
            </w:r>
            <w:r w:rsidRPr="0056422D">
              <w:rPr>
                <w:rFonts w:ascii="Times New Roman" w:eastAsia="Calibri" w:hAnsi="Times New Roman" w:cs="Times New Roman"/>
                <w:b/>
                <w:i/>
                <w:sz w:val="18"/>
                <w:szCs w:val="18"/>
              </w:rPr>
              <w:t>. Требования к весу готового изделия обусловлены необходимостью обеспечения соответствия заявленной плотности материала наполнителя.</w:t>
            </w:r>
          </w:p>
          <w:p w:rsidR="00772EE5" w:rsidRPr="0056422D" w:rsidRDefault="00772EE5" w:rsidP="00744577">
            <w:pPr>
              <w:spacing w:after="0" w:line="240" w:lineRule="auto"/>
              <w:rPr>
                <w:rFonts w:ascii="Times New Roman" w:eastAsia="Calibri" w:hAnsi="Times New Roman" w:cs="Times New Roman"/>
                <w:b/>
                <w:i/>
                <w:sz w:val="18"/>
                <w:szCs w:val="18"/>
              </w:rPr>
            </w:pPr>
            <w:r>
              <w:rPr>
                <w:rFonts w:ascii="Times New Roman" w:eastAsia="Calibri" w:hAnsi="Times New Roman" w:cs="Times New Roman"/>
                <w:b/>
                <w:i/>
                <w:sz w:val="18"/>
                <w:szCs w:val="18"/>
              </w:rPr>
              <w:t>3</w:t>
            </w:r>
            <w:r w:rsidRPr="0056422D">
              <w:rPr>
                <w:rFonts w:ascii="Times New Roman" w:eastAsia="Calibri" w:hAnsi="Times New Roman" w:cs="Times New Roman"/>
                <w:b/>
                <w:i/>
                <w:sz w:val="18"/>
                <w:szCs w:val="18"/>
              </w:rPr>
              <w:t xml:space="preserve">. Устойчивость к указанным способам обработки – обусловлены внутренним положением Учреждения, в части обработки постельного белья, а так же требованиями действующих нормативных документов.    </w:t>
            </w:r>
          </w:p>
          <w:p w:rsidR="00772EE5" w:rsidRPr="0056422D" w:rsidRDefault="00772EE5" w:rsidP="00744577">
            <w:pPr>
              <w:spacing w:after="0" w:line="240" w:lineRule="auto"/>
              <w:rPr>
                <w:rFonts w:ascii="Times New Roman" w:eastAsia="Calibri" w:hAnsi="Times New Roman" w:cs="Times New Roman"/>
                <w:b/>
                <w:i/>
                <w:sz w:val="18"/>
                <w:szCs w:val="18"/>
              </w:rPr>
            </w:pPr>
            <w:r>
              <w:rPr>
                <w:rFonts w:ascii="Times New Roman" w:eastAsia="Calibri" w:hAnsi="Times New Roman" w:cs="Times New Roman"/>
                <w:b/>
                <w:i/>
                <w:sz w:val="18"/>
                <w:szCs w:val="18"/>
              </w:rPr>
              <w:t>4</w:t>
            </w:r>
            <w:r w:rsidRPr="0056422D">
              <w:rPr>
                <w:rFonts w:ascii="Times New Roman" w:eastAsia="Calibri" w:hAnsi="Times New Roman" w:cs="Times New Roman"/>
                <w:b/>
                <w:i/>
                <w:sz w:val="18"/>
                <w:szCs w:val="18"/>
              </w:rPr>
              <w:t>. Требования к упаковке – обусловлены условиями приемки, хранения и выдачи изделий на складе.</w:t>
            </w:r>
          </w:p>
          <w:p w:rsidR="00772EE5" w:rsidRPr="0056422D" w:rsidRDefault="00E7202A" w:rsidP="00744577">
            <w:pPr>
              <w:spacing w:after="0" w:line="240" w:lineRule="auto"/>
              <w:rPr>
                <w:rFonts w:ascii="Times New Roman" w:eastAsia="Calibri" w:hAnsi="Times New Roman" w:cs="Times New Roman"/>
                <w:b/>
                <w:i/>
                <w:sz w:val="18"/>
                <w:szCs w:val="18"/>
              </w:rPr>
            </w:pPr>
            <w:r>
              <w:rPr>
                <w:rFonts w:ascii="Times New Roman" w:eastAsia="Calibri" w:hAnsi="Times New Roman" w:cs="Times New Roman"/>
                <w:b/>
                <w:i/>
                <w:sz w:val="18"/>
                <w:szCs w:val="18"/>
              </w:rPr>
              <w:t>5</w:t>
            </w:r>
            <w:r w:rsidR="00772EE5" w:rsidRPr="0056422D">
              <w:rPr>
                <w:rFonts w:ascii="Times New Roman" w:eastAsia="Calibri" w:hAnsi="Times New Roman" w:cs="Times New Roman"/>
                <w:b/>
                <w:i/>
                <w:sz w:val="18"/>
                <w:szCs w:val="18"/>
              </w:rPr>
              <w:t>. Требования в части отсутствия загрязнений и посторонних запахов –для обеспечения качества изделий.</w:t>
            </w:r>
          </w:p>
          <w:p w:rsidR="00772EE5" w:rsidRPr="0056422D" w:rsidRDefault="00E7202A" w:rsidP="00744577">
            <w:pPr>
              <w:spacing w:after="0" w:line="240" w:lineRule="auto"/>
              <w:rPr>
                <w:rFonts w:ascii="Times New Roman" w:hAnsi="Times New Roman" w:cs="Times New Roman"/>
                <w:b/>
                <w:i/>
                <w:sz w:val="18"/>
                <w:szCs w:val="18"/>
              </w:rPr>
            </w:pPr>
            <w:r>
              <w:rPr>
                <w:rFonts w:ascii="Times New Roman" w:hAnsi="Times New Roman" w:cs="Times New Roman"/>
                <w:b/>
                <w:i/>
                <w:sz w:val="18"/>
                <w:szCs w:val="18"/>
              </w:rPr>
              <w:t>6</w:t>
            </w:r>
            <w:r w:rsidR="00772EE5" w:rsidRPr="0056422D">
              <w:rPr>
                <w:rFonts w:ascii="Times New Roman" w:hAnsi="Times New Roman" w:cs="Times New Roman"/>
                <w:b/>
                <w:i/>
                <w:sz w:val="18"/>
                <w:szCs w:val="18"/>
              </w:rPr>
              <w:t>. Требования в части маркировки необходимы для идентификации изделия, его размеров и  подтверждения заявленных характеристики).</w:t>
            </w:r>
          </w:p>
        </w:tc>
        <w:tc>
          <w:tcPr>
            <w:tcW w:w="243"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201" w:type="pct"/>
            <w:vMerge/>
            <w:shd w:val="clear" w:color="FFFFFF" w:fill="auto"/>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531" w:type="pct"/>
            <w:vMerge/>
          </w:tcPr>
          <w:p w:rsidR="00772EE5" w:rsidRPr="0056422D" w:rsidRDefault="00772EE5" w:rsidP="0056422D">
            <w:pPr>
              <w:spacing w:after="0" w:line="240" w:lineRule="auto"/>
              <w:jc w:val="center"/>
              <w:rPr>
                <w:rFonts w:ascii="Times New Roman" w:eastAsia="Calibri" w:hAnsi="Times New Roman" w:cs="Times New Roman"/>
                <w:b/>
                <w:sz w:val="18"/>
                <w:szCs w:val="18"/>
              </w:rPr>
            </w:pPr>
          </w:p>
        </w:tc>
        <w:tc>
          <w:tcPr>
            <w:tcW w:w="39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269"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64"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c>
          <w:tcPr>
            <w:tcW w:w="346" w:type="pct"/>
            <w:vMerge/>
            <w:shd w:val="clear" w:color="auto" w:fill="FFFF99"/>
          </w:tcPr>
          <w:p w:rsidR="00772EE5" w:rsidRPr="0056422D" w:rsidRDefault="00772EE5" w:rsidP="0056422D">
            <w:pPr>
              <w:spacing w:after="0" w:line="240" w:lineRule="auto"/>
              <w:jc w:val="center"/>
              <w:rPr>
                <w:rFonts w:ascii="Times New Roman" w:eastAsia="Times New Roman" w:hAnsi="Times New Roman" w:cs="Times New Roman"/>
                <w:b/>
                <w:sz w:val="18"/>
                <w:szCs w:val="18"/>
              </w:rPr>
            </w:pPr>
          </w:p>
        </w:tc>
      </w:tr>
    </w:tbl>
    <w:p w:rsidR="00170252" w:rsidRDefault="00170252" w:rsidP="000820E3">
      <w:pPr>
        <w:rPr>
          <w:rFonts w:ascii="Times New Roman" w:hAnsi="Times New Roman" w:cs="Times New Roman"/>
          <w:b/>
          <w:sz w:val="28"/>
          <w:szCs w:val="28"/>
        </w:rPr>
      </w:pPr>
    </w:p>
    <w:sectPr w:rsidR="00170252" w:rsidSect="0056422D">
      <w:headerReference w:type="first" r:id="rId17"/>
      <w:footerReference w:type="first" r:id="rId18"/>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32" w:rsidRDefault="000B0F32">
      <w:pPr>
        <w:spacing w:after="0" w:line="240" w:lineRule="auto"/>
      </w:pPr>
      <w:r>
        <w:separator/>
      </w:r>
    </w:p>
  </w:endnote>
  <w:endnote w:type="continuationSeparator" w:id="0">
    <w:p w:rsidR="000B0F32" w:rsidRDefault="000B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26C04" w:rsidRDefault="00D26C0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26C0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B42BD">
          <w:rPr>
            <w:noProof/>
          </w:rPr>
          <w:t>8</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B0F3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B0F3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B42BD">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32" w:rsidRDefault="000B0F32">
      <w:pPr>
        <w:spacing w:after="0" w:line="240" w:lineRule="auto"/>
      </w:pPr>
      <w:r>
        <w:separator/>
      </w:r>
    </w:p>
  </w:footnote>
  <w:footnote w:type="continuationSeparator" w:id="0">
    <w:p w:rsidR="000B0F32" w:rsidRDefault="000B0F3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26C04" w:rsidRDefault="00D26C0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26C04" w:rsidRDefault="00D26C0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26C04" w:rsidRDefault="00D26C0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B50BA8"/>
    <w:multiLevelType w:val="hybridMultilevel"/>
    <w:tmpl w:val="6256DBE4"/>
    <w:lvl w:ilvl="0" w:tplc="1778BF60">
      <w:start w:val="13"/>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6"/>
  </w:num>
  <w:num w:numId="19">
    <w:abstractNumId w:val="15"/>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58E0"/>
    <w:rsid w:val="000437D6"/>
    <w:rsid w:val="0004504D"/>
    <w:rsid w:val="00076D17"/>
    <w:rsid w:val="000820E3"/>
    <w:rsid w:val="00087E95"/>
    <w:rsid w:val="00095015"/>
    <w:rsid w:val="0009727D"/>
    <w:rsid w:val="000A5E67"/>
    <w:rsid w:val="000A6147"/>
    <w:rsid w:val="000B086C"/>
    <w:rsid w:val="000B0F32"/>
    <w:rsid w:val="000B4857"/>
    <w:rsid w:val="000B76AB"/>
    <w:rsid w:val="000C04D6"/>
    <w:rsid w:val="000C181F"/>
    <w:rsid w:val="000D5F3E"/>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4D23"/>
    <w:rsid w:val="00185B41"/>
    <w:rsid w:val="0019152C"/>
    <w:rsid w:val="00192794"/>
    <w:rsid w:val="00195CA6"/>
    <w:rsid w:val="001B071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95B9E"/>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0C17"/>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422D"/>
    <w:rsid w:val="0057245F"/>
    <w:rsid w:val="00577D46"/>
    <w:rsid w:val="00582162"/>
    <w:rsid w:val="00583FE8"/>
    <w:rsid w:val="00585F05"/>
    <w:rsid w:val="00592AB6"/>
    <w:rsid w:val="00593990"/>
    <w:rsid w:val="005948C3"/>
    <w:rsid w:val="005A46FA"/>
    <w:rsid w:val="005A566A"/>
    <w:rsid w:val="005A580A"/>
    <w:rsid w:val="005B1AF4"/>
    <w:rsid w:val="005B710E"/>
    <w:rsid w:val="005F153F"/>
    <w:rsid w:val="00603DF0"/>
    <w:rsid w:val="00623487"/>
    <w:rsid w:val="00624D76"/>
    <w:rsid w:val="00632D4D"/>
    <w:rsid w:val="00637F5D"/>
    <w:rsid w:val="006420B2"/>
    <w:rsid w:val="00642D06"/>
    <w:rsid w:val="006474B5"/>
    <w:rsid w:val="00650AB9"/>
    <w:rsid w:val="00680267"/>
    <w:rsid w:val="00680B51"/>
    <w:rsid w:val="00680DD0"/>
    <w:rsid w:val="00683724"/>
    <w:rsid w:val="00692F2A"/>
    <w:rsid w:val="0069764E"/>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2EE5"/>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0D6"/>
    <w:rsid w:val="00924D15"/>
    <w:rsid w:val="00930289"/>
    <w:rsid w:val="009358B8"/>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2DD5"/>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1F3"/>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2441"/>
    <w:rsid w:val="00D2444F"/>
    <w:rsid w:val="00D26C04"/>
    <w:rsid w:val="00D3148D"/>
    <w:rsid w:val="00D31887"/>
    <w:rsid w:val="00D3448D"/>
    <w:rsid w:val="00D4075D"/>
    <w:rsid w:val="00D47C38"/>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202A"/>
    <w:rsid w:val="00E768F9"/>
    <w:rsid w:val="00E76E96"/>
    <w:rsid w:val="00E80564"/>
    <w:rsid w:val="00E81B61"/>
    <w:rsid w:val="00E9435F"/>
    <w:rsid w:val="00E961F8"/>
    <w:rsid w:val="00E96350"/>
    <w:rsid w:val="00EB42BD"/>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8D1A-486F-40D9-B0AD-6A36EB15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Владимир Владимирович Чугуев</cp:lastModifiedBy>
  <cp:revision>10</cp:revision>
  <cp:lastPrinted>2018-01-19T15:25:00Z</cp:lastPrinted>
  <dcterms:created xsi:type="dcterms:W3CDTF">2024-05-27T12:23:00Z</dcterms:created>
  <dcterms:modified xsi:type="dcterms:W3CDTF">2024-06-21T11:27:00Z</dcterms:modified>
</cp:coreProperties>
</file>