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17.12.2024 № 05-07/2192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D5E2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7B3C1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эндопротезов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7B3C1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7B3C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7B3C16" w:rsidRPr="007B3C16" w:rsidRDefault="00C14573" w:rsidP="007B3C16">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48"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526"/>
        <w:gridCol w:w="1134"/>
        <w:gridCol w:w="2415"/>
        <w:gridCol w:w="1275"/>
        <w:gridCol w:w="1134"/>
        <w:gridCol w:w="2264"/>
        <w:gridCol w:w="1137"/>
        <w:gridCol w:w="902"/>
        <w:gridCol w:w="863"/>
        <w:gridCol w:w="863"/>
        <w:gridCol w:w="1011"/>
        <w:gridCol w:w="1140"/>
      </w:tblGrid>
      <w:tr w:rsidR="007B3C16" w:rsidRPr="00EB2579" w:rsidTr="00927E14">
        <w:trPr>
          <w:trHeight w:val="402"/>
        </w:trPr>
        <w:tc>
          <w:tcPr>
            <w:tcW w:w="136" w:type="pct"/>
            <w:vMerge w:val="restar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 </w:t>
            </w:r>
          </w:p>
        </w:tc>
        <w:tc>
          <w:tcPr>
            <w:tcW w:w="474" w:type="pct"/>
            <w:vMerge w:val="restar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Наименование товара, работы, услуги</w:t>
            </w:r>
          </w:p>
        </w:tc>
        <w:tc>
          <w:tcPr>
            <w:tcW w:w="352" w:type="pct"/>
            <w:vMerge w:val="restar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Код позиции</w:t>
            </w:r>
          </w:p>
        </w:tc>
        <w:tc>
          <w:tcPr>
            <w:tcW w:w="2201" w:type="pct"/>
            <w:gridSpan w:val="4"/>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Характеристики товара, работы, услуги</w:t>
            </w:r>
          </w:p>
        </w:tc>
        <w:tc>
          <w:tcPr>
            <w:tcW w:w="353" w:type="pct"/>
            <w:vMerge w:val="restart"/>
            <w:vAlign w:val="center"/>
            <w:hideMark/>
          </w:tcPr>
          <w:p w:rsidR="007B3C16"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Количество</w:t>
            </w:r>
          </w:p>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(объем работы, услуги)</w:t>
            </w:r>
          </w:p>
        </w:tc>
        <w:tc>
          <w:tcPr>
            <w:tcW w:w="280" w:type="pct"/>
            <w:vMerge w:val="restar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Единица измерения</w:t>
            </w:r>
          </w:p>
        </w:tc>
        <w:tc>
          <w:tcPr>
            <w:tcW w:w="268" w:type="pct"/>
            <w:vMerge w:val="restart"/>
            <w:noWrap/>
            <w:vAlign w:val="bottom"/>
            <w:hideMark/>
          </w:tcPr>
          <w:p w:rsidR="007B3C16" w:rsidRDefault="007B3C16" w:rsidP="00927E14">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Страна происхождения товара</w:t>
            </w:r>
          </w:p>
          <w:p w:rsidR="007B3C16" w:rsidRPr="00EB2579" w:rsidRDefault="007B3C16" w:rsidP="00927E14">
            <w:pPr>
              <w:spacing w:after="0" w:line="240" w:lineRule="auto"/>
              <w:jc w:val="center"/>
              <w:rPr>
                <w:rFonts w:ascii="Times New Roman" w:eastAsia="Times New Roman" w:hAnsi="Times New Roman" w:cs="Times New Roman"/>
                <w:b/>
                <w:color w:val="000000"/>
                <w:sz w:val="16"/>
                <w:szCs w:val="16"/>
                <w:lang w:eastAsia="ru-RU"/>
              </w:rPr>
            </w:pPr>
          </w:p>
        </w:tc>
        <w:tc>
          <w:tcPr>
            <w:tcW w:w="268" w:type="pct"/>
            <w:vMerge w:val="restart"/>
            <w:noWrap/>
            <w:vAlign w:val="bottom"/>
            <w:hideMark/>
          </w:tcPr>
          <w:p w:rsidR="007B3C16" w:rsidRDefault="007B3C16" w:rsidP="00927E14">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Ставка НДС%</w:t>
            </w:r>
          </w:p>
          <w:p w:rsidR="007B3C16" w:rsidRDefault="007B3C16" w:rsidP="00927E14">
            <w:pPr>
              <w:spacing w:after="0" w:line="240" w:lineRule="auto"/>
              <w:jc w:val="center"/>
              <w:rPr>
                <w:rFonts w:ascii="Times New Roman" w:eastAsia="Times New Roman" w:hAnsi="Times New Roman" w:cs="Times New Roman"/>
                <w:b/>
                <w:color w:val="000000"/>
                <w:sz w:val="16"/>
                <w:szCs w:val="16"/>
                <w:lang w:eastAsia="ru-RU"/>
              </w:rPr>
            </w:pPr>
          </w:p>
          <w:p w:rsidR="007B3C16" w:rsidRPr="00EB2579" w:rsidRDefault="007B3C16" w:rsidP="00927E14">
            <w:pPr>
              <w:spacing w:after="0" w:line="240" w:lineRule="auto"/>
              <w:jc w:val="center"/>
              <w:rPr>
                <w:rFonts w:ascii="Times New Roman" w:eastAsia="Times New Roman" w:hAnsi="Times New Roman" w:cs="Times New Roman"/>
                <w:b/>
                <w:color w:val="000000"/>
                <w:sz w:val="16"/>
                <w:szCs w:val="16"/>
                <w:lang w:eastAsia="ru-RU"/>
              </w:rPr>
            </w:pPr>
          </w:p>
        </w:tc>
        <w:tc>
          <w:tcPr>
            <w:tcW w:w="314" w:type="pct"/>
            <w:vMerge w:val="restart"/>
            <w:noWrap/>
            <w:vAlign w:val="bottom"/>
            <w:hideMark/>
          </w:tcPr>
          <w:p w:rsidR="007B3C16" w:rsidRDefault="007B3C16" w:rsidP="00927E14">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Цена за ед. без НДС</w:t>
            </w:r>
          </w:p>
          <w:p w:rsidR="007B3C16" w:rsidRPr="00EB2579" w:rsidRDefault="007B3C16" w:rsidP="00927E14">
            <w:pPr>
              <w:spacing w:after="0" w:line="240" w:lineRule="auto"/>
              <w:jc w:val="center"/>
              <w:rPr>
                <w:rFonts w:ascii="Times New Roman" w:eastAsia="Times New Roman" w:hAnsi="Times New Roman" w:cs="Times New Roman"/>
                <w:b/>
                <w:color w:val="000000"/>
                <w:sz w:val="16"/>
                <w:szCs w:val="16"/>
                <w:lang w:eastAsia="ru-RU"/>
              </w:rPr>
            </w:pPr>
          </w:p>
        </w:tc>
        <w:tc>
          <w:tcPr>
            <w:tcW w:w="354" w:type="pct"/>
            <w:vMerge w:val="restart"/>
            <w:noWrap/>
            <w:vAlign w:val="bottom"/>
            <w:hideMark/>
          </w:tcPr>
          <w:p w:rsidR="007B3C16" w:rsidRDefault="007B3C16" w:rsidP="00927E14">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Сумма без НДС</w:t>
            </w:r>
          </w:p>
          <w:p w:rsidR="007B3C16" w:rsidRPr="00EB2579" w:rsidRDefault="007B3C16" w:rsidP="00927E14">
            <w:pPr>
              <w:spacing w:after="0" w:line="240" w:lineRule="auto"/>
              <w:jc w:val="center"/>
              <w:rPr>
                <w:rFonts w:ascii="Times New Roman" w:eastAsia="Times New Roman" w:hAnsi="Times New Roman" w:cs="Times New Roman"/>
                <w:b/>
                <w:color w:val="000000"/>
                <w:sz w:val="16"/>
                <w:szCs w:val="16"/>
                <w:lang w:eastAsia="ru-RU"/>
              </w:rPr>
            </w:pPr>
          </w:p>
        </w:tc>
      </w:tr>
      <w:tr w:rsidR="007B3C16" w:rsidRPr="00EB2579" w:rsidTr="00927E14">
        <w:trPr>
          <w:trHeight w:val="402"/>
        </w:trPr>
        <w:tc>
          <w:tcPr>
            <w:tcW w:w="136" w:type="pct"/>
            <w:vMerge/>
            <w:vAlign w:val="center"/>
            <w:hideMark/>
          </w:tcPr>
          <w:p w:rsidR="007B3C16" w:rsidRPr="00EB2579" w:rsidRDefault="007B3C16" w:rsidP="00927E14">
            <w:pPr>
              <w:spacing w:after="0" w:line="240" w:lineRule="auto"/>
              <w:rPr>
                <w:rFonts w:ascii="Times New Roman" w:eastAsia="Times New Roman" w:hAnsi="Times New Roman" w:cs="Times New Roman"/>
                <w:b/>
                <w:bCs/>
                <w:color w:val="000000"/>
                <w:sz w:val="16"/>
                <w:szCs w:val="16"/>
                <w:lang w:eastAsia="ru-RU"/>
              </w:rPr>
            </w:pPr>
          </w:p>
        </w:tc>
        <w:tc>
          <w:tcPr>
            <w:tcW w:w="474" w:type="pct"/>
            <w:vMerge/>
            <w:vAlign w:val="center"/>
            <w:hideMark/>
          </w:tcPr>
          <w:p w:rsidR="007B3C16" w:rsidRPr="00EB2579" w:rsidRDefault="007B3C16" w:rsidP="00927E14">
            <w:pPr>
              <w:spacing w:after="0" w:line="240" w:lineRule="auto"/>
              <w:rPr>
                <w:rFonts w:ascii="Times New Roman" w:eastAsia="Times New Roman" w:hAnsi="Times New Roman" w:cs="Times New Roman"/>
                <w:b/>
                <w:bCs/>
                <w:color w:val="000000"/>
                <w:sz w:val="16"/>
                <w:szCs w:val="16"/>
                <w:lang w:eastAsia="ru-RU"/>
              </w:rPr>
            </w:pPr>
          </w:p>
        </w:tc>
        <w:tc>
          <w:tcPr>
            <w:tcW w:w="352" w:type="pct"/>
            <w:vMerge/>
            <w:vAlign w:val="center"/>
            <w:hideMark/>
          </w:tcPr>
          <w:p w:rsidR="007B3C16" w:rsidRPr="00EB2579" w:rsidRDefault="007B3C16" w:rsidP="00927E14">
            <w:pPr>
              <w:spacing w:after="0" w:line="240" w:lineRule="auto"/>
              <w:rPr>
                <w:rFonts w:ascii="Times New Roman" w:eastAsia="Times New Roman" w:hAnsi="Times New Roman" w:cs="Times New Roman"/>
                <w:b/>
                <w:bCs/>
                <w:color w:val="000000"/>
                <w:sz w:val="16"/>
                <w:szCs w:val="16"/>
                <w:lang w:eastAsia="ru-RU"/>
              </w:rPr>
            </w:pPr>
          </w:p>
        </w:tc>
        <w:tc>
          <w:tcPr>
            <w:tcW w:w="750" w:type="pc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Наименование характеристики</w:t>
            </w:r>
          </w:p>
        </w:tc>
        <w:tc>
          <w:tcPr>
            <w:tcW w:w="396" w:type="pc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Значение характеристики</w:t>
            </w:r>
          </w:p>
        </w:tc>
        <w:tc>
          <w:tcPr>
            <w:tcW w:w="352" w:type="pc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Единица измерения характеристики</w:t>
            </w:r>
          </w:p>
        </w:tc>
        <w:tc>
          <w:tcPr>
            <w:tcW w:w="703" w:type="pct"/>
            <w:vAlign w:val="center"/>
            <w:hideMark/>
          </w:tcPr>
          <w:p w:rsidR="007B3C16" w:rsidRPr="00EB2579" w:rsidRDefault="007B3C16" w:rsidP="00927E14">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353" w:type="pct"/>
            <w:vMerge/>
            <w:vAlign w:val="center"/>
            <w:hideMark/>
          </w:tcPr>
          <w:p w:rsidR="007B3C16" w:rsidRPr="00EB2579" w:rsidRDefault="007B3C16" w:rsidP="00927E14">
            <w:pPr>
              <w:spacing w:after="0" w:line="240" w:lineRule="auto"/>
              <w:rPr>
                <w:rFonts w:ascii="Times New Roman" w:eastAsia="Times New Roman" w:hAnsi="Times New Roman" w:cs="Times New Roman"/>
                <w:b/>
                <w:bCs/>
                <w:color w:val="000000"/>
                <w:sz w:val="16"/>
                <w:szCs w:val="16"/>
                <w:lang w:eastAsia="ru-RU"/>
              </w:rPr>
            </w:pPr>
          </w:p>
        </w:tc>
        <w:tc>
          <w:tcPr>
            <w:tcW w:w="280" w:type="pct"/>
            <w:vMerge/>
            <w:vAlign w:val="center"/>
            <w:hideMark/>
          </w:tcPr>
          <w:p w:rsidR="007B3C16" w:rsidRPr="00EB2579" w:rsidRDefault="007B3C16" w:rsidP="00927E14">
            <w:pPr>
              <w:spacing w:after="0" w:line="240" w:lineRule="auto"/>
              <w:rPr>
                <w:rFonts w:ascii="Times New Roman" w:eastAsia="Times New Roman" w:hAnsi="Times New Roman" w:cs="Times New Roman"/>
                <w:b/>
                <w:bCs/>
                <w:color w:val="000000"/>
                <w:sz w:val="16"/>
                <w:szCs w:val="16"/>
                <w:lang w:eastAsia="ru-RU"/>
              </w:rPr>
            </w:pPr>
          </w:p>
        </w:tc>
        <w:tc>
          <w:tcPr>
            <w:tcW w:w="268" w:type="pct"/>
            <w:vMerge/>
            <w:vAlign w:val="center"/>
            <w:hideMark/>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268" w:type="pct"/>
            <w:vMerge/>
            <w:vAlign w:val="center"/>
            <w:hideMark/>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314" w:type="pct"/>
            <w:vMerge/>
            <w:vAlign w:val="center"/>
            <w:hideMark/>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354" w:type="pct"/>
            <w:vMerge/>
            <w:vAlign w:val="center"/>
            <w:hideMark/>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r>
      <w:tr w:rsidR="007B3C16" w:rsidRPr="00EB2579" w:rsidTr="00927E14">
        <w:trPr>
          <w:trHeight w:val="402"/>
        </w:trPr>
        <w:tc>
          <w:tcPr>
            <w:tcW w:w="136" w:type="pct"/>
            <w:vMerge w:val="restar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1</w:t>
            </w:r>
          </w:p>
        </w:tc>
        <w:tc>
          <w:tcPr>
            <w:tcW w:w="474" w:type="pct"/>
            <w:vMerge w:val="restar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926E5E">
              <w:rPr>
                <w:rFonts w:ascii="Times New Roman" w:eastAsia="Times New Roman" w:hAnsi="Times New Roman" w:cs="Times New Roman"/>
                <w:color w:val="000000"/>
                <w:sz w:val="16"/>
                <w:szCs w:val="16"/>
                <w:lang w:eastAsia="ru-RU"/>
              </w:rPr>
              <w:t>Полиэтиленовый вкладыш</w:t>
            </w:r>
          </w:p>
        </w:tc>
        <w:tc>
          <w:tcPr>
            <w:tcW w:w="352" w:type="pct"/>
            <w:vMerge w:val="restart"/>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32.50.22.110</w:t>
            </w:r>
          </w:p>
        </w:tc>
        <w:tc>
          <w:tcPr>
            <w:tcW w:w="750"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0B5EA3">
              <w:rPr>
                <w:rFonts w:ascii="Times New Roman" w:eastAsia="Times New Roman" w:hAnsi="Times New Roman"/>
                <w:color w:val="000000"/>
                <w:sz w:val="16"/>
                <w:szCs w:val="16"/>
                <w:lang w:eastAsia="ru-RU"/>
              </w:rPr>
              <w:t>Вкладыш для тибиального компонента протеза коленного сустава, для примене</w:t>
            </w:r>
            <w:r>
              <w:rPr>
                <w:rFonts w:ascii="Times New Roman" w:eastAsia="Times New Roman" w:hAnsi="Times New Roman"/>
                <w:color w:val="000000"/>
                <w:sz w:val="16"/>
                <w:szCs w:val="16"/>
                <w:lang w:eastAsia="ru-RU"/>
              </w:rPr>
              <w:t>ния с соединительным механизмом</w:t>
            </w:r>
            <w:r w:rsidRPr="000B5EA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является неподвижным</w:t>
            </w:r>
          </w:p>
        </w:tc>
        <w:tc>
          <w:tcPr>
            <w:tcW w:w="396" w:type="pct"/>
            <w:vAlign w:val="center"/>
          </w:tcPr>
          <w:p w:rsidR="007B3C16" w:rsidRPr="00F17505"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F17505">
              <w:rPr>
                <w:rFonts w:ascii="Times New Roman" w:eastAsia="Times New Roman" w:hAnsi="Times New Roman" w:cs="Times New Roman"/>
                <w:color w:val="000000"/>
                <w:sz w:val="16"/>
                <w:szCs w:val="16"/>
                <w:lang w:eastAsia="ru-RU"/>
              </w:rPr>
              <w:t>соответствие</w:t>
            </w:r>
          </w:p>
        </w:tc>
        <w:tc>
          <w:tcPr>
            <w:tcW w:w="352" w:type="pct"/>
            <w:vAlign w:val="center"/>
          </w:tcPr>
          <w:p w:rsidR="007B3C16" w:rsidRPr="00F17505"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703" w:type="pct"/>
            <w:vAlign w:val="center"/>
          </w:tcPr>
          <w:p w:rsidR="007B3C16" w:rsidRPr="00F17505"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F1750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restart"/>
            <w:vAlign w:val="center"/>
          </w:tcPr>
          <w:p w:rsidR="007B3C16" w:rsidRDefault="007B3C16" w:rsidP="00927E14">
            <w:pPr>
              <w:spacing w:after="0" w:line="240" w:lineRule="auto"/>
              <w:jc w:val="center"/>
              <w:rPr>
                <w:rFonts w:ascii="Times New Roman" w:eastAsia="Times New Roman" w:hAnsi="Times New Roman" w:cs="Times New Roman"/>
                <w:color w:val="000000"/>
                <w:sz w:val="16"/>
                <w:szCs w:val="16"/>
                <w:lang w:eastAsia="ru-RU"/>
              </w:rPr>
            </w:pPr>
          </w:p>
          <w:p w:rsidR="007B3C16" w:rsidRDefault="007B3C16" w:rsidP="00927E14">
            <w:pPr>
              <w:spacing w:after="0" w:line="240" w:lineRule="auto"/>
              <w:jc w:val="center"/>
              <w:rPr>
                <w:rFonts w:ascii="Times New Roman" w:eastAsia="Times New Roman" w:hAnsi="Times New Roman" w:cs="Times New Roman"/>
                <w:color w:val="000000"/>
                <w:sz w:val="16"/>
                <w:szCs w:val="16"/>
                <w:lang w:eastAsia="ru-RU"/>
              </w:rPr>
            </w:pPr>
          </w:p>
          <w:p w:rsidR="007B3C16" w:rsidRDefault="007B3C16" w:rsidP="00927E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w:t>
            </w:r>
            <w:r w:rsidRPr="00EB2579">
              <w:rPr>
                <w:rFonts w:ascii="Times New Roman" w:eastAsia="Times New Roman" w:hAnsi="Times New Roman" w:cs="Times New Roman"/>
                <w:color w:val="000000"/>
                <w:sz w:val="16"/>
                <w:szCs w:val="16"/>
                <w:lang w:eastAsia="ru-RU"/>
              </w:rPr>
              <w:t>тука</w:t>
            </w:r>
          </w:p>
          <w:p w:rsidR="007B3C16" w:rsidRDefault="007B3C16" w:rsidP="00927E14">
            <w:pPr>
              <w:spacing w:after="0" w:line="240" w:lineRule="auto"/>
              <w:jc w:val="center"/>
              <w:rPr>
                <w:rFonts w:ascii="Times New Roman" w:eastAsia="Times New Roman" w:hAnsi="Times New Roman" w:cs="Times New Roman"/>
                <w:color w:val="000000"/>
                <w:sz w:val="16"/>
                <w:szCs w:val="16"/>
                <w:lang w:eastAsia="ru-RU"/>
              </w:rPr>
            </w:pPr>
          </w:p>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val="restar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en-US" w:eastAsia="ru-RU"/>
              </w:rPr>
              <w:t>10</w:t>
            </w:r>
          </w:p>
        </w:tc>
        <w:tc>
          <w:tcPr>
            <w:tcW w:w="268" w:type="pct"/>
            <w:vMerge w:val="restar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68" w:type="pct"/>
            <w:vMerge w:val="restar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14" w:type="pct"/>
            <w:vMerge w:val="restar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54" w:type="pct"/>
            <w:vMerge w:val="restar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r>
      <w:tr w:rsidR="007B3C16" w:rsidRPr="00EB2579" w:rsidTr="00927E14">
        <w:trPr>
          <w:trHeight w:val="402"/>
        </w:trPr>
        <w:tc>
          <w:tcPr>
            <w:tcW w:w="136"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750"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0B5EA3">
              <w:rPr>
                <w:rFonts w:ascii="Times New Roman" w:eastAsia="Times New Roman" w:hAnsi="Times New Roman"/>
                <w:color w:val="000000"/>
                <w:sz w:val="16"/>
                <w:szCs w:val="16"/>
                <w:lang w:eastAsia="ru-RU"/>
              </w:rPr>
              <w:t>Материал</w:t>
            </w:r>
          </w:p>
        </w:tc>
        <w:tc>
          <w:tcPr>
            <w:tcW w:w="396" w:type="pct"/>
            <w:vAlign w:val="center"/>
          </w:tcPr>
          <w:p w:rsidR="007B3C16" w:rsidRPr="00EB2579" w:rsidRDefault="00F85693" w:rsidP="00927E1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olor w:val="000000"/>
                <w:sz w:val="16"/>
                <w:szCs w:val="16"/>
                <w:lang w:eastAsia="ru-RU"/>
              </w:rPr>
              <w:t>полиэтилен ультравысокомолеку</w:t>
            </w:r>
            <w:r w:rsidR="007B3C16" w:rsidRPr="000B5EA3">
              <w:rPr>
                <w:rFonts w:ascii="Times New Roman" w:eastAsia="Times New Roman" w:hAnsi="Times New Roman"/>
                <w:color w:val="000000"/>
                <w:sz w:val="16"/>
                <w:szCs w:val="16"/>
                <w:lang w:eastAsia="ru-RU"/>
              </w:rPr>
              <w:t>лярный</w:t>
            </w:r>
          </w:p>
        </w:tc>
        <w:tc>
          <w:tcPr>
            <w:tcW w:w="352"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703"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F17505">
              <w:rPr>
                <w:rFonts w:ascii="Times New Roman" w:eastAsia="Times New Roman" w:hAnsi="Times New Roman" w:cs="Times New Roman"/>
                <w:color w:val="000000"/>
                <w:sz w:val="16"/>
                <w:szCs w:val="16"/>
                <w:lang w:eastAsia="ru-RU"/>
              </w:rPr>
              <w:t>Значение характеристики не может изменяться</w:t>
            </w:r>
          </w:p>
        </w:tc>
        <w:tc>
          <w:tcPr>
            <w:tcW w:w="353"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68"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68"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14"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54"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r>
      <w:tr w:rsidR="007B3C16" w:rsidRPr="00EB2579" w:rsidTr="00927E14">
        <w:trPr>
          <w:trHeight w:val="402"/>
        </w:trPr>
        <w:tc>
          <w:tcPr>
            <w:tcW w:w="136" w:type="pct"/>
            <w:vMerge/>
            <w:vAlign w:val="center"/>
          </w:tcPr>
          <w:p w:rsidR="007B3C16" w:rsidRPr="0099192A"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vAlign w:val="center"/>
          </w:tcPr>
          <w:p w:rsidR="007B3C16" w:rsidRPr="00C170E7"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750"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0B5EA3">
              <w:rPr>
                <w:rFonts w:ascii="Times New Roman" w:eastAsia="Times New Roman" w:hAnsi="Times New Roman"/>
                <w:color w:val="000000"/>
                <w:sz w:val="16"/>
                <w:szCs w:val="16"/>
                <w:lang w:eastAsia="ru-RU"/>
              </w:rPr>
              <w:t>Установка</w:t>
            </w:r>
          </w:p>
        </w:tc>
        <w:tc>
          <w:tcPr>
            <w:tcW w:w="396" w:type="pct"/>
            <w:vAlign w:val="center"/>
          </w:tcPr>
          <w:p w:rsidR="007B3C16" w:rsidRPr="00F17505"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0B5EA3">
              <w:rPr>
                <w:rFonts w:ascii="Times New Roman" w:eastAsia="Times New Roman" w:hAnsi="Times New Roman"/>
                <w:color w:val="000000"/>
                <w:sz w:val="16"/>
                <w:szCs w:val="16"/>
                <w:lang w:eastAsia="ru-RU"/>
              </w:rPr>
              <w:t>одношаговый механизм блокирования вручную с возможностью замены полиэтиленовой про</w:t>
            </w:r>
            <w:r>
              <w:rPr>
                <w:rFonts w:ascii="Times New Roman" w:eastAsia="Times New Roman" w:hAnsi="Times New Roman"/>
                <w:color w:val="000000"/>
                <w:sz w:val="16"/>
                <w:szCs w:val="16"/>
                <w:lang w:eastAsia="ru-RU"/>
              </w:rPr>
              <w:t xml:space="preserve">кладки без удаления бедренной </w:t>
            </w:r>
            <w:r w:rsidRPr="000B5EA3">
              <w:rPr>
                <w:rFonts w:ascii="Times New Roman" w:eastAsia="Times New Roman" w:hAnsi="Times New Roman"/>
                <w:color w:val="000000"/>
                <w:sz w:val="16"/>
                <w:szCs w:val="16"/>
                <w:lang w:eastAsia="ru-RU"/>
              </w:rPr>
              <w:t>и тибиальной ч</w:t>
            </w:r>
            <w:r>
              <w:rPr>
                <w:rFonts w:ascii="Times New Roman" w:eastAsia="Times New Roman" w:hAnsi="Times New Roman"/>
                <w:color w:val="000000"/>
                <w:sz w:val="16"/>
                <w:szCs w:val="16"/>
                <w:lang w:eastAsia="ru-RU"/>
              </w:rPr>
              <w:t>астей протеза коленного сустава</w:t>
            </w:r>
          </w:p>
        </w:tc>
        <w:tc>
          <w:tcPr>
            <w:tcW w:w="352" w:type="pct"/>
            <w:vAlign w:val="center"/>
          </w:tcPr>
          <w:p w:rsidR="007B3C16" w:rsidRPr="00F17505"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703" w:type="pct"/>
            <w:vAlign w:val="center"/>
          </w:tcPr>
          <w:p w:rsidR="007B3C16" w:rsidRPr="00F17505"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F1750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80" w:type="pct"/>
            <w:vMerge/>
            <w:vAlign w:val="center"/>
          </w:tcPr>
          <w:p w:rsidR="007B3C16" w:rsidRPr="0099192A"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68"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268"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14"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54"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r>
      <w:tr w:rsidR="007B3C16" w:rsidRPr="00EB2579" w:rsidTr="00927E14">
        <w:trPr>
          <w:trHeight w:val="402"/>
        </w:trPr>
        <w:tc>
          <w:tcPr>
            <w:tcW w:w="136"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474"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352"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750"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0B5EA3">
              <w:rPr>
                <w:rFonts w:ascii="Times New Roman" w:eastAsia="Times New Roman" w:hAnsi="Times New Roman"/>
                <w:color w:val="000000"/>
                <w:sz w:val="16"/>
                <w:szCs w:val="16"/>
                <w:lang w:eastAsia="ru-RU"/>
              </w:rPr>
              <w:t>Размер (для установки на тибиальную платформу согласно с её размер</w:t>
            </w:r>
            <w:r>
              <w:rPr>
                <w:rFonts w:ascii="Times New Roman" w:eastAsia="Times New Roman" w:hAnsi="Times New Roman"/>
                <w:color w:val="000000"/>
                <w:sz w:val="16"/>
                <w:szCs w:val="16"/>
                <w:lang w:eastAsia="ru-RU"/>
              </w:rPr>
              <w:t>а</w:t>
            </w:r>
            <w:r w:rsidRPr="000B5EA3">
              <w:rPr>
                <w:rFonts w:ascii="Times New Roman" w:eastAsia="Times New Roman" w:hAnsi="Times New Roman"/>
                <w:color w:val="000000"/>
                <w:sz w:val="16"/>
                <w:szCs w:val="16"/>
                <w:lang w:eastAsia="ru-RU"/>
              </w:rPr>
              <w:t>м):</w:t>
            </w:r>
          </w:p>
        </w:tc>
        <w:tc>
          <w:tcPr>
            <w:tcW w:w="396"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0B5EA3">
              <w:rPr>
                <w:rFonts w:ascii="Times New Roman" w:eastAsia="Times New Roman" w:hAnsi="Times New Roman"/>
                <w:color w:val="000000"/>
                <w:sz w:val="16"/>
                <w:szCs w:val="16"/>
                <w:lang w:eastAsia="ru-RU"/>
              </w:rPr>
              <w:t xml:space="preserve">медиально- латеральный размер 56,0 мм; </w:t>
            </w:r>
            <w:r w:rsidRPr="0099192A">
              <w:rPr>
                <w:rFonts w:ascii="Times New Roman" w:eastAsia="Times New Roman" w:hAnsi="Times New Roman" w:cs="Times New Roman"/>
                <w:color w:val="000000"/>
                <w:sz w:val="16"/>
                <w:szCs w:val="16"/>
                <w:lang w:eastAsia="ru-RU"/>
              </w:rPr>
              <w:t>66,0 мм; 72,0 мм и 77,0 мм, сагиттальный размер- 36,0; 42,0;44,0 мм и 48,0 мм</w:t>
            </w:r>
            <w:r w:rsidRPr="002304ED">
              <w:rPr>
                <w:rFonts w:ascii="Times New Roman" w:eastAsia="Times New Roman" w:hAnsi="Times New Roman" w:cs="Times New Roman"/>
                <w:color w:val="000000"/>
                <w:sz w:val="16"/>
                <w:szCs w:val="16"/>
                <w:lang w:eastAsia="ru-RU"/>
              </w:rPr>
              <w:t>, высота- 12,0 мм</w:t>
            </w:r>
          </w:p>
        </w:tc>
        <w:tc>
          <w:tcPr>
            <w:tcW w:w="352"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703" w:type="pct"/>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r w:rsidRPr="00F1750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53"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280"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268"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268" w:type="pct"/>
            <w:vMerge/>
            <w:vAlign w:val="center"/>
          </w:tcPr>
          <w:p w:rsidR="007B3C16" w:rsidRPr="00EB2579" w:rsidRDefault="007B3C16" w:rsidP="00927E14">
            <w:pPr>
              <w:spacing w:after="0" w:line="240" w:lineRule="auto"/>
              <w:rPr>
                <w:rFonts w:ascii="Times New Roman" w:eastAsia="Times New Roman" w:hAnsi="Times New Roman" w:cs="Times New Roman"/>
                <w:color w:val="000000"/>
                <w:sz w:val="16"/>
                <w:szCs w:val="16"/>
                <w:lang w:eastAsia="ru-RU"/>
              </w:rPr>
            </w:pPr>
          </w:p>
        </w:tc>
        <w:tc>
          <w:tcPr>
            <w:tcW w:w="314"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c>
          <w:tcPr>
            <w:tcW w:w="354" w:type="pct"/>
            <w:vMerge/>
            <w:vAlign w:val="center"/>
          </w:tcPr>
          <w:p w:rsidR="007B3C16" w:rsidRPr="00EB2579" w:rsidRDefault="007B3C16" w:rsidP="00927E14">
            <w:pPr>
              <w:spacing w:after="0" w:line="240" w:lineRule="auto"/>
              <w:jc w:val="center"/>
              <w:rPr>
                <w:rFonts w:ascii="Times New Roman" w:eastAsia="Times New Roman" w:hAnsi="Times New Roman" w:cs="Times New Roman"/>
                <w:color w:val="000000"/>
                <w:sz w:val="16"/>
                <w:szCs w:val="16"/>
                <w:lang w:eastAsia="ru-RU"/>
              </w:rPr>
            </w:pPr>
          </w:p>
        </w:tc>
      </w:tr>
    </w:tbl>
    <w:p w:rsidR="007B3C16" w:rsidRDefault="007B3C16" w:rsidP="000820E3">
      <w:pPr>
        <w:rPr>
          <w:rFonts w:ascii="Times New Roman" w:hAnsi="Times New Roman" w:cs="Times New Roman"/>
          <w:b/>
          <w:sz w:val="28"/>
          <w:szCs w:val="28"/>
        </w:rPr>
        <w:sectPr w:rsidR="007B3C16" w:rsidSect="007B3C16">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08" w:rsidRDefault="00227308">
      <w:pPr>
        <w:spacing w:after="0" w:line="240" w:lineRule="auto"/>
      </w:pPr>
      <w:r>
        <w:separator/>
      </w:r>
    </w:p>
  </w:endnote>
  <w:endnote w:type="continuationSeparator" w:id="0">
    <w:p w:rsidR="00227308" w:rsidRDefault="0022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5E2A" w:rsidRDefault="00DD5E2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D5E2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D5E2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D5E2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D5E2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8569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D5E2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8569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08" w:rsidRDefault="00227308">
      <w:pPr>
        <w:spacing w:after="0" w:line="240" w:lineRule="auto"/>
      </w:pPr>
      <w:r>
        <w:separator/>
      </w:r>
    </w:p>
  </w:footnote>
  <w:footnote w:type="continuationSeparator" w:id="0">
    <w:p w:rsidR="00227308" w:rsidRDefault="0022730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5E2A" w:rsidRDefault="00DD5E2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5E2A" w:rsidRDefault="00DD5E2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5E2A" w:rsidRDefault="00DD5E2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27308"/>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3C1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47867"/>
    <w:rsid w:val="00D75216"/>
    <w:rsid w:val="00D75A72"/>
    <w:rsid w:val="00D811F2"/>
    <w:rsid w:val="00D93803"/>
    <w:rsid w:val="00D9443F"/>
    <w:rsid w:val="00DA2F66"/>
    <w:rsid w:val="00DB0473"/>
    <w:rsid w:val="00DB54FF"/>
    <w:rsid w:val="00DB5EE8"/>
    <w:rsid w:val="00DB6A09"/>
    <w:rsid w:val="00DC11FC"/>
    <w:rsid w:val="00DD5E2A"/>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85693"/>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DBD7-9FFD-4DBB-AFB4-F5E01D27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2024-12-17T05:41:00Z</dcterms:created>
  <dcterms:modified xsi:type="dcterms:W3CDTF">2024-12-17T05:41:00Z</dcterms:modified>
</cp:coreProperties>
</file>