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15.10.2024 № 21.1-03/1610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08.11.2024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2A7F66">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6F2DC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воды питьевой упакованной бутилированной 0,33 (2025)</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28.11.2025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20.11.2025. Максимальное количество партий 6 (шесть).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Инвалиды, УИС</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992"/>
        <w:gridCol w:w="1770"/>
        <w:gridCol w:w="1633"/>
        <w:gridCol w:w="918"/>
        <w:gridCol w:w="1777"/>
        <w:gridCol w:w="634"/>
        <w:gridCol w:w="807"/>
        <w:gridCol w:w="1963"/>
        <w:gridCol w:w="999"/>
        <w:gridCol w:w="859"/>
        <w:gridCol w:w="1159"/>
        <w:gridCol w:w="1117"/>
      </w:tblGrid>
      <w:tr w:rsidR="000B2957" w:rsidRPr="000312B8" w:rsidTr="00487075">
        <w:tc>
          <w:tcPr>
            <w:tcW w:w="215" w:type="pct"/>
            <w:shd w:val="clear" w:color="FFFFFF" w:fill="auto"/>
          </w:tcPr>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w:t>
            </w:r>
          </w:p>
        </w:tc>
        <w:tc>
          <w:tcPr>
            <w:tcW w:w="610" w:type="pct"/>
            <w:shd w:val="clear" w:color="FFFFFF" w:fill="auto"/>
          </w:tcPr>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Наименование</w:t>
            </w:r>
          </w:p>
        </w:tc>
        <w:tc>
          <w:tcPr>
            <w:tcW w:w="1867" w:type="pct"/>
            <w:gridSpan w:val="4"/>
            <w:shd w:val="clear" w:color="FFFFFF" w:fill="auto"/>
          </w:tcPr>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Технические характеристики</w:t>
            </w:r>
          </w:p>
        </w:tc>
        <w:tc>
          <w:tcPr>
            <w:tcW w:w="194" w:type="pct"/>
            <w:shd w:val="clear" w:color="FFFFFF" w:fill="auto"/>
          </w:tcPr>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Ед. изм.</w:t>
            </w:r>
          </w:p>
        </w:tc>
        <w:tc>
          <w:tcPr>
            <w:tcW w:w="247" w:type="pct"/>
            <w:shd w:val="clear" w:color="FFFFFF" w:fill="auto"/>
          </w:tcPr>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Кол-во</w:t>
            </w:r>
          </w:p>
        </w:tc>
        <w:tc>
          <w:tcPr>
            <w:tcW w:w="601" w:type="pct"/>
          </w:tcPr>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ОКПД2/</w:t>
            </w:r>
          </w:p>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КТРУ</w:t>
            </w:r>
          </w:p>
        </w:tc>
        <w:tc>
          <w:tcPr>
            <w:tcW w:w="306" w:type="pct"/>
            <w:shd w:val="clear" w:color="auto" w:fill="FFFF99"/>
          </w:tcPr>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Страна происхождения</w:t>
            </w:r>
          </w:p>
        </w:tc>
        <w:tc>
          <w:tcPr>
            <w:tcW w:w="263" w:type="pct"/>
            <w:shd w:val="clear" w:color="auto" w:fill="FFFF99"/>
          </w:tcPr>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 xml:space="preserve">НДС </w:t>
            </w:r>
          </w:p>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w:t>
            </w:r>
          </w:p>
        </w:tc>
        <w:tc>
          <w:tcPr>
            <w:tcW w:w="355" w:type="pct"/>
            <w:shd w:val="clear" w:color="auto" w:fill="FFFF99"/>
          </w:tcPr>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Цена за ед. с НДС (руб)</w:t>
            </w:r>
          </w:p>
        </w:tc>
        <w:tc>
          <w:tcPr>
            <w:tcW w:w="342" w:type="pct"/>
            <w:shd w:val="clear" w:color="auto" w:fill="FFFF99"/>
          </w:tcPr>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 xml:space="preserve">Сумма с НДС </w:t>
            </w:r>
          </w:p>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(руб)</w:t>
            </w:r>
          </w:p>
        </w:tc>
      </w:tr>
      <w:tr w:rsidR="000B2957" w:rsidRPr="000312B8" w:rsidTr="00487075">
        <w:tc>
          <w:tcPr>
            <w:tcW w:w="215" w:type="pct"/>
            <w:vMerge w:val="restart"/>
            <w:shd w:val="clear" w:color="FFFFFF" w:fill="auto"/>
          </w:tcPr>
          <w:p w:rsidR="000B2957" w:rsidRPr="000312B8" w:rsidRDefault="000B2957" w:rsidP="00487075">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610" w:type="pct"/>
            <w:vMerge w:val="restart"/>
            <w:shd w:val="clear" w:color="FFFFFF" w:fill="auto"/>
          </w:tcPr>
          <w:p w:rsidR="000B2957" w:rsidRPr="000312B8" w:rsidRDefault="000B2957" w:rsidP="00487075">
            <w:pPr>
              <w:spacing w:after="0" w:line="240" w:lineRule="auto"/>
              <w:rPr>
                <w:rFonts w:ascii="Times New Roman" w:hAnsi="Times New Roman"/>
                <w:b/>
                <w:sz w:val="18"/>
                <w:szCs w:val="18"/>
              </w:rPr>
            </w:pPr>
            <w:r w:rsidRPr="000312B8">
              <w:rPr>
                <w:rFonts w:ascii="Times New Roman" w:hAnsi="Times New Roman"/>
                <w:b/>
                <w:sz w:val="18"/>
                <w:szCs w:val="18"/>
              </w:rPr>
              <w:t>Вода питьевая упакованная негазированная</w:t>
            </w: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Pr>
                <w:rFonts w:ascii="Times New Roman" w:hAnsi="Times New Roman"/>
                <w:sz w:val="18"/>
                <w:szCs w:val="18"/>
              </w:rPr>
              <w:t>Объем</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Pr>
                <w:rFonts w:ascii="Times New Roman" w:hAnsi="Times New Roman"/>
                <w:sz w:val="18"/>
                <w:szCs w:val="18"/>
              </w:rPr>
              <w:t>0,33</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val="restart"/>
            <w:shd w:val="clear" w:color="FFFFFF" w:fill="auto"/>
          </w:tcPr>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шт</w:t>
            </w:r>
          </w:p>
        </w:tc>
        <w:tc>
          <w:tcPr>
            <w:tcW w:w="247" w:type="pct"/>
            <w:vMerge w:val="restart"/>
            <w:shd w:val="clear" w:color="FFFFFF" w:fill="auto"/>
          </w:tcPr>
          <w:p w:rsidR="000B2957" w:rsidRPr="000312B8" w:rsidRDefault="000B2957" w:rsidP="00487075">
            <w:pPr>
              <w:spacing w:after="0" w:line="240" w:lineRule="auto"/>
              <w:jc w:val="center"/>
              <w:rPr>
                <w:rFonts w:ascii="Times New Roman" w:hAnsi="Times New Roman"/>
                <w:b/>
                <w:sz w:val="18"/>
                <w:szCs w:val="18"/>
              </w:rPr>
            </w:pPr>
            <w:r>
              <w:rPr>
                <w:rFonts w:ascii="Times New Roman" w:hAnsi="Times New Roman"/>
                <w:b/>
                <w:sz w:val="18"/>
                <w:szCs w:val="18"/>
              </w:rPr>
              <w:t>1 650</w:t>
            </w:r>
          </w:p>
        </w:tc>
        <w:tc>
          <w:tcPr>
            <w:tcW w:w="601" w:type="pct"/>
            <w:vMerge w:val="restart"/>
          </w:tcPr>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11.07.11.121</w:t>
            </w:r>
          </w:p>
        </w:tc>
        <w:tc>
          <w:tcPr>
            <w:tcW w:w="306" w:type="pct"/>
            <w:vMerge w:val="restart"/>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val="restart"/>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val="restart"/>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val="restart"/>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b/>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Вид воды питьевой</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t>Артезианская</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Степень газации воды</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t>Негазированная</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Внешний вид</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t>Прозрачная жидкость без посторонних включений</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Цвет</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t>Бесцветная жидкость</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ГОСТ 32220-2013 или ТУ производителя, не уступающим по качеству ГОСТ Р 54316-2020</w:t>
            </w:r>
          </w:p>
        </w:tc>
        <w:tc>
          <w:tcPr>
            <w:tcW w:w="500"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соответствие</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ТР ТС 021/2011;</w:t>
            </w:r>
          </w:p>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 xml:space="preserve">ТР ТС 022/2011; </w:t>
            </w:r>
          </w:p>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ТР ТС 005/2011</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t>соответствие</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Упаковка</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t>п/э бутылка</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Срок годности</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t>не более 12 месяцев</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Остаточный срок годности товара на момент поставки</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t>Не менее 6</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val="restart"/>
            <w:shd w:val="clear" w:color="FFFFFF" w:fill="auto"/>
          </w:tcPr>
          <w:p w:rsidR="000B2957" w:rsidRPr="000312B8" w:rsidRDefault="000B2957" w:rsidP="00487075">
            <w:pPr>
              <w:spacing w:after="0" w:line="240" w:lineRule="auto"/>
              <w:jc w:val="center"/>
              <w:rPr>
                <w:rFonts w:ascii="Times New Roman" w:hAnsi="Times New Roman"/>
                <w:b/>
                <w:sz w:val="18"/>
                <w:szCs w:val="18"/>
              </w:rPr>
            </w:pPr>
            <w:r>
              <w:rPr>
                <w:rFonts w:ascii="Times New Roman" w:hAnsi="Times New Roman"/>
                <w:b/>
                <w:sz w:val="18"/>
                <w:szCs w:val="18"/>
              </w:rPr>
              <w:lastRenderedPageBreak/>
              <w:t>2</w:t>
            </w:r>
          </w:p>
        </w:tc>
        <w:tc>
          <w:tcPr>
            <w:tcW w:w="610" w:type="pct"/>
            <w:vMerge w:val="restart"/>
            <w:shd w:val="clear" w:color="FFFFFF" w:fill="auto"/>
          </w:tcPr>
          <w:p w:rsidR="000B2957" w:rsidRPr="00946FA3" w:rsidRDefault="000B2957" w:rsidP="00487075">
            <w:pPr>
              <w:spacing w:after="0" w:line="240" w:lineRule="auto"/>
              <w:rPr>
                <w:rFonts w:ascii="Times New Roman" w:hAnsi="Times New Roman"/>
                <w:b/>
                <w:sz w:val="18"/>
                <w:szCs w:val="18"/>
              </w:rPr>
            </w:pPr>
            <w:r w:rsidRPr="00946FA3">
              <w:rPr>
                <w:rFonts w:ascii="Times New Roman" w:hAnsi="Times New Roman"/>
                <w:b/>
                <w:sz w:val="18"/>
                <w:szCs w:val="18"/>
              </w:rPr>
              <w:t xml:space="preserve">Вода питьевая упакованная </w:t>
            </w:r>
          </w:p>
          <w:p w:rsidR="000B2957" w:rsidRPr="000312B8" w:rsidRDefault="000B2957" w:rsidP="00487075">
            <w:pPr>
              <w:spacing w:after="0" w:line="240" w:lineRule="auto"/>
              <w:rPr>
                <w:rFonts w:ascii="Times New Roman" w:hAnsi="Times New Roman"/>
                <w:sz w:val="18"/>
                <w:szCs w:val="18"/>
              </w:rPr>
            </w:pPr>
            <w:r w:rsidRPr="00946FA3">
              <w:rPr>
                <w:rFonts w:ascii="Times New Roman" w:hAnsi="Times New Roman"/>
                <w:b/>
                <w:sz w:val="18"/>
                <w:szCs w:val="18"/>
              </w:rPr>
              <w:t>газированная</w:t>
            </w: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Pr>
                <w:rFonts w:ascii="Times New Roman" w:hAnsi="Times New Roman"/>
                <w:sz w:val="18"/>
                <w:szCs w:val="18"/>
              </w:rPr>
              <w:t>Объем</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Pr>
                <w:rFonts w:ascii="Times New Roman" w:hAnsi="Times New Roman"/>
                <w:sz w:val="18"/>
                <w:szCs w:val="18"/>
              </w:rPr>
              <w:t>0,33</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val="restart"/>
            <w:shd w:val="clear" w:color="FFFFFF" w:fill="auto"/>
          </w:tcPr>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шт</w:t>
            </w:r>
          </w:p>
        </w:tc>
        <w:tc>
          <w:tcPr>
            <w:tcW w:w="247" w:type="pct"/>
            <w:vMerge w:val="restart"/>
            <w:shd w:val="clear" w:color="FFFFFF" w:fill="auto"/>
          </w:tcPr>
          <w:p w:rsidR="000B2957" w:rsidRPr="000312B8" w:rsidRDefault="000B2957" w:rsidP="00487075">
            <w:pPr>
              <w:spacing w:after="0" w:line="240" w:lineRule="auto"/>
              <w:jc w:val="center"/>
              <w:rPr>
                <w:rFonts w:ascii="Times New Roman" w:hAnsi="Times New Roman"/>
                <w:b/>
                <w:sz w:val="18"/>
                <w:szCs w:val="18"/>
              </w:rPr>
            </w:pPr>
            <w:r>
              <w:rPr>
                <w:rFonts w:ascii="Times New Roman" w:hAnsi="Times New Roman"/>
                <w:b/>
                <w:sz w:val="18"/>
                <w:szCs w:val="18"/>
              </w:rPr>
              <w:t>150</w:t>
            </w:r>
          </w:p>
        </w:tc>
        <w:tc>
          <w:tcPr>
            <w:tcW w:w="601" w:type="pct"/>
            <w:vMerge w:val="restart"/>
          </w:tcPr>
          <w:p w:rsidR="000B2957" w:rsidRPr="000312B8" w:rsidRDefault="000B2957" w:rsidP="00487075">
            <w:pPr>
              <w:spacing w:after="0" w:line="240" w:lineRule="auto"/>
              <w:jc w:val="center"/>
              <w:rPr>
                <w:rFonts w:ascii="Times New Roman" w:hAnsi="Times New Roman"/>
                <w:b/>
                <w:sz w:val="18"/>
                <w:szCs w:val="18"/>
              </w:rPr>
            </w:pPr>
            <w:r w:rsidRPr="000312B8">
              <w:rPr>
                <w:rFonts w:ascii="Times New Roman" w:hAnsi="Times New Roman"/>
                <w:b/>
                <w:sz w:val="18"/>
                <w:szCs w:val="18"/>
              </w:rPr>
              <w:t>11.07.11.122</w:t>
            </w:r>
          </w:p>
        </w:tc>
        <w:tc>
          <w:tcPr>
            <w:tcW w:w="306" w:type="pct"/>
            <w:vMerge w:val="restart"/>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val="restart"/>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val="restart"/>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val="restart"/>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946FA3" w:rsidRDefault="000B2957" w:rsidP="00487075">
            <w:pPr>
              <w:spacing w:after="0" w:line="240" w:lineRule="auto"/>
              <w:rPr>
                <w:rFonts w:ascii="Times New Roman" w:hAnsi="Times New Roman"/>
                <w:b/>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Вид воды питьевой</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t>Артезианская</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Степень газации воды</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Pr>
                <w:rFonts w:ascii="Times New Roman" w:hAnsi="Times New Roman"/>
                <w:sz w:val="18"/>
                <w:szCs w:val="18"/>
              </w:rPr>
              <w:t>Г</w:t>
            </w:r>
            <w:r w:rsidRPr="000312B8">
              <w:rPr>
                <w:rFonts w:ascii="Times New Roman" w:hAnsi="Times New Roman"/>
                <w:sz w:val="18"/>
                <w:szCs w:val="18"/>
              </w:rPr>
              <w:t>азированная</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Внешний вид</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t>Прозрачная жидкость без посторонних включений</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Цвет</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t>Бесцветная жидкость</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ГОСТ 32220-2013 или ТУ производителя, не уступающим по качеству ГОСТ Р 54316-2020</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t>соответствие</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ТР ТС 021/2011;</w:t>
            </w:r>
          </w:p>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 xml:space="preserve">ТР ТС 022/2011; </w:t>
            </w:r>
          </w:p>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ТР ТС 005/2011</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t>соответствие</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Упаковка</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t>п/э бутылка</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Срок годности</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t>не более 12 месяцев</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Значение 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r w:rsidR="000B2957" w:rsidRPr="000312B8" w:rsidTr="00487075">
        <w:tc>
          <w:tcPr>
            <w:tcW w:w="215"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10" w:type="pct"/>
            <w:vMerge/>
            <w:shd w:val="clear" w:color="FFFFFF" w:fill="auto"/>
          </w:tcPr>
          <w:p w:rsidR="000B2957" w:rsidRPr="000312B8" w:rsidRDefault="000B2957" w:rsidP="00487075">
            <w:pPr>
              <w:spacing w:after="0" w:line="240" w:lineRule="auto"/>
              <w:rPr>
                <w:rFonts w:ascii="Times New Roman" w:hAnsi="Times New Roman"/>
                <w:sz w:val="18"/>
                <w:szCs w:val="18"/>
              </w:rPr>
            </w:pPr>
          </w:p>
        </w:tc>
        <w:tc>
          <w:tcPr>
            <w:tcW w:w="542"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 xml:space="preserve">Остаточный срок </w:t>
            </w:r>
            <w:r w:rsidRPr="000312B8">
              <w:rPr>
                <w:rFonts w:ascii="Times New Roman" w:hAnsi="Times New Roman"/>
                <w:sz w:val="18"/>
                <w:szCs w:val="18"/>
              </w:rPr>
              <w:lastRenderedPageBreak/>
              <w:t>годности товара на момент поставки</w:t>
            </w:r>
          </w:p>
        </w:tc>
        <w:tc>
          <w:tcPr>
            <w:tcW w:w="500" w:type="pct"/>
            <w:shd w:val="clear" w:color="FFFFFF" w:fill="auto"/>
          </w:tcPr>
          <w:p w:rsidR="000B2957" w:rsidRPr="000312B8" w:rsidRDefault="000B2957" w:rsidP="00487075">
            <w:pPr>
              <w:spacing w:after="0" w:line="240" w:lineRule="auto"/>
              <w:jc w:val="center"/>
              <w:rPr>
                <w:rFonts w:ascii="Times New Roman" w:hAnsi="Times New Roman"/>
                <w:sz w:val="18"/>
                <w:szCs w:val="18"/>
              </w:rPr>
            </w:pPr>
            <w:r w:rsidRPr="000312B8">
              <w:rPr>
                <w:rFonts w:ascii="Times New Roman" w:hAnsi="Times New Roman"/>
                <w:sz w:val="18"/>
                <w:szCs w:val="18"/>
              </w:rPr>
              <w:lastRenderedPageBreak/>
              <w:t>Не менее 6</w:t>
            </w:r>
          </w:p>
        </w:tc>
        <w:tc>
          <w:tcPr>
            <w:tcW w:w="281" w:type="pct"/>
            <w:shd w:val="clear" w:color="FFFFFF" w:fill="auto"/>
          </w:tcPr>
          <w:p w:rsidR="000B2957" w:rsidRPr="000312B8" w:rsidRDefault="000B2957" w:rsidP="00487075">
            <w:pPr>
              <w:spacing w:after="0" w:line="240" w:lineRule="auto"/>
              <w:jc w:val="center"/>
              <w:rPr>
                <w:rFonts w:ascii="Times New Roman" w:hAnsi="Times New Roman"/>
                <w:sz w:val="18"/>
                <w:szCs w:val="18"/>
              </w:rPr>
            </w:pPr>
          </w:p>
        </w:tc>
        <w:tc>
          <w:tcPr>
            <w:tcW w:w="544" w:type="pct"/>
            <w:shd w:val="clear" w:color="FFFFFF" w:fill="auto"/>
          </w:tcPr>
          <w:p w:rsidR="000B2957" w:rsidRPr="000312B8" w:rsidRDefault="000B2957" w:rsidP="00487075">
            <w:pPr>
              <w:spacing w:after="0" w:line="240" w:lineRule="auto"/>
              <w:rPr>
                <w:rFonts w:ascii="Times New Roman" w:hAnsi="Times New Roman"/>
                <w:sz w:val="18"/>
                <w:szCs w:val="18"/>
              </w:rPr>
            </w:pPr>
            <w:r w:rsidRPr="000312B8">
              <w:rPr>
                <w:rFonts w:ascii="Times New Roman" w:hAnsi="Times New Roman"/>
                <w:sz w:val="18"/>
                <w:szCs w:val="18"/>
              </w:rPr>
              <w:t xml:space="preserve">Значение </w:t>
            </w:r>
            <w:r w:rsidRPr="000312B8">
              <w:rPr>
                <w:rFonts w:ascii="Times New Roman" w:hAnsi="Times New Roman"/>
                <w:sz w:val="18"/>
                <w:szCs w:val="18"/>
              </w:rPr>
              <w:lastRenderedPageBreak/>
              <w:t>характеристики не может изменяться участником закупки</w:t>
            </w:r>
          </w:p>
        </w:tc>
        <w:tc>
          <w:tcPr>
            <w:tcW w:w="194"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247" w:type="pct"/>
            <w:vMerge/>
            <w:shd w:val="clear" w:color="FFFFFF" w:fill="auto"/>
          </w:tcPr>
          <w:p w:rsidR="000B2957" w:rsidRPr="000312B8" w:rsidRDefault="000B2957" w:rsidP="00487075">
            <w:pPr>
              <w:spacing w:after="0" w:line="240" w:lineRule="auto"/>
              <w:jc w:val="center"/>
              <w:rPr>
                <w:rFonts w:ascii="Times New Roman" w:hAnsi="Times New Roman"/>
                <w:b/>
                <w:sz w:val="18"/>
                <w:szCs w:val="18"/>
              </w:rPr>
            </w:pPr>
          </w:p>
        </w:tc>
        <w:tc>
          <w:tcPr>
            <w:tcW w:w="601" w:type="pct"/>
            <w:vMerge/>
          </w:tcPr>
          <w:p w:rsidR="000B2957" w:rsidRPr="000312B8" w:rsidRDefault="000B2957" w:rsidP="00487075">
            <w:pPr>
              <w:spacing w:after="0" w:line="240" w:lineRule="auto"/>
              <w:jc w:val="center"/>
              <w:rPr>
                <w:rFonts w:ascii="Times New Roman" w:hAnsi="Times New Roman"/>
                <w:b/>
                <w:sz w:val="18"/>
                <w:szCs w:val="18"/>
              </w:rPr>
            </w:pPr>
          </w:p>
        </w:tc>
        <w:tc>
          <w:tcPr>
            <w:tcW w:w="306"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263"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55"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c>
          <w:tcPr>
            <w:tcW w:w="342" w:type="pct"/>
            <w:vMerge/>
            <w:shd w:val="clear" w:color="auto" w:fill="FFFF99"/>
          </w:tcPr>
          <w:p w:rsidR="000B2957" w:rsidRPr="000312B8" w:rsidRDefault="000B2957" w:rsidP="00487075">
            <w:pPr>
              <w:spacing w:after="0" w:line="240" w:lineRule="auto"/>
              <w:jc w:val="center"/>
              <w:rPr>
                <w:rFonts w:ascii="Times New Roman" w:hAnsi="Times New Roman"/>
                <w:b/>
                <w:sz w:val="18"/>
                <w:szCs w:val="18"/>
              </w:rPr>
            </w:pPr>
          </w:p>
        </w:tc>
      </w:tr>
    </w:tbl>
    <w:p w:rsidR="00170252" w:rsidRDefault="00170252" w:rsidP="000820E3">
      <w:pPr>
        <w:rPr>
          <w:rFonts w:ascii="Times New Roman" w:hAnsi="Times New Roman" w:cs="Times New Roman"/>
          <w:b/>
          <w:sz w:val="28"/>
          <w:szCs w:val="28"/>
        </w:rPr>
      </w:pPr>
    </w:p>
    <w:sectPr w:rsidR="00170252" w:rsidSect="000B2957">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213" w:rsidRDefault="00CF2213">
      <w:pPr>
        <w:spacing w:after="0" w:line="240" w:lineRule="auto"/>
      </w:pPr>
      <w:r>
        <w:separator/>
      </w:r>
    </w:p>
  </w:endnote>
  <w:endnote w:type="continuationSeparator" w:id="0">
    <w:p w:rsidR="00CF2213" w:rsidRDefault="00CF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F2DC9" w:rsidRDefault="006F2DC9">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F2DC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F2DC9">
          <w:rPr>
            <w:noProof/>
          </w:rPr>
          <w:t>5</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F2DC9">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F2DC9">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F2DC9">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213" w:rsidRDefault="00CF2213">
      <w:pPr>
        <w:spacing w:after="0" w:line="240" w:lineRule="auto"/>
      </w:pPr>
      <w:r>
        <w:separator/>
      </w:r>
    </w:p>
  </w:footnote>
  <w:footnote w:type="continuationSeparator" w:id="0">
    <w:p w:rsidR="00CF2213" w:rsidRDefault="00CF221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F2DC9" w:rsidRDefault="006F2DC9">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F2DC9" w:rsidRDefault="006F2DC9">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F2DC9" w:rsidRDefault="006F2DC9">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2957"/>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A7F66"/>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2DC9"/>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213"/>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B7E"/>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54C929B-5F44-41E6-BD6D-48998E4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5C67-D22A-49EF-B95A-98B79E58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6913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2024-10-14T14:27:00Z</dcterms:created>
  <dcterms:modified xsi:type="dcterms:W3CDTF">2024-10-14T14:27:00Z</dcterms:modified>
</cp:coreProperties>
</file>