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21.1-03/288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D453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C624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корректировке и согласованию паспортов систем теплопотребления ИТП</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01.08.2025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 УПД в ЭДО
                <w:br/>
                - 4 экземпляра на бумажном носителе в переплетенном виде, 1 экземпляр в электронном виде: таблицы в формате Microsoft Exel, текстовая часть – Microsoft Word, чертежи и схемы в формате AutoCAD и в растровой графике (.jpg).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C6249">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DC624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DC6249">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усл. ед.</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DC02DD" w:rsidRDefault="00C14573" w:rsidP="00DC02DD">
      <w:pPr>
        <w:pStyle w:val="a7"/>
        <w:widowControl w:val="0"/>
        <w:spacing w:after="0" w:line="240" w:lineRule="auto"/>
        <w:ind w:left="0"/>
        <w:jc w:val="center"/>
        <w:rPr>
          <w:rFonts w:ascii="Times New Roman" w:hAnsi="Times New Roman" w:cs="Times New Roman"/>
          <w:b/>
        </w:rPr>
      </w:pPr>
      <w:r w:rsidRPr="00DC02DD">
        <w:rPr>
          <w:rFonts w:ascii="Times New Roman" w:hAnsi="Times New Roman" w:cs="Times New Roman"/>
          <w:b/>
        </w:rPr>
        <w:lastRenderedPageBreak/>
        <w:t>13</w:t>
      </w:r>
      <w:r w:rsidR="00E52880" w:rsidRPr="00DC02DD">
        <w:rPr>
          <w:rFonts w:ascii="Times New Roman" w:hAnsi="Times New Roman" w:cs="Times New Roman"/>
          <w:b/>
        </w:rPr>
        <w:t>.</w:t>
      </w:r>
      <w:r w:rsidR="000820E3" w:rsidRPr="00DC02DD">
        <w:rPr>
          <w:rFonts w:ascii="Times New Roman" w:hAnsi="Times New Roman" w:cs="Times New Roman"/>
          <w:b/>
        </w:rPr>
        <w:t>Описание</w:t>
      </w:r>
      <w:r w:rsidR="000820E3" w:rsidRPr="00DC02DD">
        <w:rPr>
          <w:rFonts w:ascii="Times New Roman" w:hAnsi="Times New Roman" w:cs="Times New Roman"/>
        </w:rPr>
        <w:t xml:space="preserve"> </w:t>
      </w:r>
      <w:r w:rsidR="000820E3" w:rsidRPr="00DC02DD">
        <w:rPr>
          <w:rFonts w:ascii="Times New Roman" w:hAnsi="Times New Roman" w:cs="Times New Roman"/>
          <w:b/>
        </w:rPr>
        <w:t>объекта закупки</w:t>
      </w:r>
    </w:p>
    <w:p w:rsidR="00DC02DD" w:rsidRPr="00DC02DD" w:rsidRDefault="00DC02DD" w:rsidP="00DC02DD">
      <w:pPr>
        <w:pStyle w:val="a7"/>
        <w:widowControl w:val="0"/>
        <w:spacing w:after="0" w:line="240" w:lineRule="auto"/>
        <w:ind w:left="0"/>
        <w:jc w:val="center"/>
        <w:rPr>
          <w:rFonts w:ascii="Times New Roman" w:hAnsi="Times New Roman" w:cs="Times New Roman"/>
          <w:b/>
        </w:rPr>
      </w:pPr>
    </w:p>
    <w:p w:rsidR="00DC02DD" w:rsidRPr="00DC02DD" w:rsidRDefault="00DC02DD" w:rsidP="00DC02DD">
      <w:pPr>
        <w:spacing w:after="0" w:line="240" w:lineRule="auto"/>
        <w:ind w:left="-426" w:right="-570"/>
        <w:jc w:val="center"/>
        <w:rPr>
          <w:rFonts w:ascii="Times New Roman" w:hAnsi="Times New Roman" w:cs="Times New Roman"/>
          <w:b/>
          <w:lang w:eastAsia="zh-CN"/>
        </w:rPr>
      </w:pPr>
      <w:r w:rsidRPr="00DC02DD">
        <w:rPr>
          <w:rFonts w:ascii="Times New Roman" w:hAnsi="Times New Roman" w:cs="Times New Roman"/>
          <w:b/>
          <w:lang w:eastAsia="zh-CN"/>
        </w:rPr>
        <w:t>СПЕЦИФИКАЦИЯ</w:t>
      </w:r>
    </w:p>
    <w:tbl>
      <w:tblPr>
        <w:tblW w:w="109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1134"/>
        <w:gridCol w:w="1558"/>
        <w:gridCol w:w="1135"/>
        <w:gridCol w:w="1418"/>
      </w:tblGrid>
      <w:tr w:rsidR="00DC02DD" w:rsidRPr="00DC02DD" w:rsidTr="00DC02DD">
        <w:tc>
          <w:tcPr>
            <w:tcW w:w="568" w:type="dxa"/>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w:t>
            </w:r>
          </w:p>
        </w:tc>
        <w:tc>
          <w:tcPr>
            <w:tcW w:w="5103" w:type="dxa"/>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Наименование</w:t>
            </w:r>
          </w:p>
        </w:tc>
        <w:tc>
          <w:tcPr>
            <w:tcW w:w="1134" w:type="dxa"/>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Кол-во</w:t>
            </w:r>
          </w:p>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(усл. ед.)</w:t>
            </w:r>
          </w:p>
        </w:tc>
        <w:tc>
          <w:tcPr>
            <w:tcW w:w="1558" w:type="dxa"/>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ОКПД2</w:t>
            </w:r>
          </w:p>
        </w:tc>
        <w:tc>
          <w:tcPr>
            <w:tcW w:w="1135" w:type="dxa"/>
            <w:shd w:val="clear" w:color="auto" w:fill="FFFF00"/>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Ставка НДС (%)</w:t>
            </w:r>
          </w:p>
        </w:tc>
        <w:tc>
          <w:tcPr>
            <w:tcW w:w="1418" w:type="dxa"/>
            <w:shd w:val="clear" w:color="auto" w:fill="FFFF00"/>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Сумма (руб.)</w:t>
            </w:r>
          </w:p>
        </w:tc>
      </w:tr>
      <w:tr w:rsidR="00DC02DD" w:rsidRPr="00DC02DD" w:rsidTr="00DC02DD">
        <w:trPr>
          <w:trHeight w:val="387"/>
        </w:trPr>
        <w:tc>
          <w:tcPr>
            <w:tcW w:w="568" w:type="dxa"/>
          </w:tcPr>
          <w:p w:rsidR="00DC02DD" w:rsidRPr="00DC02DD" w:rsidRDefault="00DC02DD" w:rsidP="00DC02DD">
            <w:pPr>
              <w:numPr>
                <w:ilvl w:val="0"/>
                <w:numId w:val="21"/>
              </w:numPr>
              <w:spacing w:after="0" w:line="240" w:lineRule="auto"/>
              <w:ind w:left="312" w:hanging="283"/>
              <w:contextualSpacing/>
              <w:rPr>
                <w:rFonts w:ascii="Times New Roman" w:hAnsi="Times New Roman" w:cs="Times New Roman"/>
              </w:rPr>
            </w:pPr>
          </w:p>
        </w:tc>
        <w:tc>
          <w:tcPr>
            <w:tcW w:w="5103" w:type="dxa"/>
          </w:tcPr>
          <w:p w:rsidR="00DC02DD" w:rsidRPr="00DC02DD" w:rsidRDefault="00DC02DD" w:rsidP="00DC02DD">
            <w:pPr>
              <w:spacing w:after="0" w:line="240" w:lineRule="auto"/>
              <w:rPr>
                <w:rFonts w:ascii="Times New Roman" w:hAnsi="Times New Roman" w:cs="Times New Roman"/>
              </w:rPr>
            </w:pPr>
            <w:r w:rsidRPr="00DC02DD">
              <w:rPr>
                <w:rFonts w:ascii="Times New Roman" w:hAnsi="Times New Roman" w:cs="Times New Roman"/>
              </w:rPr>
              <w:t>Оказание услуг по корректировке и согласованию паспортов систем теплопотребления ИТП</w:t>
            </w:r>
          </w:p>
        </w:tc>
        <w:tc>
          <w:tcPr>
            <w:tcW w:w="1134" w:type="dxa"/>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1</w:t>
            </w:r>
          </w:p>
        </w:tc>
        <w:tc>
          <w:tcPr>
            <w:tcW w:w="1558" w:type="dxa"/>
          </w:tcPr>
          <w:p w:rsidR="00DC02DD" w:rsidRPr="00DC02DD" w:rsidRDefault="00DC02DD" w:rsidP="00DC02DD">
            <w:pPr>
              <w:spacing w:after="0" w:line="240" w:lineRule="auto"/>
              <w:jc w:val="center"/>
              <w:rPr>
                <w:rFonts w:ascii="Times New Roman" w:hAnsi="Times New Roman" w:cs="Times New Roman"/>
              </w:rPr>
            </w:pPr>
            <w:r w:rsidRPr="00DC02DD">
              <w:rPr>
                <w:rFonts w:ascii="Times New Roman" w:hAnsi="Times New Roman" w:cs="Times New Roman"/>
              </w:rPr>
              <w:t>71.12.12.190</w:t>
            </w:r>
          </w:p>
        </w:tc>
        <w:tc>
          <w:tcPr>
            <w:tcW w:w="1135" w:type="dxa"/>
            <w:shd w:val="clear" w:color="auto" w:fill="FFFF00"/>
          </w:tcPr>
          <w:p w:rsidR="00DC02DD" w:rsidRPr="00DC02DD" w:rsidRDefault="00DC02DD" w:rsidP="00DC02DD">
            <w:pPr>
              <w:spacing w:after="0" w:line="240" w:lineRule="auto"/>
              <w:jc w:val="center"/>
              <w:rPr>
                <w:rFonts w:ascii="Times New Roman" w:hAnsi="Times New Roman" w:cs="Times New Roman"/>
              </w:rPr>
            </w:pPr>
          </w:p>
        </w:tc>
        <w:tc>
          <w:tcPr>
            <w:tcW w:w="1418" w:type="dxa"/>
            <w:shd w:val="clear" w:color="auto" w:fill="FFFF00"/>
          </w:tcPr>
          <w:p w:rsidR="00DC02DD" w:rsidRPr="00DC02DD" w:rsidRDefault="00DC02DD" w:rsidP="00DC02DD">
            <w:pPr>
              <w:spacing w:after="0" w:line="240" w:lineRule="auto"/>
              <w:jc w:val="center"/>
              <w:rPr>
                <w:rFonts w:ascii="Times New Roman" w:hAnsi="Times New Roman" w:cs="Times New Roman"/>
              </w:rPr>
            </w:pPr>
          </w:p>
        </w:tc>
      </w:tr>
    </w:tbl>
    <w:p w:rsidR="00DC02DD" w:rsidRPr="00DC02DD" w:rsidRDefault="00DC02DD" w:rsidP="00DC02DD">
      <w:pPr>
        <w:spacing w:after="0" w:line="240" w:lineRule="auto"/>
        <w:ind w:left="-426" w:right="-570"/>
        <w:jc w:val="center"/>
        <w:rPr>
          <w:rFonts w:ascii="Times New Roman" w:hAnsi="Times New Roman" w:cs="Times New Roman"/>
        </w:rPr>
      </w:pPr>
    </w:p>
    <w:p w:rsidR="00DC02DD" w:rsidRPr="00DC02DD" w:rsidRDefault="00DC02DD" w:rsidP="00DC02DD">
      <w:pPr>
        <w:spacing w:after="0" w:line="240" w:lineRule="auto"/>
        <w:ind w:left="-426" w:right="-570"/>
        <w:jc w:val="center"/>
        <w:rPr>
          <w:rFonts w:ascii="Times New Roman" w:eastAsia="Arial Unicode MS" w:hAnsi="Times New Roman" w:cs="Times New Roman"/>
          <w:b/>
          <w:bCs/>
        </w:rPr>
      </w:pPr>
      <w:r w:rsidRPr="00DC02DD">
        <w:rPr>
          <w:rFonts w:ascii="Times New Roman" w:eastAsia="Arial Unicode MS" w:hAnsi="Times New Roman" w:cs="Times New Roman"/>
          <w:b/>
          <w:bCs/>
        </w:rPr>
        <w:t>ТЕХНИЧЕСКОЕ ЗАДАНИЕ</w:t>
      </w:r>
    </w:p>
    <w:p w:rsidR="00DC02DD" w:rsidRPr="00DC02DD" w:rsidRDefault="00DC02DD" w:rsidP="00DC02DD">
      <w:pPr>
        <w:spacing w:after="0" w:line="240" w:lineRule="auto"/>
        <w:ind w:left="-426" w:right="-570"/>
        <w:jc w:val="center"/>
        <w:rPr>
          <w:rFonts w:ascii="Times New Roman" w:hAnsi="Times New Roman" w:cs="Times New Roman"/>
        </w:rPr>
      </w:pPr>
      <w:r w:rsidRPr="00DC02DD">
        <w:rPr>
          <w:rFonts w:ascii="Times New Roman" w:hAnsi="Times New Roman" w:cs="Times New Roman"/>
        </w:rPr>
        <w:t xml:space="preserve">Оказание услуг по корректировке и согласованию паспортов систем теплопотребления ИТП </w:t>
      </w:r>
    </w:p>
    <w:tbl>
      <w:tblPr>
        <w:tblStyle w:val="ad"/>
        <w:tblW w:w="10916" w:type="dxa"/>
        <w:tblInd w:w="675" w:type="dxa"/>
        <w:tblLook w:val="04A0" w:firstRow="1" w:lastRow="0" w:firstColumn="1" w:lastColumn="0" w:noHBand="0" w:noVBand="1"/>
      </w:tblPr>
      <w:tblGrid>
        <w:gridCol w:w="531"/>
        <w:gridCol w:w="2447"/>
        <w:gridCol w:w="7938"/>
      </w:tblGrid>
      <w:tr w:rsidR="00DC02DD" w:rsidRPr="00DC02DD" w:rsidTr="00DC02DD">
        <w:trPr>
          <w:trHeight w:val="20"/>
          <w:tblHeader/>
        </w:trPr>
        <w:tc>
          <w:tcPr>
            <w:tcW w:w="531" w:type="dxa"/>
            <w:vAlign w:val="center"/>
          </w:tcPr>
          <w:p w:rsidR="00DC02DD" w:rsidRPr="00DC02DD" w:rsidRDefault="00DC02DD" w:rsidP="00DC02DD">
            <w:pPr>
              <w:jc w:val="center"/>
              <w:rPr>
                <w:rFonts w:ascii="Times New Roman" w:hAnsi="Times New Roman" w:cs="Times New Roman"/>
                <w:b/>
                <w:lang w:eastAsia="zh-CN"/>
              </w:rPr>
            </w:pPr>
            <w:r w:rsidRPr="00DC02DD">
              <w:rPr>
                <w:rFonts w:ascii="Times New Roman" w:hAnsi="Times New Roman" w:cs="Times New Roman"/>
                <w:b/>
                <w:lang w:eastAsia="zh-CN"/>
              </w:rPr>
              <w:t>№</w:t>
            </w:r>
          </w:p>
        </w:tc>
        <w:tc>
          <w:tcPr>
            <w:tcW w:w="2447" w:type="dxa"/>
            <w:vAlign w:val="center"/>
          </w:tcPr>
          <w:p w:rsidR="00DC02DD" w:rsidRPr="00DC02DD" w:rsidRDefault="00DC02DD" w:rsidP="00DC02DD">
            <w:pPr>
              <w:jc w:val="center"/>
              <w:rPr>
                <w:rFonts w:ascii="Times New Roman" w:hAnsi="Times New Roman" w:cs="Times New Roman"/>
                <w:b/>
                <w:lang w:eastAsia="zh-CN"/>
              </w:rPr>
            </w:pPr>
            <w:r w:rsidRPr="00DC02DD">
              <w:rPr>
                <w:rFonts w:ascii="Times New Roman" w:hAnsi="Times New Roman" w:cs="Times New Roman"/>
                <w:b/>
                <w:lang w:eastAsia="zh-CN"/>
              </w:rPr>
              <w:t>Перечень основных данных и требований</w:t>
            </w:r>
          </w:p>
        </w:tc>
        <w:tc>
          <w:tcPr>
            <w:tcW w:w="7938" w:type="dxa"/>
            <w:vAlign w:val="center"/>
          </w:tcPr>
          <w:p w:rsidR="00DC02DD" w:rsidRPr="00DC02DD" w:rsidRDefault="00DC02DD" w:rsidP="00DC02DD">
            <w:pPr>
              <w:ind w:left="-109" w:right="-112"/>
              <w:jc w:val="center"/>
              <w:rPr>
                <w:rFonts w:ascii="Times New Roman" w:hAnsi="Times New Roman" w:cs="Times New Roman"/>
                <w:b/>
                <w:lang w:eastAsia="zh-CN"/>
              </w:rPr>
            </w:pPr>
            <w:r w:rsidRPr="00DC02DD">
              <w:rPr>
                <w:rFonts w:ascii="Times New Roman" w:hAnsi="Times New Roman" w:cs="Times New Roman"/>
                <w:b/>
                <w:lang w:eastAsia="zh-CN"/>
              </w:rPr>
              <w:t>Содержание</w:t>
            </w:r>
          </w:p>
        </w:tc>
      </w:tr>
      <w:tr w:rsidR="00DC02DD" w:rsidRPr="00DC02DD" w:rsidTr="00DC02DD">
        <w:trPr>
          <w:trHeight w:val="1394"/>
        </w:trPr>
        <w:tc>
          <w:tcPr>
            <w:tcW w:w="531" w:type="dxa"/>
          </w:tcPr>
          <w:p w:rsidR="00DC02DD" w:rsidRPr="00DC02DD" w:rsidRDefault="00DC02DD" w:rsidP="00DC02DD">
            <w:pPr>
              <w:pStyle w:val="a7"/>
              <w:numPr>
                <w:ilvl w:val="0"/>
                <w:numId w:val="20"/>
              </w:numPr>
              <w:ind w:left="0"/>
              <w:jc w:val="both"/>
              <w:rPr>
                <w:rFonts w:ascii="Times New Roman" w:hAnsi="Times New Roman" w:cs="Times New Roman"/>
                <w:lang w:eastAsia="zh-CN"/>
              </w:rPr>
            </w:pPr>
          </w:p>
        </w:tc>
        <w:tc>
          <w:tcPr>
            <w:tcW w:w="2447" w:type="dxa"/>
          </w:tcPr>
          <w:p w:rsidR="00DC02DD" w:rsidRPr="00DC02DD" w:rsidRDefault="00DC02DD" w:rsidP="00DC02DD">
            <w:pPr>
              <w:snapToGrid w:val="0"/>
              <w:rPr>
                <w:rFonts w:ascii="Times New Roman" w:hAnsi="Times New Roman" w:cs="Times New Roman"/>
              </w:rPr>
            </w:pPr>
            <w:r w:rsidRPr="00DC02DD">
              <w:rPr>
                <w:rFonts w:ascii="Times New Roman" w:hAnsi="Times New Roman" w:cs="Times New Roman"/>
              </w:rPr>
              <w:t xml:space="preserve">Основание </w:t>
            </w:r>
          </w:p>
        </w:tc>
        <w:tc>
          <w:tcPr>
            <w:tcW w:w="7938" w:type="dxa"/>
            <w:vAlign w:val="center"/>
          </w:tcPr>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Предписание ООО «Петербургтеплоэнерго»</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Соблюдения установленного порядка и пунктов 4.1.5 и 4.1.15 договора теплоснабжения от 26.12.2024 № 10842-1-25/27</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С целью исключения избыточного запаса тепловой нагрузки на ИТП  и для приведения фактического теплопотребления к договорной нагрузки.</w:t>
            </w:r>
          </w:p>
        </w:tc>
      </w:tr>
      <w:tr w:rsidR="00DC02DD" w:rsidRPr="00DC02DD" w:rsidTr="00DC02DD">
        <w:trPr>
          <w:trHeight w:val="4661"/>
        </w:trPr>
        <w:tc>
          <w:tcPr>
            <w:tcW w:w="531" w:type="dxa"/>
          </w:tcPr>
          <w:p w:rsidR="00DC02DD" w:rsidRPr="00DC02DD" w:rsidRDefault="00DC02DD" w:rsidP="00DC02DD">
            <w:pPr>
              <w:pStyle w:val="a7"/>
              <w:numPr>
                <w:ilvl w:val="0"/>
                <w:numId w:val="20"/>
              </w:numPr>
              <w:ind w:left="0"/>
              <w:jc w:val="both"/>
              <w:rPr>
                <w:rFonts w:ascii="Times New Roman" w:hAnsi="Times New Roman" w:cs="Times New Roman"/>
                <w:lang w:eastAsia="zh-CN"/>
              </w:rPr>
            </w:pPr>
          </w:p>
        </w:tc>
        <w:tc>
          <w:tcPr>
            <w:tcW w:w="2447" w:type="dxa"/>
          </w:tcPr>
          <w:p w:rsidR="00DC02DD" w:rsidRPr="00DC02DD" w:rsidRDefault="00DC02DD" w:rsidP="00DC02DD">
            <w:pPr>
              <w:snapToGrid w:val="0"/>
              <w:rPr>
                <w:rFonts w:ascii="Times New Roman" w:hAnsi="Times New Roman" w:cs="Times New Roman"/>
              </w:rPr>
            </w:pPr>
            <w:r w:rsidRPr="00DC02DD">
              <w:rPr>
                <w:rFonts w:ascii="Times New Roman" w:hAnsi="Times New Roman" w:cs="Times New Roman"/>
              </w:rPr>
              <w:t>Этапы, сроки и условия</w:t>
            </w:r>
          </w:p>
        </w:tc>
        <w:tc>
          <w:tcPr>
            <w:tcW w:w="7938" w:type="dxa"/>
            <w:vAlign w:val="center"/>
          </w:tcPr>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Оказание услуг осуществляется Исполнителем в один этап.</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В течение 10 рабочих дней с даты подписания Контракта необходимо провести обследование существующего индивидуального теплового пункта</w:t>
            </w:r>
            <w:r w:rsidRPr="00DC02DD">
              <w:rPr>
                <w:rFonts w:ascii="Times New Roman" w:hAnsi="Times New Roman" w:cs="Times New Roman"/>
                <w:spacing w:val="5"/>
              </w:rPr>
              <w:t xml:space="preserve"> ИТП и подключенных к нему систем</w:t>
            </w:r>
            <w:r w:rsidRPr="00DC02DD">
              <w:rPr>
                <w:rFonts w:ascii="Times New Roman" w:hAnsi="Times New Roman" w:cs="Times New Roman"/>
              </w:rPr>
              <w:t>. Результаты обследования оформить актом (форма акта произвольная) и предоставить Заказчику.</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В течение 20 рабочих дней с даты подписания Контракта необходимо откорректировать: паспорт системы отопления, паспорт системы вентиляции, паспорт системы горячего водоснабжения, паспорт узла присоединения. Подготовку документов выполнять на основании отчетов о фактическом теплопотреблении ИТП путем перераспределения существующей тепловой нагрузки. Документы оформить надлежащим образом и предоставить Заказчику.</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В течение 30 рабочих дней с даты подписания Контракта согласовать документацию в ООО «Петербургтеплоэнерго». В обязательном порядке письменно информировать Заказчика о направлении на согласование документации в адрес ООО «Петербургтеплоэнерго».</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Передать Заказчику согласованную документацию не позднее 01.08.2025.</w:t>
            </w:r>
          </w:p>
          <w:p w:rsidR="00DC02DD" w:rsidRPr="00DC02DD" w:rsidRDefault="00DC02DD" w:rsidP="00DC02DD">
            <w:pPr>
              <w:tabs>
                <w:tab w:val="left" w:pos="455"/>
              </w:tabs>
              <w:autoSpaceDE w:val="0"/>
              <w:autoSpaceDN w:val="0"/>
              <w:adjustRightInd w:val="0"/>
              <w:rPr>
                <w:rFonts w:ascii="Times New Roman" w:hAnsi="Times New Roman" w:cs="Times New Roman"/>
              </w:rPr>
            </w:pPr>
            <w:r w:rsidRPr="00DC02DD">
              <w:rPr>
                <w:rFonts w:ascii="Times New Roman" w:hAnsi="Times New Roman" w:cs="Times New Roman"/>
              </w:rPr>
              <w:t xml:space="preserve">- Оказание услуг возможно с привлечением субподрядных организаций. </w:t>
            </w:r>
          </w:p>
        </w:tc>
      </w:tr>
      <w:tr w:rsidR="00DC02DD" w:rsidRPr="00DC02DD" w:rsidTr="00DC02DD">
        <w:trPr>
          <w:trHeight w:val="656"/>
        </w:trPr>
        <w:tc>
          <w:tcPr>
            <w:tcW w:w="531" w:type="dxa"/>
          </w:tcPr>
          <w:p w:rsidR="00DC02DD" w:rsidRPr="00DC02DD" w:rsidRDefault="00DC02DD" w:rsidP="00DC02DD">
            <w:pPr>
              <w:pStyle w:val="a7"/>
              <w:numPr>
                <w:ilvl w:val="0"/>
                <w:numId w:val="20"/>
              </w:numPr>
              <w:ind w:left="0"/>
              <w:jc w:val="both"/>
              <w:rPr>
                <w:rFonts w:ascii="Times New Roman" w:hAnsi="Times New Roman" w:cs="Times New Roman"/>
                <w:lang w:eastAsia="zh-CN"/>
              </w:rPr>
            </w:pPr>
          </w:p>
        </w:tc>
        <w:tc>
          <w:tcPr>
            <w:tcW w:w="2447" w:type="dxa"/>
          </w:tcPr>
          <w:p w:rsidR="00DC02DD" w:rsidRPr="00DC02DD" w:rsidRDefault="00DC02DD" w:rsidP="00DC02DD">
            <w:pPr>
              <w:snapToGrid w:val="0"/>
              <w:rPr>
                <w:rFonts w:ascii="Times New Roman" w:hAnsi="Times New Roman" w:cs="Times New Roman"/>
              </w:rPr>
            </w:pPr>
            <w:r w:rsidRPr="00DC02DD">
              <w:rPr>
                <w:rFonts w:ascii="Times New Roman" w:hAnsi="Times New Roman" w:cs="Times New Roman"/>
              </w:rPr>
              <w:t>Адрес объекта проектирования</w:t>
            </w:r>
          </w:p>
        </w:tc>
        <w:tc>
          <w:tcPr>
            <w:tcW w:w="7938" w:type="dxa"/>
            <w:vAlign w:val="center"/>
          </w:tcPr>
          <w:p w:rsidR="00DC02DD" w:rsidRPr="00DC02DD" w:rsidRDefault="00DC02DD" w:rsidP="00DC02DD">
            <w:pPr>
              <w:rPr>
                <w:rFonts w:ascii="Times New Roman" w:hAnsi="Times New Roman" w:cs="Times New Roman"/>
              </w:rPr>
            </w:pPr>
            <w:r w:rsidRPr="00DC02DD">
              <w:rPr>
                <w:rFonts w:ascii="Times New Roman" w:hAnsi="Times New Roman" w:cs="Times New Roman"/>
              </w:rPr>
              <w:t>197758, г. Санкт-Петербург, п. Песочный, Ленинградская улица, дом 68, лит. У (вспомогательный корпус (столовая)).</w:t>
            </w:r>
          </w:p>
        </w:tc>
      </w:tr>
      <w:tr w:rsidR="00DC02DD" w:rsidRPr="00DC02DD" w:rsidTr="00DC02DD">
        <w:trPr>
          <w:trHeight w:val="1428"/>
        </w:trPr>
        <w:tc>
          <w:tcPr>
            <w:tcW w:w="531" w:type="dxa"/>
          </w:tcPr>
          <w:p w:rsidR="00DC02DD" w:rsidRPr="00DC02DD" w:rsidRDefault="00DC02DD" w:rsidP="00DC02DD">
            <w:pPr>
              <w:pStyle w:val="a7"/>
              <w:numPr>
                <w:ilvl w:val="0"/>
                <w:numId w:val="20"/>
              </w:numPr>
              <w:ind w:left="0"/>
              <w:jc w:val="both"/>
              <w:rPr>
                <w:rFonts w:ascii="Times New Roman" w:hAnsi="Times New Roman" w:cs="Times New Roman"/>
                <w:lang w:eastAsia="zh-CN"/>
              </w:rPr>
            </w:pPr>
          </w:p>
        </w:tc>
        <w:tc>
          <w:tcPr>
            <w:tcW w:w="2447" w:type="dxa"/>
          </w:tcPr>
          <w:p w:rsidR="00DC02DD" w:rsidRPr="00DC02DD" w:rsidRDefault="00DC02DD" w:rsidP="00DC02DD">
            <w:pPr>
              <w:snapToGrid w:val="0"/>
              <w:rPr>
                <w:rFonts w:ascii="Times New Roman" w:hAnsi="Times New Roman" w:cs="Times New Roman"/>
              </w:rPr>
            </w:pPr>
            <w:r w:rsidRPr="00DC02DD">
              <w:rPr>
                <w:rFonts w:ascii="Times New Roman" w:hAnsi="Times New Roman" w:cs="Times New Roman"/>
              </w:rPr>
              <w:t>Количество экземпляров документации</w:t>
            </w:r>
          </w:p>
        </w:tc>
        <w:tc>
          <w:tcPr>
            <w:tcW w:w="7938" w:type="dxa"/>
            <w:vAlign w:val="center"/>
          </w:tcPr>
          <w:p w:rsidR="00DC02DD" w:rsidRPr="00DC02DD" w:rsidRDefault="00DC02DD" w:rsidP="00DC02DD">
            <w:pPr>
              <w:rPr>
                <w:rFonts w:ascii="Times New Roman" w:hAnsi="Times New Roman" w:cs="Times New Roman"/>
              </w:rPr>
            </w:pPr>
            <w:r w:rsidRPr="00DC02DD">
              <w:rPr>
                <w:rFonts w:ascii="Times New Roman" w:hAnsi="Times New Roman" w:cs="Times New Roman"/>
              </w:rPr>
              <w:t>Документацию передать Заказчику в 4-х (четырех) экземплярах на бумажном носителе в переплетенном виде, 1 (один) экземпляр в электронном виде: таблицы в формате Microsoft Exel, текстовая часть – Microsoft Word, чертежи и схемы в формате AutoCAD и в растровой графике (.jpg). Электронная версия проекта должна быть передана Заказчику с возможностью редактирования.</w:t>
            </w:r>
          </w:p>
        </w:tc>
      </w:tr>
      <w:tr w:rsidR="00DC02DD" w:rsidRPr="00DC02DD" w:rsidTr="00DC02DD">
        <w:trPr>
          <w:trHeight w:val="427"/>
        </w:trPr>
        <w:tc>
          <w:tcPr>
            <w:tcW w:w="531" w:type="dxa"/>
          </w:tcPr>
          <w:p w:rsidR="00DC02DD" w:rsidRPr="00DC02DD" w:rsidRDefault="00DC02DD" w:rsidP="00DC02DD">
            <w:pPr>
              <w:rPr>
                <w:rFonts w:ascii="Times New Roman" w:hAnsi="Times New Roman" w:cs="Times New Roman"/>
                <w:lang w:eastAsia="zh-CN"/>
              </w:rPr>
            </w:pPr>
            <w:r w:rsidRPr="00DC02DD">
              <w:rPr>
                <w:rFonts w:ascii="Times New Roman" w:hAnsi="Times New Roman" w:cs="Times New Roman"/>
                <w:lang w:eastAsia="zh-CN"/>
              </w:rPr>
              <w:t>5.</w:t>
            </w:r>
          </w:p>
        </w:tc>
        <w:tc>
          <w:tcPr>
            <w:tcW w:w="2447" w:type="dxa"/>
          </w:tcPr>
          <w:p w:rsidR="00DC02DD" w:rsidRPr="00DC02DD" w:rsidRDefault="00DC02DD" w:rsidP="00DC02DD">
            <w:pPr>
              <w:rPr>
                <w:rFonts w:ascii="Times New Roman" w:hAnsi="Times New Roman" w:cs="Times New Roman"/>
                <w:color w:val="000000"/>
              </w:rPr>
            </w:pPr>
            <w:r w:rsidRPr="00DC02DD">
              <w:rPr>
                <w:rFonts w:ascii="Times New Roman" w:hAnsi="Times New Roman" w:cs="Times New Roman"/>
                <w:color w:val="000000"/>
              </w:rPr>
              <w:t>Согласования</w:t>
            </w:r>
          </w:p>
        </w:tc>
        <w:tc>
          <w:tcPr>
            <w:tcW w:w="7938" w:type="dxa"/>
          </w:tcPr>
          <w:p w:rsidR="00DC02DD" w:rsidRPr="00DC02DD" w:rsidRDefault="00DC02DD" w:rsidP="00DC02DD">
            <w:pPr>
              <w:ind w:left="33"/>
              <w:rPr>
                <w:rFonts w:ascii="Times New Roman" w:hAnsi="Times New Roman" w:cs="Times New Roman"/>
                <w:color w:val="000000"/>
              </w:rPr>
            </w:pPr>
            <w:r w:rsidRPr="00DC02DD">
              <w:rPr>
                <w:rFonts w:ascii="Times New Roman" w:hAnsi="Times New Roman" w:cs="Times New Roman"/>
              </w:rPr>
              <w:t>Согласовать разработанную документацию в ООО «Петербургтеплоэнерго»</w:t>
            </w:r>
          </w:p>
        </w:tc>
      </w:tr>
      <w:tr w:rsidR="00DC02DD" w:rsidRPr="00DC02DD" w:rsidTr="00DC02DD">
        <w:trPr>
          <w:trHeight w:val="678"/>
        </w:trPr>
        <w:tc>
          <w:tcPr>
            <w:tcW w:w="531" w:type="dxa"/>
          </w:tcPr>
          <w:p w:rsidR="00DC02DD" w:rsidRPr="00DC02DD" w:rsidRDefault="00DC02DD" w:rsidP="00DC02DD">
            <w:pPr>
              <w:rPr>
                <w:rFonts w:ascii="Times New Roman" w:hAnsi="Times New Roman" w:cs="Times New Roman"/>
                <w:lang w:eastAsia="zh-CN"/>
              </w:rPr>
            </w:pPr>
            <w:r w:rsidRPr="00DC02DD">
              <w:rPr>
                <w:rFonts w:ascii="Times New Roman" w:hAnsi="Times New Roman" w:cs="Times New Roman"/>
                <w:lang w:eastAsia="zh-CN"/>
              </w:rPr>
              <w:t>6.</w:t>
            </w:r>
          </w:p>
        </w:tc>
        <w:tc>
          <w:tcPr>
            <w:tcW w:w="2447" w:type="dxa"/>
          </w:tcPr>
          <w:p w:rsidR="00DC02DD" w:rsidRPr="00DC02DD" w:rsidRDefault="00DC02DD" w:rsidP="00DC02DD">
            <w:pPr>
              <w:rPr>
                <w:rFonts w:ascii="Times New Roman" w:hAnsi="Times New Roman" w:cs="Times New Roman"/>
                <w:color w:val="000000"/>
              </w:rPr>
            </w:pPr>
            <w:r w:rsidRPr="00DC02DD">
              <w:rPr>
                <w:rFonts w:ascii="Times New Roman" w:hAnsi="Times New Roman" w:cs="Times New Roman"/>
                <w:color w:val="000000"/>
              </w:rPr>
              <w:t>Дополнительные требования</w:t>
            </w:r>
          </w:p>
        </w:tc>
        <w:tc>
          <w:tcPr>
            <w:tcW w:w="7938" w:type="dxa"/>
          </w:tcPr>
          <w:p w:rsidR="00DC02DD" w:rsidRPr="00DC02DD" w:rsidRDefault="00DC02DD" w:rsidP="00DC02DD">
            <w:pPr>
              <w:ind w:left="33"/>
              <w:rPr>
                <w:rFonts w:ascii="Times New Roman" w:hAnsi="Times New Roman" w:cs="Times New Roman"/>
                <w:color w:val="000000"/>
              </w:rPr>
            </w:pPr>
            <w:r w:rsidRPr="00DC02DD">
              <w:rPr>
                <w:rFonts w:ascii="Times New Roman" w:hAnsi="Times New Roman" w:cs="Times New Roman"/>
                <w:color w:val="000000"/>
              </w:rPr>
              <w:t>Исполнитель самостоятельно и за свой счет направляет на рассмотрение  документацию в ООО «Петербургтеплоэнерго».</w:t>
            </w:r>
          </w:p>
        </w:tc>
      </w:tr>
      <w:tr w:rsidR="00DC02DD" w:rsidRPr="00DC02DD" w:rsidTr="00DC02DD">
        <w:trPr>
          <w:trHeight w:val="20"/>
        </w:trPr>
        <w:tc>
          <w:tcPr>
            <w:tcW w:w="531" w:type="dxa"/>
          </w:tcPr>
          <w:p w:rsidR="00DC02DD" w:rsidRPr="00DC02DD" w:rsidRDefault="00DC02DD" w:rsidP="00DC02DD">
            <w:pPr>
              <w:rPr>
                <w:rFonts w:ascii="Times New Roman" w:hAnsi="Times New Roman" w:cs="Times New Roman"/>
                <w:lang w:eastAsia="zh-CN"/>
              </w:rPr>
            </w:pPr>
            <w:r w:rsidRPr="00DC02DD">
              <w:rPr>
                <w:rFonts w:ascii="Times New Roman" w:hAnsi="Times New Roman" w:cs="Times New Roman"/>
                <w:lang w:eastAsia="zh-CN"/>
              </w:rPr>
              <w:t>7.</w:t>
            </w:r>
          </w:p>
        </w:tc>
        <w:tc>
          <w:tcPr>
            <w:tcW w:w="2447" w:type="dxa"/>
          </w:tcPr>
          <w:p w:rsidR="00DC02DD" w:rsidRPr="00DC02DD" w:rsidRDefault="00DC02DD" w:rsidP="00DC02DD">
            <w:pPr>
              <w:rPr>
                <w:rFonts w:ascii="Times New Roman" w:hAnsi="Times New Roman" w:cs="Times New Roman"/>
                <w:color w:val="000000"/>
              </w:rPr>
            </w:pPr>
            <w:r w:rsidRPr="00DC02DD">
              <w:rPr>
                <w:rFonts w:ascii="Times New Roman" w:hAnsi="Times New Roman" w:cs="Times New Roman"/>
                <w:color w:val="000000"/>
              </w:rPr>
              <w:t>Исходные данные, предоставляемые Заказчиком</w:t>
            </w:r>
          </w:p>
        </w:tc>
        <w:tc>
          <w:tcPr>
            <w:tcW w:w="7938" w:type="dxa"/>
          </w:tcPr>
          <w:p w:rsidR="00DC02DD" w:rsidRPr="00DC02DD" w:rsidRDefault="00DC02DD" w:rsidP="00DC02DD">
            <w:pPr>
              <w:rPr>
                <w:rFonts w:ascii="Times New Roman" w:hAnsi="Times New Roman" w:cs="Times New Roman"/>
                <w:color w:val="000000"/>
              </w:rPr>
            </w:pPr>
            <w:r w:rsidRPr="00DC02DD">
              <w:rPr>
                <w:rFonts w:ascii="Times New Roman" w:hAnsi="Times New Roman" w:cs="Times New Roman"/>
                <w:color w:val="000000"/>
              </w:rPr>
              <w:t xml:space="preserve">-Технический паспорт на здание, расположенное по адресу: г. Санкт-Петербург, п. Песочный, Ленинградская улица, дом 68, лит. У </w:t>
            </w:r>
          </w:p>
          <w:p w:rsidR="00DC02DD" w:rsidRPr="00DC02DD" w:rsidRDefault="00DC02DD" w:rsidP="00DC02DD">
            <w:pPr>
              <w:rPr>
                <w:rFonts w:ascii="Times New Roman" w:hAnsi="Times New Roman" w:cs="Times New Roman"/>
                <w:color w:val="000000"/>
              </w:rPr>
            </w:pPr>
            <w:r w:rsidRPr="00DC02DD">
              <w:rPr>
                <w:rFonts w:ascii="Times New Roman" w:hAnsi="Times New Roman" w:cs="Times New Roman"/>
                <w:color w:val="000000"/>
              </w:rPr>
              <w:t>-Действующий договор на теплоснабжение с ООО «Петербургтеплоэнерго»</w:t>
            </w:r>
          </w:p>
          <w:p w:rsidR="00DC02DD" w:rsidRPr="00DC02DD" w:rsidRDefault="00DC02DD" w:rsidP="00DC02DD">
            <w:pPr>
              <w:rPr>
                <w:rFonts w:ascii="Times New Roman" w:hAnsi="Times New Roman" w:cs="Times New Roman"/>
                <w:color w:val="000000"/>
              </w:rPr>
            </w:pPr>
            <w:r w:rsidRPr="00DC02DD">
              <w:rPr>
                <w:rFonts w:ascii="Times New Roman" w:hAnsi="Times New Roman" w:cs="Times New Roman"/>
                <w:color w:val="000000"/>
              </w:rPr>
              <w:t>-Дополнительную исходно-разрешительную документацию проектировщик получает самостоятельно за свой счет.</w:t>
            </w:r>
          </w:p>
        </w:tc>
      </w:tr>
    </w:tbl>
    <w:p w:rsidR="00DC02DD" w:rsidRPr="00DC02DD" w:rsidRDefault="00DC02DD" w:rsidP="008E69A3">
      <w:pPr>
        <w:spacing w:after="0" w:line="240" w:lineRule="auto"/>
        <w:rPr>
          <w:rFonts w:ascii="Times New Roman" w:hAnsi="Times New Roman" w:cs="Times New Roman"/>
        </w:rPr>
      </w:pPr>
    </w:p>
    <w:sectPr w:rsidR="00DC02DD" w:rsidRPr="00DC02DD" w:rsidSect="00DC02DD">
      <w:headerReference w:type="first" r:id="rId18"/>
      <w:footerReference w:type="first" r:id="rId19"/>
      <w:pgSz w:w="11906" w:h="16838"/>
      <w:pgMar w:top="538" w:right="282" w:bottom="567" w:left="14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22" w:rsidRDefault="00026822">
      <w:pPr>
        <w:spacing w:after="0" w:line="240" w:lineRule="auto"/>
      </w:pPr>
      <w:r>
        <w:separator/>
      </w:r>
    </w:p>
  </w:endnote>
  <w:endnote w:type="continuationSeparator" w:id="0">
    <w:p w:rsidR="00026822" w:rsidRDefault="0002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D4536" w:rsidRDefault="00AD453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D453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D453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D453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D453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D4536">
    <w:pPr>
      <w:pStyle w:val="ab"/>
      <w:jc w:val="right"/>
    </w:pPr>
    <w:sdt>
      <w:sdtPr>
        <w:id w:val="1012720293"/>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E69A3">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22" w:rsidRDefault="00026822">
      <w:pPr>
        <w:spacing w:after="0" w:line="240" w:lineRule="auto"/>
      </w:pPr>
      <w:r>
        <w:separator/>
      </w:r>
    </w:p>
  </w:footnote>
  <w:footnote w:type="continuationSeparator" w:id="0">
    <w:p w:rsidR="00026822" w:rsidRDefault="0002682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D4536" w:rsidRDefault="00AD453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D4536" w:rsidRDefault="00AD453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D4536" w:rsidRDefault="00AD453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28B62CD"/>
    <w:multiLevelType w:val="hybridMultilevel"/>
    <w:tmpl w:val="474696D2"/>
    <w:lvl w:ilvl="0" w:tplc="9DD20BDE">
      <w:start w:val="1"/>
      <w:numFmt w:val="decimal"/>
      <w:lvlRestart w:val="0"/>
      <w:lvlText w:val="%1."/>
      <w:lvlJc w:val="left"/>
      <w:pPr>
        <w:ind w:left="720" w:hanging="363"/>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91173E0"/>
    <w:multiLevelType w:val="multilevel"/>
    <w:tmpl w:val="7812B068"/>
    <w:lvl w:ilvl="0">
      <w:start w:val="1"/>
      <w:numFmt w:val="decimal"/>
      <w:suff w:val="nothing"/>
      <w:lvlText w:val="%1."/>
      <w:lvlJc w:val="left"/>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5"/>
  </w:num>
  <w:num w:numId="6">
    <w:abstractNumId w:val="11"/>
  </w:num>
  <w:num w:numId="7">
    <w:abstractNumId w:val="2"/>
  </w:num>
  <w:num w:numId="8">
    <w:abstractNumId w:val="18"/>
  </w:num>
  <w:num w:numId="9">
    <w:abstractNumId w:val="1"/>
  </w:num>
  <w:num w:numId="10">
    <w:abstractNumId w:val="17"/>
  </w:num>
  <w:num w:numId="11">
    <w:abstractNumId w:val="20"/>
  </w:num>
  <w:num w:numId="12">
    <w:abstractNumId w:val="10"/>
  </w:num>
  <w:num w:numId="13">
    <w:abstractNumId w:val="4"/>
  </w:num>
  <w:num w:numId="14">
    <w:abstractNumId w:val="8"/>
  </w:num>
  <w:num w:numId="15">
    <w:abstractNumId w:val="19"/>
  </w:num>
  <w:num w:numId="16">
    <w:abstractNumId w:val="13"/>
  </w:num>
  <w:num w:numId="17">
    <w:abstractNumId w:val="7"/>
  </w:num>
  <w:num w:numId="18">
    <w:abstractNumId w:val="6"/>
  </w:num>
  <w:num w:numId="19">
    <w:abstractNumId w:val="16"/>
  </w:num>
  <w:num w:numId="20">
    <w:abstractNumId w:val="14"/>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82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E69A3"/>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D4536"/>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02DD"/>
    <w:rsid w:val="00DC11FC"/>
    <w:rsid w:val="00DC6249"/>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aliases w:val="Bullet List,FooterText,numbered,Paragraphe de liste1,lp1,ТЗ список,Булет 1,Bullet Number,Нумерованый список,lp11,Bullet 1,Use Case List Paragraph,Нумерованный список ГОСТ,Нумерованный список ГОСТ1,Bullet List1,リスト段,Подпись рисунка"/>
    <w:basedOn w:val="a0"/>
    <w:link w:val="a8"/>
    <w:uiPriority w:val="99"/>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aliases w:val="Bullet List Знак,FooterText Знак,numbered Знак,Paragraphe de liste1 Знак,lp1 Знак,ТЗ список Знак,Булет 1 Знак,Bullet Number Знак,Нумерованый список Знак,lp11 Знак,Bullet 1 Знак,Use Case List Paragraph Знак,Нумерованный список ГОСТ Знак"/>
    <w:link w:val="a7"/>
    <w:uiPriority w:val="99"/>
    <w:qFormat/>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39AB-7977-4414-8D18-C42F6EF9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2025-02-20T11:51:00Z</dcterms:created>
  <dcterms:modified xsi:type="dcterms:W3CDTF">2025-02-20T11:51:00Z</dcterms:modified>
</cp:coreProperties>
</file>