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17.02.2025 № 05-07/227</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21.02.2025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CA1FB9">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реагентов для отделения лабораторной диагностики</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30.06.2025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заявки от Покупателя. Последняя дата подачи заявки на поставку 20.06.2025. Максимальное количество партий - 5 (пять).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Регистрационные удостоверения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техническом задании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преимущество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15240" w:type="dxa"/>
        <w:tblInd w:w="108" w:type="dxa"/>
        <w:tblLook w:val="04A0" w:firstRow="1" w:lastRow="0" w:firstColumn="1" w:lastColumn="0" w:noHBand="0" w:noVBand="1"/>
      </w:tblPr>
      <w:tblGrid>
        <w:gridCol w:w="1752"/>
        <w:gridCol w:w="1121"/>
        <w:gridCol w:w="1776"/>
        <w:gridCol w:w="2314"/>
        <w:gridCol w:w="1485"/>
        <w:gridCol w:w="1386"/>
        <w:gridCol w:w="1137"/>
        <w:gridCol w:w="1043"/>
        <w:gridCol w:w="1426"/>
        <w:gridCol w:w="790"/>
        <w:gridCol w:w="863"/>
        <w:gridCol w:w="748"/>
      </w:tblGrid>
      <w:tr w:rsidR="00B53B8E" w:rsidRPr="00B53B8E" w:rsidTr="00B53B8E">
        <w:trPr>
          <w:trHeight w:val="402"/>
        </w:trPr>
        <w:tc>
          <w:tcPr>
            <w:tcW w:w="18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b/>
                <w:bCs/>
                <w:color w:val="000000"/>
                <w:lang w:eastAsia="ru-RU"/>
              </w:rPr>
            </w:pPr>
            <w:r w:rsidRPr="00B53B8E">
              <w:rPr>
                <w:rFonts w:ascii="Times New Roman" w:eastAsia="Times New Roman" w:hAnsi="Times New Roman" w:cs="Times New Roman"/>
                <w:b/>
                <w:bCs/>
                <w:color w:val="000000"/>
                <w:lang w:eastAsia="ru-RU"/>
              </w:rPr>
              <w:t>Наименование товара, работы, услуги</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b/>
                <w:bCs/>
                <w:color w:val="000000"/>
                <w:lang w:eastAsia="ru-RU"/>
              </w:rPr>
            </w:pPr>
            <w:r w:rsidRPr="00B53B8E">
              <w:rPr>
                <w:rFonts w:ascii="Times New Roman" w:eastAsia="Times New Roman" w:hAnsi="Times New Roman" w:cs="Times New Roman"/>
                <w:b/>
                <w:bCs/>
                <w:color w:val="000000"/>
                <w:lang w:eastAsia="ru-RU"/>
              </w:rPr>
              <w:t>Код позиции</w:t>
            </w:r>
          </w:p>
        </w:tc>
        <w:tc>
          <w:tcPr>
            <w:tcW w:w="6720" w:type="dxa"/>
            <w:gridSpan w:val="4"/>
            <w:tcBorders>
              <w:top w:val="single" w:sz="8" w:space="0" w:color="000000"/>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b/>
                <w:bCs/>
                <w:color w:val="000000"/>
                <w:lang w:eastAsia="ru-RU"/>
              </w:rPr>
            </w:pPr>
            <w:r w:rsidRPr="00B53B8E">
              <w:rPr>
                <w:rFonts w:ascii="Times New Roman" w:eastAsia="Times New Roman" w:hAnsi="Times New Roman" w:cs="Times New Roman"/>
                <w:b/>
                <w:bCs/>
                <w:color w:val="000000"/>
                <w:lang w:eastAsia="ru-RU"/>
              </w:rPr>
              <w:t>Характеристики товара, работы, услуги</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b/>
                <w:bCs/>
                <w:color w:val="000000"/>
                <w:lang w:eastAsia="ru-RU"/>
              </w:rPr>
            </w:pPr>
            <w:r w:rsidRPr="00B53B8E">
              <w:rPr>
                <w:rFonts w:ascii="Times New Roman" w:eastAsia="Times New Roman" w:hAnsi="Times New Roman" w:cs="Times New Roman"/>
                <w:b/>
                <w:bCs/>
                <w:color w:val="000000"/>
                <w:lang w:eastAsia="ru-RU"/>
              </w:rPr>
              <w:t>Количество (объем работы, услуги)</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b/>
                <w:bCs/>
                <w:color w:val="000000"/>
                <w:lang w:eastAsia="ru-RU"/>
              </w:rPr>
            </w:pPr>
            <w:r w:rsidRPr="00B53B8E">
              <w:rPr>
                <w:rFonts w:ascii="Times New Roman" w:eastAsia="Times New Roman" w:hAnsi="Times New Roman" w:cs="Times New Roman"/>
                <w:b/>
                <w:bCs/>
                <w:color w:val="000000"/>
                <w:lang w:eastAsia="ru-RU"/>
              </w:rPr>
              <w:t>Единица измерения</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b/>
                <w:bCs/>
                <w:color w:val="000000"/>
                <w:lang w:eastAsia="ru-RU"/>
              </w:rPr>
            </w:pPr>
            <w:r w:rsidRPr="00B53B8E">
              <w:rPr>
                <w:rFonts w:ascii="Times New Roman" w:eastAsia="Times New Roman" w:hAnsi="Times New Roman" w:cs="Times New Roman"/>
                <w:b/>
                <w:bCs/>
                <w:color w:val="000000"/>
                <w:lang w:eastAsia="ru-RU"/>
              </w:rPr>
              <w:t>Страна происхождения Товара</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b/>
                <w:bCs/>
                <w:color w:val="000000"/>
                <w:lang w:eastAsia="ru-RU"/>
              </w:rPr>
            </w:pPr>
            <w:r w:rsidRPr="00B53B8E">
              <w:rPr>
                <w:rFonts w:ascii="Times New Roman" w:eastAsia="Times New Roman" w:hAnsi="Times New Roman" w:cs="Times New Roman"/>
                <w:b/>
                <w:bCs/>
                <w:color w:val="000000"/>
                <w:lang w:eastAsia="ru-RU"/>
              </w:rPr>
              <w:t>Ставка НДС%</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b/>
                <w:bCs/>
                <w:color w:val="000000"/>
                <w:lang w:eastAsia="ru-RU"/>
              </w:rPr>
            </w:pPr>
            <w:r w:rsidRPr="00B53B8E">
              <w:rPr>
                <w:rFonts w:ascii="Times New Roman" w:eastAsia="Times New Roman" w:hAnsi="Times New Roman" w:cs="Times New Roman"/>
                <w:b/>
                <w:bCs/>
                <w:color w:val="000000"/>
                <w:lang w:eastAsia="ru-RU"/>
              </w:rPr>
              <w:t>Цена за единицу без НДС</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b/>
                <w:bCs/>
                <w:color w:val="000000"/>
                <w:lang w:eastAsia="ru-RU"/>
              </w:rPr>
            </w:pPr>
            <w:r w:rsidRPr="00B53B8E">
              <w:rPr>
                <w:rFonts w:ascii="Times New Roman" w:eastAsia="Times New Roman" w:hAnsi="Times New Roman" w:cs="Times New Roman"/>
                <w:b/>
                <w:bCs/>
                <w:color w:val="000000"/>
                <w:lang w:eastAsia="ru-RU"/>
              </w:rPr>
              <w:t>Сумма без НДС</w:t>
            </w:r>
          </w:p>
        </w:tc>
      </w:tr>
      <w:tr w:rsidR="00B53B8E" w:rsidRPr="00B53B8E" w:rsidTr="00B53B8E">
        <w:trPr>
          <w:trHeight w:val="402"/>
        </w:trPr>
        <w:tc>
          <w:tcPr>
            <w:tcW w:w="1800" w:type="dxa"/>
            <w:vMerge/>
            <w:tcBorders>
              <w:top w:val="single" w:sz="8" w:space="0" w:color="000000"/>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b/>
                <w:bCs/>
                <w:color w:val="000000"/>
                <w:lang w:eastAsia="ru-RU"/>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b/>
                <w:bCs/>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b/>
                <w:bCs/>
                <w:color w:val="000000"/>
                <w:lang w:eastAsia="ru-RU"/>
              </w:rPr>
            </w:pPr>
            <w:r w:rsidRPr="00B53B8E">
              <w:rPr>
                <w:rFonts w:ascii="Times New Roman" w:eastAsia="Times New Roman" w:hAnsi="Times New Roman" w:cs="Times New Roman"/>
                <w:b/>
                <w:bCs/>
                <w:color w:val="000000"/>
                <w:lang w:eastAsia="ru-RU"/>
              </w:rPr>
              <w:t>Наименование характеристики</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b/>
                <w:bCs/>
                <w:color w:val="000000"/>
                <w:lang w:eastAsia="ru-RU"/>
              </w:rPr>
            </w:pPr>
            <w:r w:rsidRPr="00B53B8E">
              <w:rPr>
                <w:rFonts w:ascii="Times New Roman" w:eastAsia="Times New Roman" w:hAnsi="Times New Roman" w:cs="Times New Roman"/>
                <w:b/>
                <w:bCs/>
                <w:color w:val="000000"/>
                <w:lang w:eastAsia="ru-RU"/>
              </w:rPr>
              <w:t>Значение характеристики</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b/>
                <w:bCs/>
                <w:color w:val="000000"/>
                <w:lang w:eastAsia="ru-RU"/>
              </w:rPr>
            </w:pPr>
            <w:r w:rsidRPr="00B53B8E">
              <w:rPr>
                <w:rFonts w:ascii="Times New Roman" w:eastAsia="Times New Roman" w:hAnsi="Times New Roman" w:cs="Times New Roman"/>
                <w:b/>
                <w:bCs/>
                <w:color w:val="000000"/>
                <w:lang w:eastAsia="ru-RU"/>
              </w:rPr>
              <w:t>Единица измерения характеристики</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b/>
                <w:bCs/>
                <w:color w:val="000000"/>
                <w:lang w:eastAsia="ru-RU"/>
              </w:rPr>
            </w:pPr>
            <w:r w:rsidRPr="00B53B8E">
              <w:rPr>
                <w:rFonts w:ascii="Times New Roman" w:eastAsia="Times New Roman" w:hAnsi="Times New Roman" w:cs="Times New Roman"/>
                <w:b/>
                <w:bCs/>
                <w:color w:val="000000"/>
                <w:lang w:eastAsia="ru-RU"/>
              </w:rPr>
              <w:t>Инструкция по заполнению характеристик в заявке</w:t>
            </w: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b/>
                <w:bCs/>
                <w:color w:val="000000"/>
                <w:lang w:eastAsia="ru-RU"/>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b/>
                <w:bCs/>
                <w:color w:val="000000"/>
                <w:lang w:eastAsia="ru-RU"/>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b/>
                <w:bCs/>
                <w:color w:val="000000"/>
                <w:lang w:eastAsia="ru-RU"/>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b/>
                <w:bCs/>
                <w:color w:val="000000"/>
                <w:lang w:eastAsia="ru-RU"/>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b/>
                <w:bCs/>
                <w:color w:val="000000"/>
                <w:lang w:eastAsia="ru-RU"/>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b/>
                <w:bCs/>
                <w:color w:val="000000"/>
                <w:lang w:eastAsia="ru-RU"/>
              </w:rPr>
            </w:pPr>
          </w:p>
        </w:tc>
      </w:tr>
      <w:tr w:rsidR="00B53B8E" w:rsidRPr="00B53B8E" w:rsidTr="00B53B8E">
        <w:trPr>
          <w:trHeight w:val="402"/>
        </w:trPr>
        <w:tc>
          <w:tcPr>
            <w:tcW w:w="18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Материал контрольный многоуровневый "Ликвичек Контроль "Общий Анализ Мочи", двухуровневый 1 (6 флаконов для каждого из 2 уровней) 12 х 12 мл</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21.20.23.110</w:t>
            </w:r>
          </w:p>
        </w:tc>
        <w:tc>
          <w:tcPr>
            <w:tcW w:w="3840" w:type="dxa"/>
            <w:tcBorders>
              <w:top w:val="nil"/>
              <w:left w:val="nil"/>
              <w:bottom w:val="nil"/>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nil"/>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nil"/>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nil"/>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Упаковка</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 </w:t>
            </w: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Назначение: внутрилабораторный контроль качества для оценки воспроизводимости определения показателей общего анлиза мочи</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Основа – человеческая моча</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Возможность работы на анализаторах различных производителей</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Фасовка: 12 х 12 мл</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Жидкая форма выпуска</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2 уровня концентрации – нормальный и патологический, по 6 флаконов каждого</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Срок годности закрытой упаковки - не менее 2,5 лет с момента производства при температуре от 2 до 8° С, срок годности продукта на момент поставки - не менее 10 месяцев.</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Стабильность аналитов после вскрытия флакона – не менее 30 дней при условии хранения при температуре от 2 до 8° С</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Включает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не менее 15 показателей: Белок; Кровь; Осмоляльность; Удельная плотность; Билирубин; Микроальбумин; Отношение белок/креатинин; Уробилиноген; Глюкоза; Микроскопия (эритроциты, лейкоциты, кристаллы); рН; Эстераза лейкоцитов; Кетоны; Нитриты; Тест на беременность (ХГЧ)</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Участник закупки указывает в заявке конкретное значение характеристики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Материал контрольный многоуровневый "Липочек Контроль "Иммуносупрессоры в цельной крови", 1 уровень, 6х2 мл</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21.20.23.110</w:t>
            </w:r>
          </w:p>
        </w:tc>
        <w:tc>
          <w:tcPr>
            <w:tcW w:w="3840" w:type="dxa"/>
            <w:tcBorders>
              <w:top w:val="nil"/>
              <w:left w:val="nil"/>
              <w:bottom w:val="nil"/>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nil"/>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nil"/>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nil"/>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1</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Упаковка</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 </w:t>
            </w: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Назначение: внутрилабораторный контроль качества для оценки воспроизводимости определения иммуносупрессоров в цельной крови человека</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Основа – человеческая цельная кровь</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Возможность работы на анализаторах и реагентах различных производителей</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Фасовка: 6 х 2 мл</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Лиофилизированная форма выпуска</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Уровень концентрации – уровень 1</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Срок годности закрытой упаковки - не менее 3 лет с момента производства при температуре от 2 до 8° С, срок годности реагентов на момент поставки не менее 12 месяцев</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Стабильность после вскрытия флакона – не менее 14 дней при условии хранения при температуре от 2 до 8° С, 30 дней при условии хранения при температуре от -20 до -70° С</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Включает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не менее 3 показателей: Циклоспорин, Сиролимус, Такролимус</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Участник закупки указывает в заявке конкретное значение характеристики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Материал контрольный многоуровневый "Липочек Контроль "Иммуносупрессоры в цельной крови", 3 уровень, 6х2 мл</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21.20.23.110</w:t>
            </w:r>
          </w:p>
        </w:tc>
        <w:tc>
          <w:tcPr>
            <w:tcW w:w="3840" w:type="dxa"/>
            <w:tcBorders>
              <w:top w:val="nil"/>
              <w:left w:val="nil"/>
              <w:bottom w:val="nil"/>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nil"/>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nil"/>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nil"/>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1</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Упаковка</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 </w:t>
            </w: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Назначение: внутрилабораторный контроль качества для оценки воспроизводимости определения иммуносупрессоров в цельной крови человека</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Основа – человеческая цельная кровь</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Возможность работы на анализаторах и реагентах различных производителей</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Фасовка: 6 х 2 мл</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Лиофилизированная форма выпуска</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Уровень концентрации – уровень 3</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Срок годности закрытой упаковки - не менее 3 лет с момента производства при температуре от 2 до 8° С, срок годности реагентов на момент поставки не менее 12 месяцев</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Стабильность после вскрытия флакона – не менее 14 дней при условии хранения при температуре от 2 до 8° С, 30 дней при условии хранения при температуре от -20 до -70° С</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Включает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не менее 3 показателей: Циклоспорин, Сиролимус, Такролимус</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Участник закупки указывает в заявке конкретное значение характеристики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Материал контрольный многоуровневый "Липочек Контроль "Иммуносупрессоры в цельной крови", 4 уровень, 6х2 мл</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21.20.23.110</w:t>
            </w:r>
          </w:p>
        </w:tc>
        <w:tc>
          <w:tcPr>
            <w:tcW w:w="3840" w:type="dxa"/>
            <w:tcBorders>
              <w:top w:val="nil"/>
              <w:left w:val="nil"/>
              <w:bottom w:val="nil"/>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nil"/>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nil"/>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nil"/>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1</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Упаковка</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 </w:t>
            </w: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Назначение: внутрилабораторный контроль качества для оценки воспроизводимости определения иммуносупрессоров в цельной крови человека</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Основа – человеческая цельная кровь</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Возможность работы на анализаторах и реагентах различных производителей</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Фасовка: 6 х 2 мл</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Лиофилизированная форма выпуска</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Уровень концентрации – уровень 4</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Срок годности закрытой упаковки - не менее 3 лет с момента производства при температуре от 2 до 8° С, срок годности реагентов на момент поставки не менее 12 месяцев</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Стабильность после вскрытия флакона – не менее 14 дней при условии хранения при температуре от 2 до 8° С, 30 дней при условии хранения при температуре от -20 до -70° С</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Включает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не менее 3 показателей: Циклоспорин, Сиролимус, Такролимус</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Участник закупки указывает в заявке конкретное значение характеристики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Материал контрольный многоуровневый "Липочек Контроль "Иммунохимия Плюс", трехуровневый, 12 х 5 мл</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21.20.23.110</w:t>
            </w:r>
          </w:p>
        </w:tc>
        <w:tc>
          <w:tcPr>
            <w:tcW w:w="3840" w:type="dxa"/>
            <w:tcBorders>
              <w:top w:val="nil"/>
              <w:left w:val="nil"/>
              <w:bottom w:val="nil"/>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nil"/>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nil"/>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nil"/>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1</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Упаковка</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 </w:t>
            </w: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Назначение: внутрилабораторный контроль качества для оценки воспроизводимости определения иммунохимических показателей</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Основа – человеческая сыворотка</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Возможность работы на анализаторах различных производителей</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Фасовка: 12 х 5 мл</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Лиофилизированная форма выпуска</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3 уровня концентрации – низкий, нормальный, высоки</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Срок годности закрытой упаковки - не менее 3 лет с момента производства при температуре от 2 до 8° С, срок годности продукта на момент поставки - не менее 12 месяцев</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Стабильность аналитов после восстановления лиофилизата – не менее 7 дней при условии хранения при температуре от 2 до 8° С, не менее 20 дней при условии хранения от -20 до -70° С</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Включает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не менее 90 показателей (половые гормоны, гормоны щитовидной железы, онкомаркеры): Ацетаминофен; Флеканид; Прогестерон; АКТГ; Фолиевая к-та; Пролактин; АФП; Фруктозамин; Пропранолол; Альдостерон; ФСГ; ПСА; 17-Альфа-Гидороксипрогестерон; Гастрин; ПСА (Свободный); Амикацин; Гентамицин; Паратиреоидный гормон; Амиодарон; Глюкагон; Хинидин; Амитриптилин; ХГЧ; Салициллаты; Андростендион; Бета-ХГЧ; Белок, связывающий половые гормоны; Ангиотензин I; СТГ; Соматомедин-C; Кофеин; 25-гидрокси Витамин D; T3 (Свободный); Кальцитонин; Имипрамин; T3 (Общий); Карбамазепин; IgA; T3 связывание; Карбамазепин (Свободный); IgE; T4 (Свободный); РЭА; IgG; T4 (Общий); Хлорамфеникол; IgM; Тироксинсвязывающий глобулин; Кортизол; Инсулин; Тестостерон; С-пептид; Железо сыворотки; Тестостерон (Свободный); Циклоспорин; Железо (ОЖСС); Теофиллин; 11 – Деоксикортизол; ЛГ; Тиреоглобулин; Дезипрамин; Лидокаин; Тобрамицин; Дегидроксиэпиандростерон; Литий; Скрининг трициклических антидепрессантов; Дегидроксиэпиандростерон Сульфат; N-ацетипрокаинамид (NAPA); ТТГ; Дигоксин; Нетилмицин; Вальпроевая к-та; Дизопирамид; Нортриптилин; Вальпроевая к-та (Свободная) ; Эстрадиол; Простатическая кислая фосфатаза; Ванкомицин; Эстриол (Свободный); Фенобарбитал; Витамин B12; Эстриол (Общий); Фенитоин; Эстрогены (Общие); Фенитоин (Свободный); Этосукцимид; Примидон; Ферритин; Прокаинамид.</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Участник закупки указывает в заявке конкретное значение характеристики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Контроль "Аттестованная биохимия", уровень 1, 12 х 5 мл,</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21.20.23.110</w:t>
            </w:r>
          </w:p>
        </w:tc>
        <w:tc>
          <w:tcPr>
            <w:tcW w:w="3840" w:type="dxa"/>
            <w:tcBorders>
              <w:top w:val="nil"/>
              <w:left w:val="nil"/>
              <w:bottom w:val="nil"/>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nil"/>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nil"/>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nil"/>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1</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Упаковка</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 </w:t>
            </w: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Назначение: внутрилабораторный контроль качества для оценки воспроизводимости определения биохимических показателей</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Основа – человеческая сыворотка</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Возможность работы на анализаторах различных производителей</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Фасовка: 12 х 5 мл</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Лиофилизированная форма выпуска</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Уровень концентрации – нормальный</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Срок годности закрытой упаковки - не менее 3 лет с момента производства при температуре от 2 до 8° С, срок годности продукта на момент поставки - не менее 12 месяцев</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Стабильность аналитов после восстановления лиофилизата – не менее 7 дней при условии хранения при температуре от 2 до 8° С, не менее 30 дней при условии хранения от -20 до -70° С</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Включает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не менее 80 показателей: Ацетаминофен; Церулоплазмин; IgM; Т3 (общий); Кислая фосфатаза (общая); Хлорид; Железо; Т3 связывание; Альбумин; Холестерин; Лактат; Т4 (свободный); Щелочная фосфатаза; Холестерин (ЛПВП); Лейцинаминопептидаза (LAP); Т4 (общий); АФП; Холинэстераза; ЛДГ; Тироксинсвязывающий глобулин; Альдолаза; КК (креатинкиназа); Липаза; Теофиллин; Альфа-1-антитрипсин; С3 Комплимент; Литий; Железо (ОЖСС); АЛТ; С4 Комплимент; Магний; Железо (НЖСС); Амилаза; Медь; Осмоляльность; Тобрамицин; Амилаза (панкреатическая); Кортизол; Простатическая кислая фосфатаза; Трансферин; Аполипопротеин А-1; Креатинин; Фосфор; Триглицериды; Аполипопротеин В; Дигоксин;; Калий; ТTГ; АСТ; Фолиевая кислота; Электрофоретический белок; Мочевина; Бикарбонаты (СО2); Гентамицин; Общий белок; Азот мочевины; Билирубин (прямой); ГГТ; Салициллаты; Мочевая кислота; Билирубин (коньюгированный); Глутаматдегидрогеназа; ПСА; Вальпроевая кислота; Билирубин (общий); Глюкоза; фенобарбитал; Ванкомицин; Глобулин; Гаптоглобин; Фенитоин; Витамин В12; Кальций; Альфа-гидроксибутират дегидрогеназа; Салициллаты; Кальций (ионизированный); Бета-ХГЧ; Натрий; Карбамазепин; IgA; Цинк; РЭА; IgG; Т3 (свободный)</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Участник закупки указывает в заявке конкретное значение характеристики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Инструкция на русском языке</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Наличие</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Липочек Контроль "Аттестованная биохимия", уровень 2, 12 х 5 мл</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21.20.23.110</w:t>
            </w:r>
          </w:p>
        </w:tc>
        <w:tc>
          <w:tcPr>
            <w:tcW w:w="3840" w:type="dxa"/>
            <w:tcBorders>
              <w:top w:val="nil"/>
              <w:left w:val="nil"/>
              <w:bottom w:val="nil"/>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nil"/>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nil"/>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nil"/>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2</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Упаковка</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 </w:t>
            </w: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Назначение: внутрилабораторный контроль качества для оценки воспроизводимости определения биохимических показателей</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Основа – человеческая сыворотка</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Возможность работы на анализаторах различных производителей</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Фасовка: 12 х 5 мл</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Лиофилизированная форма выпуска</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Уровень концентрации – патологический</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Срок годности закрытой упаковки - не менее 3 лет с момента производства при температуре от 2 до 8° С, срок годности продукта на момент поставки - не менее 12 месяцев</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Стабильность аналитов после восстановления лиофилизата – не менее 7 дней при условии хранения при температуре от 2 до 8° С, не менее 30 дней при условии хранения от -20 до -70° С</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Соответствует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Включает</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не менее 80 показателей: Ацетаминофен; Церулоплазмин; IgM; Т3 (общий); Кислая фосфатаза (общая); Хлорид; Железо; Т3 связывание; Альбумин; Холестерин; Лактат; Т4 (свободный); Щелочная фосфатаза; Холестерин (ЛПВП); Лейцинаминопептидаза (LAP); Т4 (общий); АФП; Холинэстераза; ЛДГ; Тироксинсвязывающий глобулин; Альдолаза; КК (креатинкиназа); Липаза; Теофиллин; Альфа-1-антитрипсин; С3 Комплимент; Литий; Железо (ОЖСС); АЛТ; С4 Комплимент; Магний; Железо (НЖСС); Амилаза; Медь; Осмоляльность; Тобрамицин; Амилаза (панкреатическая); Кортизол; Простатическая кислая фосфатаза; Трансферин; Аполипопротеин А-1; Креатинин; Фосфор; Триглицериды; Аполипопротеин В; Дигоксин;; Калий; ТTГ; АСТ; Фолиевая кислота; Электрофоретический белок; Мочевина; Бикарбонаты (СО2); Гентамицин; Общий белок; Азот мочевины; Билирубин (прямой); ГГТ; Салициллаты; Мочевая кислота; Билирубин (коньюгированный); Глутаматдегидрогеназа; ПСА; Вальпроевая кислота; Билирубин (общий); Глюкоза; фенобарбитал; Ванкомицин; Глобулин; Гаптоглобин; Фенитоин; Витамин В12; Кальций; Альфа-гидроксибутират дегидрогеназа; Салициллаты; Кальций (ионизированный); Бета-ХГЧ; Натрий; Карбамазепин; IgA; Цинк; РЭА; IgG; Т3 (свободный).</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Участник закупки указывает в заявке конкретное значение характеристики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r w:rsidR="00B53B8E" w:rsidRPr="00B53B8E" w:rsidTr="00B53B8E">
        <w:trPr>
          <w:trHeight w:val="402"/>
        </w:trPr>
        <w:tc>
          <w:tcPr>
            <w:tcW w:w="180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384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Инструкция на русском языке</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Наличие</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rPr>
                <w:rFonts w:ascii="Calibri" w:eastAsia="Times New Roman" w:hAnsi="Calibri" w:cs="Times New Roman"/>
                <w:color w:val="000000"/>
                <w:lang w:eastAsia="ru-RU"/>
              </w:rPr>
            </w:pPr>
            <w:r w:rsidRPr="00B53B8E">
              <w:rPr>
                <w:rFonts w:ascii="Calibri" w:eastAsia="Times New Roman" w:hAnsi="Calibri" w:cs="Times New Roman"/>
                <w:color w:val="00000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B53B8E" w:rsidRPr="00B53B8E" w:rsidRDefault="00B53B8E" w:rsidP="00B53B8E">
            <w:pPr>
              <w:spacing w:after="0" w:line="240" w:lineRule="auto"/>
              <w:jc w:val="center"/>
              <w:rPr>
                <w:rFonts w:ascii="Times New Roman" w:eastAsia="Times New Roman" w:hAnsi="Times New Roman" w:cs="Times New Roman"/>
                <w:color w:val="000000"/>
                <w:lang w:eastAsia="ru-RU"/>
              </w:rPr>
            </w:pPr>
            <w:r w:rsidRPr="00B53B8E">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8" w:space="0" w:color="000000"/>
              <w:bottom w:val="single" w:sz="8" w:space="0" w:color="000000"/>
              <w:right w:val="single" w:sz="8" w:space="0" w:color="000000"/>
            </w:tcBorders>
            <w:vAlign w:val="center"/>
            <w:hideMark/>
          </w:tcPr>
          <w:p w:rsidR="00B53B8E" w:rsidRPr="00B53B8E" w:rsidRDefault="00B53B8E" w:rsidP="00B53B8E">
            <w:pPr>
              <w:spacing w:after="0" w:line="240" w:lineRule="auto"/>
              <w:rPr>
                <w:rFonts w:ascii="Times New Roman" w:eastAsia="Times New Roman" w:hAnsi="Times New Roman" w:cs="Times New Roman"/>
                <w:color w:val="000000"/>
                <w:lang w:eastAsia="ru-RU"/>
              </w:rPr>
            </w:pPr>
          </w:p>
        </w:tc>
      </w:tr>
    </w:tbl>
    <w:p w:rsidR="00170252" w:rsidRDefault="00170252" w:rsidP="000820E3">
      <w:pPr>
        <w:rPr>
          <w:rFonts w:ascii="Times New Roman" w:hAnsi="Times New Roman" w:cs="Times New Roman"/>
          <w:b/>
          <w:sz w:val="28"/>
          <w:szCs w:val="28"/>
        </w:rPr>
      </w:pPr>
    </w:p>
    <w:sectPr w:rsidR="00170252" w:rsidSect="00B53B8E">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AE6" w:rsidRDefault="00A21AE6">
      <w:pPr>
        <w:spacing w:after="0" w:line="240" w:lineRule="auto"/>
      </w:pPr>
      <w:r>
        <w:separator/>
      </w:r>
    </w:p>
  </w:endnote>
  <w:endnote w:type="continuationSeparator" w:id="0">
    <w:p w:rsidR="00A21AE6" w:rsidRDefault="00A21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A1FB9" w:rsidRDefault="00CA1FB9">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CA1FB9">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CA1FB9">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CA1FB9">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CA1FB9">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B53B8E">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CA1FB9">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B53B8E">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AE6" w:rsidRDefault="00A21AE6">
      <w:pPr>
        <w:spacing w:after="0" w:line="240" w:lineRule="auto"/>
      </w:pPr>
      <w:r>
        <w:separator/>
      </w:r>
    </w:p>
  </w:footnote>
  <w:footnote w:type="continuationSeparator" w:id="0">
    <w:p w:rsidR="00A21AE6" w:rsidRDefault="00A21AE6">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A1FB9" w:rsidRDefault="00CA1FB9">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A1FB9" w:rsidRDefault="00CA1FB9">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A1FB9" w:rsidRDefault="00CA1FB9">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21AE6"/>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53B8E"/>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A1FB9"/>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029139938">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31244-88CF-48E9-9517-62AF6729D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3171</Words>
  <Characters>18076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2025-02-17T12:34:00Z</dcterms:created>
  <dcterms:modified xsi:type="dcterms:W3CDTF">2025-02-17T12:34:00Z</dcterms:modified>
</cp:coreProperties>
</file>