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20.02.2025 № 05-07/267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5C6C7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112286">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1122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1122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1122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1122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21.11.2025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1122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14.11.2025.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1122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1122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1122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1122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1122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 (реестровая запись)</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1122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 преимущества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112286">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1122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lastRenderedPageBreak/>
              <w:t>(при наличии ПП № 2571)</w:t>
            </w:r>
          </w:p>
        </w:tc>
        <w:tc>
          <w:tcPr>
            <w:tcW w:w="4692" w:type="dxa"/>
          </w:tcPr>
          <w:p w:rsidR="00C14573" w:rsidRDefault="00C14573" w:rsidP="00112286">
            <w:pPr>
              <w:ind w:right="-1"/>
              <w:rPr>
                <w:rFonts w:ascii="Times New Roman" w:hAnsi="Times New Roman" w:cs="Times New Roman"/>
                <w:noProof/>
                <w:sz w:val="24"/>
                <w:szCs w:val="24"/>
              </w:rPr>
            </w:pPr>
            <w:r w:rsidRPr="00C15FD9">
              <w:rPr>
                <w:rFonts w:ascii="Times New Roman" w:hAnsi="Times New Roman" w:cs="Times New Roman"/>
                <w:noProof/>
                <w:sz w:val="24"/>
                <w:szCs w:val="24"/>
              </w:rPr>
              <w:lastRenderedPageBreak/>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112286" w:rsidRPr="00112286" w:rsidRDefault="00C14573" w:rsidP="00112286">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ayout w:type="fixed"/>
        <w:tblLook w:val="04A0" w:firstRow="1" w:lastRow="0" w:firstColumn="1" w:lastColumn="0" w:noHBand="0" w:noVBand="1"/>
      </w:tblPr>
      <w:tblGrid>
        <w:gridCol w:w="533"/>
        <w:gridCol w:w="1276"/>
        <w:gridCol w:w="1135"/>
        <w:gridCol w:w="1700"/>
        <w:gridCol w:w="1276"/>
        <w:gridCol w:w="1135"/>
        <w:gridCol w:w="1560"/>
        <w:gridCol w:w="1844"/>
        <w:gridCol w:w="1135"/>
        <w:gridCol w:w="992"/>
        <w:gridCol w:w="852"/>
        <w:gridCol w:w="848"/>
        <w:gridCol w:w="852"/>
        <w:gridCol w:w="810"/>
      </w:tblGrid>
      <w:tr w:rsidR="00112286" w:rsidRPr="00112286" w:rsidTr="00112286">
        <w:trPr>
          <w:trHeight w:val="499"/>
        </w:trPr>
        <w:tc>
          <w:tcPr>
            <w:tcW w:w="167" w:type="pct"/>
            <w:vMerge w:val="restart"/>
            <w:tcBorders>
              <w:top w:val="single" w:sz="8" w:space="0" w:color="auto"/>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jc w:val="center"/>
              <w:rPr>
                <w:rFonts w:ascii="Times New Roman" w:eastAsia="Times New Roman" w:hAnsi="Times New Roman" w:cs="Times New Roman"/>
                <w:b/>
                <w:bCs/>
                <w:color w:val="000000"/>
                <w:sz w:val="16"/>
                <w:szCs w:val="16"/>
                <w:lang w:eastAsia="ru-RU"/>
              </w:rPr>
            </w:pPr>
            <w:r w:rsidRPr="00112286">
              <w:rPr>
                <w:rFonts w:ascii="Times New Roman" w:eastAsia="Times New Roman" w:hAnsi="Times New Roman" w:cs="Times New Roman"/>
                <w:b/>
                <w:bCs/>
                <w:color w:val="000000"/>
                <w:sz w:val="16"/>
                <w:szCs w:val="16"/>
                <w:lang w:eastAsia="ru-RU"/>
              </w:rPr>
              <w:t> </w:t>
            </w:r>
            <w:r>
              <w:rPr>
                <w:rFonts w:ascii="Times New Roman" w:eastAsia="Times New Roman" w:hAnsi="Times New Roman" w:cs="Times New Roman"/>
                <w:b/>
                <w:bCs/>
                <w:color w:val="000000"/>
                <w:sz w:val="16"/>
                <w:szCs w:val="16"/>
                <w:lang w:eastAsia="ru-RU"/>
              </w:rPr>
              <w:t>№ п/п</w:t>
            </w:r>
          </w:p>
        </w:tc>
        <w:tc>
          <w:tcPr>
            <w:tcW w:w="400" w:type="pct"/>
            <w:vMerge w:val="restart"/>
            <w:tcBorders>
              <w:top w:val="single" w:sz="8" w:space="0" w:color="auto"/>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jc w:val="center"/>
              <w:rPr>
                <w:rFonts w:ascii="Times New Roman" w:eastAsia="Times New Roman" w:hAnsi="Times New Roman" w:cs="Times New Roman"/>
                <w:b/>
                <w:bCs/>
                <w:color w:val="000000"/>
                <w:sz w:val="16"/>
                <w:szCs w:val="16"/>
                <w:lang w:eastAsia="ru-RU"/>
              </w:rPr>
            </w:pPr>
            <w:r w:rsidRPr="00112286">
              <w:rPr>
                <w:rFonts w:ascii="Times New Roman" w:eastAsia="Times New Roman" w:hAnsi="Times New Roman" w:cs="Times New Roman"/>
                <w:b/>
                <w:bCs/>
                <w:color w:val="000000"/>
                <w:sz w:val="16"/>
                <w:szCs w:val="16"/>
                <w:lang w:eastAsia="ru-RU"/>
              </w:rPr>
              <w:t>Наименование товара, работы, услуги</w:t>
            </w:r>
          </w:p>
        </w:tc>
        <w:tc>
          <w:tcPr>
            <w:tcW w:w="356" w:type="pct"/>
            <w:vMerge w:val="restart"/>
            <w:tcBorders>
              <w:top w:val="single" w:sz="8" w:space="0" w:color="auto"/>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jc w:val="center"/>
              <w:rPr>
                <w:rFonts w:ascii="Times New Roman" w:eastAsia="Times New Roman" w:hAnsi="Times New Roman" w:cs="Times New Roman"/>
                <w:b/>
                <w:bCs/>
                <w:color w:val="000000"/>
                <w:sz w:val="16"/>
                <w:szCs w:val="16"/>
                <w:lang w:eastAsia="ru-RU"/>
              </w:rPr>
            </w:pPr>
            <w:r w:rsidRPr="00112286">
              <w:rPr>
                <w:rFonts w:ascii="Times New Roman" w:eastAsia="Times New Roman" w:hAnsi="Times New Roman" w:cs="Times New Roman"/>
                <w:b/>
                <w:bCs/>
                <w:color w:val="000000"/>
                <w:sz w:val="16"/>
                <w:szCs w:val="16"/>
                <w:lang w:eastAsia="ru-RU"/>
              </w:rPr>
              <w:t>Код позиции</w:t>
            </w:r>
          </w:p>
        </w:tc>
        <w:tc>
          <w:tcPr>
            <w:tcW w:w="1778" w:type="pct"/>
            <w:gridSpan w:val="4"/>
            <w:tcBorders>
              <w:top w:val="single" w:sz="8" w:space="0" w:color="auto"/>
              <w:left w:val="nil"/>
              <w:bottom w:val="single" w:sz="8" w:space="0" w:color="auto"/>
              <w:right w:val="single" w:sz="8" w:space="0" w:color="000000"/>
            </w:tcBorders>
            <w:vAlign w:val="center"/>
            <w:hideMark/>
          </w:tcPr>
          <w:p w:rsidR="00112286" w:rsidRPr="00112286" w:rsidRDefault="00112286" w:rsidP="00A67B5C">
            <w:pPr>
              <w:spacing w:after="0" w:line="240" w:lineRule="auto"/>
              <w:jc w:val="center"/>
              <w:rPr>
                <w:rFonts w:ascii="Times New Roman" w:eastAsia="Times New Roman" w:hAnsi="Times New Roman" w:cs="Times New Roman"/>
                <w:b/>
                <w:bCs/>
                <w:color w:val="000000"/>
                <w:sz w:val="16"/>
                <w:szCs w:val="16"/>
                <w:lang w:eastAsia="ru-RU"/>
              </w:rPr>
            </w:pPr>
            <w:r w:rsidRPr="00112286">
              <w:rPr>
                <w:rFonts w:ascii="Times New Roman" w:eastAsia="Times New Roman" w:hAnsi="Times New Roman" w:cs="Times New Roman"/>
                <w:b/>
                <w:bCs/>
                <w:color w:val="000000"/>
                <w:sz w:val="16"/>
                <w:szCs w:val="16"/>
                <w:lang w:eastAsia="ru-RU"/>
              </w:rPr>
              <w:t>Характеристики товара, работы, услуги</w:t>
            </w:r>
          </w:p>
        </w:tc>
        <w:tc>
          <w:tcPr>
            <w:tcW w:w="578" w:type="pct"/>
            <w:vMerge w:val="restart"/>
            <w:tcBorders>
              <w:top w:val="single" w:sz="8" w:space="0" w:color="auto"/>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jc w:val="center"/>
              <w:rPr>
                <w:rFonts w:ascii="Times New Roman" w:eastAsia="Times New Roman" w:hAnsi="Times New Roman" w:cs="Times New Roman"/>
                <w:b/>
                <w:bCs/>
                <w:color w:val="000000"/>
                <w:sz w:val="16"/>
                <w:szCs w:val="16"/>
                <w:lang w:eastAsia="ru-RU"/>
              </w:rPr>
            </w:pPr>
            <w:r w:rsidRPr="00112286">
              <w:rPr>
                <w:rFonts w:ascii="Times New Roman" w:eastAsia="Times New Roman" w:hAnsi="Times New Roman" w:cs="Times New Roman"/>
                <w:b/>
                <w:bCs/>
                <w:color w:val="000000"/>
                <w:sz w:val="16"/>
                <w:szCs w:val="16"/>
                <w:lang w:eastAsia="ru-RU"/>
              </w:rPr>
              <w:t>Обоснование характеристик</w:t>
            </w:r>
          </w:p>
        </w:tc>
        <w:tc>
          <w:tcPr>
            <w:tcW w:w="356" w:type="pct"/>
            <w:vMerge w:val="restart"/>
            <w:tcBorders>
              <w:top w:val="single" w:sz="8" w:space="0" w:color="auto"/>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jc w:val="center"/>
              <w:rPr>
                <w:rFonts w:ascii="Times New Roman" w:eastAsia="Times New Roman" w:hAnsi="Times New Roman" w:cs="Times New Roman"/>
                <w:b/>
                <w:bCs/>
                <w:color w:val="000000"/>
                <w:sz w:val="16"/>
                <w:szCs w:val="16"/>
                <w:lang w:eastAsia="ru-RU"/>
              </w:rPr>
            </w:pPr>
            <w:r w:rsidRPr="00112286">
              <w:rPr>
                <w:rFonts w:ascii="Times New Roman" w:eastAsia="Times New Roman" w:hAnsi="Times New Roman" w:cs="Times New Roman"/>
                <w:b/>
                <w:bCs/>
                <w:color w:val="000000"/>
                <w:sz w:val="16"/>
                <w:szCs w:val="16"/>
                <w:lang w:eastAsia="ru-RU"/>
              </w:rPr>
              <w:t>Количество (объем работы, услуги)</w:t>
            </w:r>
          </w:p>
        </w:tc>
        <w:tc>
          <w:tcPr>
            <w:tcW w:w="311" w:type="pct"/>
            <w:vMerge w:val="restart"/>
            <w:tcBorders>
              <w:top w:val="single" w:sz="8" w:space="0" w:color="auto"/>
              <w:left w:val="single" w:sz="8" w:space="0" w:color="auto"/>
              <w:bottom w:val="single" w:sz="8" w:space="0" w:color="000000"/>
              <w:right w:val="nil"/>
            </w:tcBorders>
            <w:vAlign w:val="center"/>
            <w:hideMark/>
          </w:tcPr>
          <w:p w:rsidR="00112286" w:rsidRPr="00112286" w:rsidRDefault="00112286" w:rsidP="00A67B5C">
            <w:pPr>
              <w:spacing w:after="0" w:line="240" w:lineRule="auto"/>
              <w:jc w:val="center"/>
              <w:rPr>
                <w:rFonts w:ascii="Times New Roman" w:eastAsia="Times New Roman" w:hAnsi="Times New Roman" w:cs="Times New Roman"/>
                <w:b/>
                <w:bCs/>
                <w:color w:val="000000"/>
                <w:sz w:val="16"/>
                <w:szCs w:val="16"/>
                <w:lang w:eastAsia="ru-RU"/>
              </w:rPr>
            </w:pPr>
            <w:r w:rsidRPr="00112286">
              <w:rPr>
                <w:rFonts w:ascii="Times New Roman" w:eastAsia="Times New Roman" w:hAnsi="Times New Roman" w:cs="Times New Roman"/>
                <w:b/>
                <w:bCs/>
                <w:color w:val="000000"/>
                <w:sz w:val="16"/>
                <w:szCs w:val="16"/>
                <w:lang w:eastAsia="ru-RU"/>
              </w:rPr>
              <w:t>Единица измерения</w:t>
            </w:r>
          </w:p>
        </w:tc>
        <w:tc>
          <w:tcPr>
            <w:tcW w:w="267" w:type="pct"/>
            <w:vMerge w:val="restart"/>
            <w:tcBorders>
              <w:top w:val="single" w:sz="4" w:space="0" w:color="auto"/>
              <w:left w:val="single" w:sz="4" w:space="0" w:color="auto"/>
              <w:bottom w:val="single" w:sz="4" w:space="0" w:color="auto"/>
              <w:right w:val="single" w:sz="4" w:space="0" w:color="auto"/>
            </w:tcBorders>
            <w:noWrap/>
            <w:vAlign w:val="bottom"/>
            <w:hideMark/>
          </w:tcPr>
          <w:p w:rsidR="00112286" w:rsidRDefault="00112286" w:rsidP="00A67B5C">
            <w:pPr>
              <w:spacing w:after="0" w:line="240" w:lineRule="auto"/>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С</w:t>
            </w:r>
            <w:r w:rsidRPr="00112286">
              <w:rPr>
                <w:rFonts w:ascii="Times New Roman" w:eastAsia="Times New Roman" w:hAnsi="Times New Roman" w:cs="Times New Roman"/>
                <w:b/>
                <w:color w:val="000000"/>
                <w:sz w:val="16"/>
                <w:szCs w:val="16"/>
                <w:lang w:eastAsia="ru-RU"/>
              </w:rPr>
              <w:t>трана происхождения</w:t>
            </w:r>
          </w:p>
          <w:p w:rsidR="00112286" w:rsidRPr="00112286" w:rsidRDefault="00112286" w:rsidP="00A67B5C">
            <w:pPr>
              <w:spacing w:after="0" w:line="240" w:lineRule="auto"/>
              <w:jc w:val="center"/>
              <w:rPr>
                <w:rFonts w:ascii="Times New Roman" w:eastAsia="Times New Roman" w:hAnsi="Times New Roman" w:cs="Times New Roman"/>
                <w:b/>
                <w:color w:val="000000"/>
                <w:sz w:val="16"/>
                <w:szCs w:val="16"/>
                <w:lang w:eastAsia="ru-RU"/>
              </w:rPr>
            </w:pPr>
          </w:p>
        </w:tc>
        <w:tc>
          <w:tcPr>
            <w:tcW w:w="266" w:type="pct"/>
            <w:vMerge w:val="restart"/>
            <w:tcBorders>
              <w:top w:val="single" w:sz="4" w:space="0" w:color="auto"/>
              <w:left w:val="single" w:sz="4" w:space="0" w:color="auto"/>
              <w:bottom w:val="single" w:sz="4" w:space="0" w:color="auto"/>
              <w:right w:val="single" w:sz="4" w:space="0" w:color="auto"/>
            </w:tcBorders>
            <w:noWrap/>
            <w:vAlign w:val="bottom"/>
            <w:hideMark/>
          </w:tcPr>
          <w:p w:rsidR="00112286" w:rsidRDefault="00112286" w:rsidP="00A67B5C">
            <w:pPr>
              <w:spacing w:after="0" w:line="240" w:lineRule="auto"/>
              <w:jc w:val="center"/>
              <w:rPr>
                <w:rFonts w:ascii="Times New Roman" w:eastAsia="Times New Roman" w:hAnsi="Times New Roman" w:cs="Times New Roman"/>
                <w:b/>
                <w:color w:val="000000"/>
                <w:sz w:val="16"/>
                <w:szCs w:val="16"/>
                <w:lang w:eastAsia="ru-RU"/>
              </w:rPr>
            </w:pPr>
            <w:r w:rsidRPr="00112286">
              <w:rPr>
                <w:rFonts w:ascii="Times New Roman" w:eastAsia="Times New Roman" w:hAnsi="Times New Roman" w:cs="Times New Roman"/>
                <w:b/>
                <w:color w:val="000000"/>
                <w:sz w:val="16"/>
                <w:szCs w:val="16"/>
                <w:lang w:eastAsia="ru-RU"/>
              </w:rPr>
              <w:t>Ставка НДС%</w:t>
            </w:r>
          </w:p>
          <w:p w:rsidR="00112286" w:rsidRDefault="00112286" w:rsidP="00A67B5C">
            <w:pPr>
              <w:spacing w:after="0" w:line="240" w:lineRule="auto"/>
              <w:jc w:val="center"/>
              <w:rPr>
                <w:rFonts w:ascii="Times New Roman" w:eastAsia="Times New Roman" w:hAnsi="Times New Roman" w:cs="Times New Roman"/>
                <w:b/>
                <w:color w:val="000000"/>
                <w:sz w:val="16"/>
                <w:szCs w:val="16"/>
                <w:lang w:eastAsia="ru-RU"/>
              </w:rPr>
            </w:pPr>
          </w:p>
          <w:p w:rsidR="00112286" w:rsidRPr="00112286" w:rsidRDefault="00112286" w:rsidP="00A67B5C">
            <w:pPr>
              <w:spacing w:after="0" w:line="240" w:lineRule="auto"/>
              <w:jc w:val="center"/>
              <w:rPr>
                <w:rFonts w:ascii="Times New Roman" w:eastAsia="Times New Roman" w:hAnsi="Times New Roman" w:cs="Times New Roman"/>
                <w:b/>
                <w:color w:val="000000"/>
                <w:sz w:val="16"/>
                <w:szCs w:val="16"/>
                <w:lang w:eastAsia="ru-RU"/>
              </w:rPr>
            </w:pPr>
          </w:p>
        </w:tc>
        <w:tc>
          <w:tcPr>
            <w:tcW w:w="267" w:type="pct"/>
            <w:vMerge w:val="restart"/>
            <w:tcBorders>
              <w:top w:val="single" w:sz="4" w:space="0" w:color="auto"/>
              <w:left w:val="single" w:sz="4" w:space="0" w:color="auto"/>
              <w:bottom w:val="single" w:sz="4" w:space="0" w:color="auto"/>
              <w:right w:val="single" w:sz="4" w:space="0" w:color="auto"/>
            </w:tcBorders>
            <w:noWrap/>
            <w:vAlign w:val="bottom"/>
            <w:hideMark/>
          </w:tcPr>
          <w:p w:rsidR="00112286" w:rsidRDefault="00112286" w:rsidP="00A67B5C">
            <w:pPr>
              <w:spacing w:after="0" w:line="240" w:lineRule="auto"/>
              <w:jc w:val="center"/>
              <w:rPr>
                <w:rFonts w:ascii="Times New Roman" w:eastAsia="Times New Roman" w:hAnsi="Times New Roman" w:cs="Times New Roman"/>
                <w:b/>
                <w:color w:val="000000"/>
                <w:sz w:val="16"/>
                <w:szCs w:val="16"/>
                <w:lang w:eastAsia="ru-RU"/>
              </w:rPr>
            </w:pPr>
            <w:r w:rsidRPr="00112286">
              <w:rPr>
                <w:rFonts w:ascii="Times New Roman" w:eastAsia="Times New Roman" w:hAnsi="Times New Roman" w:cs="Times New Roman"/>
                <w:b/>
                <w:color w:val="000000"/>
                <w:sz w:val="16"/>
                <w:szCs w:val="16"/>
                <w:lang w:eastAsia="ru-RU"/>
              </w:rPr>
              <w:t>Цена за ед. без НДС</w:t>
            </w:r>
          </w:p>
          <w:p w:rsidR="00112286" w:rsidRPr="00112286" w:rsidRDefault="00112286" w:rsidP="00A67B5C">
            <w:pPr>
              <w:spacing w:after="0" w:line="240" w:lineRule="auto"/>
              <w:jc w:val="center"/>
              <w:rPr>
                <w:rFonts w:ascii="Times New Roman" w:eastAsia="Times New Roman" w:hAnsi="Times New Roman" w:cs="Times New Roman"/>
                <w:b/>
                <w:color w:val="000000"/>
                <w:sz w:val="16"/>
                <w:szCs w:val="16"/>
                <w:lang w:eastAsia="ru-RU"/>
              </w:rPr>
            </w:pPr>
          </w:p>
        </w:tc>
        <w:tc>
          <w:tcPr>
            <w:tcW w:w="254" w:type="pct"/>
            <w:vMerge w:val="restart"/>
            <w:tcBorders>
              <w:top w:val="single" w:sz="4" w:space="0" w:color="auto"/>
              <w:left w:val="single" w:sz="4" w:space="0" w:color="auto"/>
              <w:bottom w:val="single" w:sz="4" w:space="0" w:color="auto"/>
              <w:right w:val="single" w:sz="4" w:space="0" w:color="auto"/>
            </w:tcBorders>
            <w:noWrap/>
            <w:vAlign w:val="bottom"/>
            <w:hideMark/>
          </w:tcPr>
          <w:p w:rsidR="00112286" w:rsidRDefault="00112286" w:rsidP="00A67B5C">
            <w:pPr>
              <w:spacing w:after="0" w:line="240" w:lineRule="auto"/>
              <w:jc w:val="center"/>
              <w:rPr>
                <w:rFonts w:ascii="Times New Roman" w:eastAsia="Times New Roman" w:hAnsi="Times New Roman" w:cs="Times New Roman"/>
                <w:b/>
                <w:color w:val="000000"/>
                <w:sz w:val="16"/>
                <w:szCs w:val="16"/>
                <w:lang w:eastAsia="ru-RU"/>
              </w:rPr>
            </w:pPr>
            <w:r w:rsidRPr="00112286">
              <w:rPr>
                <w:rFonts w:ascii="Times New Roman" w:eastAsia="Times New Roman" w:hAnsi="Times New Roman" w:cs="Times New Roman"/>
                <w:b/>
                <w:color w:val="000000"/>
                <w:sz w:val="16"/>
                <w:szCs w:val="16"/>
                <w:lang w:eastAsia="ru-RU"/>
              </w:rPr>
              <w:t>Сумма без НДС</w:t>
            </w:r>
          </w:p>
          <w:p w:rsidR="00112286" w:rsidRPr="00112286" w:rsidRDefault="00112286" w:rsidP="00A67B5C">
            <w:pPr>
              <w:spacing w:after="0" w:line="240" w:lineRule="auto"/>
              <w:jc w:val="center"/>
              <w:rPr>
                <w:rFonts w:ascii="Times New Roman" w:eastAsia="Times New Roman" w:hAnsi="Times New Roman" w:cs="Times New Roman"/>
                <w:b/>
                <w:color w:val="000000"/>
                <w:sz w:val="16"/>
                <w:szCs w:val="16"/>
                <w:lang w:eastAsia="ru-RU"/>
              </w:rPr>
            </w:pPr>
          </w:p>
        </w:tc>
      </w:tr>
      <w:tr w:rsidR="00112286" w:rsidRPr="00112286" w:rsidTr="00112286">
        <w:trPr>
          <w:trHeight w:val="499"/>
        </w:trPr>
        <w:tc>
          <w:tcPr>
            <w:tcW w:w="167" w:type="pct"/>
            <w:vMerge/>
            <w:tcBorders>
              <w:top w:val="single" w:sz="8" w:space="0" w:color="auto"/>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b/>
                <w:bCs/>
                <w:color w:val="000000"/>
                <w:sz w:val="16"/>
                <w:szCs w:val="16"/>
                <w:lang w:eastAsia="ru-RU"/>
              </w:rPr>
            </w:pPr>
          </w:p>
        </w:tc>
        <w:tc>
          <w:tcPr>
            <w:tcW w:w="400" w:type="pct"/>
            <w:vMerge/>
            <w:tcBorders>
              <w:top w:val="single" w:sz="8" w:space="0" w:color="auto"/>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b/>
                <w:bCs/>
                <w:color w:val="000000"/>
                <w:sz w:val="16"/>
                <w:szCs w:val="16"/>
                <w:lang w:eastAsia="ru-RU"/>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b/>
                <w:bCs/>
                <w:color w:val="000000"/>
                <w:sz w:val="16"/>
                <w:szCs w:val="16"/>
                <w:lang w:eastAsia="ru-RU"/>
              </w:rPr>
            </w:pPr>
          </w:p>
        </w:tc>
        <w:tc>
          <w:tcPr>
            <w:tcW w:w="533" w:type="pct"/>
            <w:tcBorders>
              <w:top w:val="nil"/>
              <w:left w:val="nil"/>
              <w:bottom w:val="single" w:sz="4" w:space="0" w:color="auto"/>
              <w:right w:val="single" w:sz="8" w:space="0" w:color="auto"/>
            </w:tcBorders>
            <w:vAlign w:val="center"/>
            <w:hideMark/>
          </w:tcPr>
          <w:p w:rsidR="00112286" w:rsidRPr="00112286" w:rsidRDefault="00112286" w:rsidP="00A67B5C">
            <w:pPr>
              <w:spacing w:after="0" w:line="240" w:lineRule="auto"/>
              <w:jc w:val="center"/>
              <w:rPr>
                <w:rFonts w:ascii="Times New Roman" w:eastAsia="Times New Roman" w:hAnsi="Times New Roman" w:cs="Times New Roman"/>
                <w:b/>
                <w:bCs/>
                <w:color w:val="000000"/>
                <w:sz w:val="16"/>
                <w:szCs w:val="16"/>
                <w:lang w:eastAsia="ru-RU"/>
              </w:rPr>
            </w:pPr>
            <w:r w:rsidRPr="00112286">
              <w:rPr>
                <w:rFonts w:ascii="Times New Roman" w:eastAsia="Times New Roman" w:hAnsi="Times New Roman" w:cs="Times New Roman"/>
                <w:b/>
                <w:bCs/>
                <w:color w:val="000000"/>
                <w:sz w:val="16"/>
                <w:szCs w:val="16"/>
                <w:lang w:eastAsia="ru-RU"/>
              </w:rPr>
              <w:t>Наименование характеристики</w:t>
            </w:r>
          </w:p>
        </w:tc>
        <w:tc>
          <w:tcPr>
            <w:tcW w:w="400" w:type="pct"/>
            <w:tcBorders>
              <w:top w:val="nil"/>
              <w:left w:val="nil"/>
              <w:bottom w:val="single" w:sz="4" w:space="0" w:color="auto"/>
              <w:right w:val="single" w:sz="8" w:space="0" w:color="auto"/>
            </w:tcBorders>
            <w:vAlign w:val="center"/>
            <w:hideMark/>
          </w:tcPr>
          <w:p w:rsidR="00112286" w:rsidRPr="00112286" w:rsidRDefault="00112286" w:rsidP="00A67B5C">
            <w:pPr>
              <w:spacing w:after="0" w:line="240" w:lineRule="auto"/>
              <w:jc w:val="center"/>
              <w:rPr>
                <w:rFonts w:ascii="Times New Roman" w:eastAsia="Times New Roman" w:hAnsi="Times New Roman" w:cs="Times New Roman"/>
                <w:b/>
                <w:bCs/>
                <w:color w:val="000000"/>
                <w:sz w:val="16"/>
                <w:szCs w:val="16"/>
                <w:lang w:eastAsia="ru-RU"/>
              </w:rPr>
            </w:pPr>
            <w:r w:rsidRPr="00112286">
              <w:rPr>
                <w:rFonts w:ascii="Times New Roman" w:eastAsia="Times New Roman" w:hAnsi="Times New Roman" w:cs="Times New Roman"/>
                <w:b/>
                <w:bCs/>
                <w:color w:val="000000"/>
                <w:sz w:val="16"/>
                <w:szCs w:val="16"/>
                <w:lang w:eastAsia="ru-RU"/>
              </w:rPr>
              <w:t>Значение характеристики</w:t>
            </w:r>
          </w:p>
        </w:tc>
        <w:tc>
          <w:tcPr>
            <w:tcW w:w="356" w:type="pct"/>
            <w:tcBorders>
              <w:top w:val="nil"/>
              <w:left w:val="nil"/>
              <w:bottom w:val="single" w:sz="4" w:space="0" w:color="auto"/>
              <w:right w:val="single" w:sz="8" w:space="0" w:color="auto"/>
            </w:tcBorders>
            <w:vAlign w:val="center"/>
            <w:hideMark/>
          </w:tcPr>
          <w:p w:rsidR="00112286" w:rsidRPr="00112286" w:rsidRDefault="00112286" w:rsidP="00A67B5C">
            <w:pPr>
              <w:spacing w:after="0" w:line="240" w:lineRule="auto"/>
              <w:jc w:val="center"/>
              <w:rPr>
                <w:rFonts w:ascii="Times New Roman" w:eastAsia="Times New Roman" w:hAnsi="Times New Roman" w:cs="Times New Roman"/>
                <w:b/>
                <w:bCs/>
                <w:color w:val="000000"/>
                <w:sz w:val="16"/>
                <w:szCs w:val="16"/>
                <w:lang w:eastAsia="ru-RU"/>
              </w:rPr>
            </w:pPr>
            <w:r w:rsidRPr="00112286">
              <w:rPr>
                <w:rFonts w:ascii="Times New Roman" w:eastAsia="Times New Roman" w:hAnsi="Times New Roman" w:cs="Times New Roman"/>
                <w:b/>
                <w:bCs/>
                <w:color w:val="000000"/>
                <w:sz w:val="16"/>
                <w:szCs w:val="16"/>
                <w:lang w:eastAsia="ru-RU"/>
              </w:rPr>
              <w:t>Единица измерения характеристики</w:t>
            </w:r>
          </w:p>
        </w:tc>
        <w:tc>
          <w:tcPr>
            <w:tcW w:w="489" w:type="pct"/>
            <w:tcBorders>
              <w:top w:val="nil"/>
              <w:left w:val="nil"/>
              <w:bottom w:val="single" w:sz="4" w:space="0" w:color="auto"/>
              <w:right w:val="single" w:sz="8" w:space="0" w:color="auto"/>
            </w:tcBorders>
            <w:vAlign w:val="center"/>
            <w:hideMark/>
          </w:tcPr>
          <w:p w:rsidR="00112286" w:rsidRPr="00112286" w:rsidRDefault="00112286" w:rsidP="00A67B5C">
            <w:pPr>
              <w:spacing w:after="0" w:line="240" w:lineRule="auto"/>
              <w:jc w:val="center"/>
              <w:rPr>
                <w:rFonts w:ascii="Times New Roman" w:eastAsia="Times New Roman" w:hAnsi="Times New Roman" w:cs="Times New Roman"/>
                <w:b/>
                <w:bCs/>
                <w:color w:val="000000"/>
                <w:sz w:val="16"/>
                <w:szCs w:val="16"/>
                <w:lang w:eastAsia="ru-RU"/>
              </w:rPr>
            </w:pPr>
            <w:r w:rsidRPr="00112286">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578" w:type="pct"/>
            <w:vMerge/>
            <w:tcBorders>
              <w:top w:val="single" w:sz="8" w:space="0" w:color="auto"/>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b/>
                <w:bCs/>
                <w:color w:val="000000"/>
                <w:sz w:val="16"/>
                <w:szCs w:val="16"/>
                <w:lang w:eastAsia="ru-RU"/>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b/>
                <w:bCs/>
                <w:color w:val="000000"/>
                <w:sz w:val="16"/>
                <w:szCs w:val="16"/>
                <w:lang w:eastAsia="ru-RU"/>
              </w:rPr>
            </w:pPr>
          </w:p>
        </w:tc>
        <w:tc>
          <w:tcPr>
            <w:tcW w:w="311" w:type="pct"/>
            <w:vMerge/>
            <w:tcBorders>
              <w:top w:val="single" w:sz="8" w:space="0" w:color="auto"/>
              <w:left w:val="single" w:sz="8" w:space="0" w:color="auto"/>
              <w:bottom w:val="single" w:sz="8" w:space="0" w:color="000000"/>
              <w:right w:val="nil"/>
            </w:tcBorders>
            <w:vAlign w:val="center"/>
            <w:hideMark/>
          </w:tcPr>
          <w:p w:rsidR="00112286" w:rsidRPr="00112286" w:rsidRDefault="00112286" w:rsidP="00A67B5C">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r>
      <w:tr w:rsidR="00112286" w:rsidRPr="00112286" w:rsidTr="00112286">
        <w:trPr>
          <w:trHeight w:val="1327"/>
        </w:trPr>
        <w:tc>
          <w:tcPr>
            <w:tcW w:w="167"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1</w:t>
            </w:r>
          </w:p>
        </w:tc>
        <w:tc>
          <w:tcPr>
            <w:tcW w:w="400"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Пеленка впитывающая</w:t>
            </w:r>
          </w:p>
        </w:tc>
        <w:tc>
          <w:tcPr>
            <w:tcW w:w="356" w:type="pct"/>
            <w:vMerge w:val="restart"/>
            <w:tcBorders>
              <w:top w:val="nil"/>
              <w:left w:val="single" w:sz="8" w:space="0" w:color="auto"/>
              <w:bottom w:val="single" w:sz="8" w:space="0" w:color="000000"/>
              <w:right w:val="single" w:sz="4" w:space="0" w:color="auto"/>
            </w:tcBorders>
            <w:vAlign w:val="center"/>
            <w:hideMark/>
          </w:tcPr>
          <w:p w:rsidR="00112286" w:rsidRPr="00112286" w:rsidRDefault="00112286" w:rsidP="00A67B5C">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17.22.12.130-00000002*</w:t>
            </w:r>
            <w:r>
              <w:rPr>
                <w:rFonts w:ascii="Times New Roman" w:eastAsia="Times New Roman" w:hAnsi="Times New Roman" w:cs="Times New Roman"/>
                <w:color w:val="000000"/>
                <w:sz w:val="16"/>
                <w:szCs w:val="16"/>
                <w:lang w:eastAsia="ru-RU"/>
              </w:rPr>
              <w:t>*</w:t>
            </w:r>
          </w:p>
        </w:tc>
        <w:tc>
          <w:tcPr>
            <w:tcW w:w="533" w:type="pct"/>
            <w:tcBorders>
              <w:top w:val="single" w:sz="4" w:space="0" w:color="auto"/>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 </w:t>
            </w:r>
          </w:p>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Размер пеленки</w:t>
            </w:r>
          </w:p>
        </w:tc>
        <w:tc>
          <w:tcPr>
            <w:tcW w:w="400" w:type="pct"/>
            <w:tcBorders>
              <w:top w:val="single" w:sz="4" w:space="0" w:color="auto"/>
              <w:left w:val="single" w:sz="4" w:space="0" w:color="auto"/>
              <w:bottom w:val="single" w:sz="4" w:space="0" w:color="auto"/>
              <w:right w:val="single" w:sz="4"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не менее 60 х 90</w:t>
            </w:r>
          </w:p>
        </w:tc>
        <w:tc>
          <w:tcPr>
            <w:tcW w:w="356" w:type="pct"/>
            <w:tcBorders>
              <w:top w:val="single" w:sz="4" w:space="0" w:color="auto"/>
              <w:left w:val="single" w:sz="4" w:space="0" w:color="auto"/>
              <w:bottom w:val="single" w:sz="4" w:space="0" w:color="auto"/>
              <w:right w:val="single" w:sz="4"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Сантиметр</w:t>
            </w:r>
          </w:p>
        </w:tc>
        <w:tc>
          <w:tcPr>
            <w:tcW w:w="489" w:type="pct"/>
            <w:tcBorders>
              <w:top w:val="single" w:sz="4" w:space="0" w:color="auto"/>
              <w:left w:val="single" w:sz="4" w:space="0" w:color="auto"/>
              <w:bottom w:val="single" w:sz="4" w:space="0" w:color="auto"/>
              <w:right w:val="single" w:sz="4"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78" w:type="pct"/>
            <w:vMerge w:val="restart"/>
            <w:tcBorders>
              <w:top w:val="nil"/>
              <w:left w:val="single" w:sz="4"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КТРУ</w:t>
            </w:r>
          </w:p>
        </w:tc>
        <w:tc>
          <w:tcPr>
            <w:tcW w:w="356"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57 960</w:t>
            </w:r>
          </w:p>
        </w:tc>
        <w:tc>
          <w:tcPr>
            <w:tcW w:w="311" w:type="pct"/>
            <w:vMerge w:val="restart"/>
            <w:tcBorders>
              <w:top w:val="nil"/>
              <w:left w:val="single" w:sz="8" w:space="0" w:color="auto"/>
              <w:bottom w:val="single" w:sz="8" w:space="0" w:color="000000"/>
              <w:right w:val="nil"/>
            </w:tcBorders>
            <w:vAlign w:val="center"/>
            <w:hideMark/>
          </w:tcPr>
          <w:p w:rsidR="00112286" w:rsidRPr="00112286" w:rsidRDefault="00112286" w:rsidP="00A67B5C">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штука</w:t>
            </w:r>
          </w:p>
        </w:tc>
        <w:tc>
          <w:tcPr>
            <w:tcW w:w="267" w:type="pct"/>
            <w:vMerge w:val="restart"/>
            <w:tcBorders>
              <w:top w:val="nil"/>
              <w:left w:val="single" w:sz="4" w:space="0" w:color="auto"/>
              <w:bottom w:val="single" w:sz="4" w:space="0" w:color="auto"/>
              <w:right w:val="single" w:sz="4" w:space="0" w:color="auto"/>
            </w:tcBorders>
            <w:noWrap/>
            <w:vAlign w:val="bottom"/>
            <w:hideMark/>
          </w:tcPr>
          <w:p w:rsidR="00112286" w:rsidRPr="00112286" w:rsidRDefault="00112286" w:rsidP="00A67B5C">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 </w:t>
            </w:r>
          </w:p>
        </w:tc>
        <w:tc>
          <w:tcPr>
            <w:tcW w:w="266" w:type="pct"/>
            <w:vMerge w:val="restart"/>
            <w:tcBorders>
              <w:top w:val="nil"/>
              <w:left w:val="single" w:sz="4" w:space="0" w:color="auto"/>
              <w:bottom w:val="single" w:sz="4" w:space="0" w:color="auto"/>
              <w:right w:val="single" w:sz="4" w:space="0" w:color="auto"/>
            </w:tcBorders>
            <w:noWrap/>
            <w:vAlign w:val="bottom"/>
            <w:hideMark/>
          </w:tcPr>
          <w:p w:rsidR="00112286" w:rsidRPr="00112286" w:rsidRDefault="00112286" w:rsidP="00A67B5C">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 </w:t>
            </w:r>
          </w:p>
        </w:tc>
        <w:tc>
          <w:tcPr>
            <w:tcW w:w="267" w:type="pct"/>
            <w:vMerge w:val="restart"/>
            <w:tcBorders>
              <w:top w:val="nil"/>
              <w:left w:val="single" w:sz="4" w:space="0" w:color="auto"/>
              <w:bottom w:val="single" w:sz="4" w:space="0" w:color="auto"/>
              <w:right w:val="single" w:sz="4" w:space="0" w:color="auto"/>
            </w:tcBorders>
            <w:noWrap/>
            <w:vAlign w:val="bottom"/>
            <w:hideMark/>
          </w:tcPr>
          <w:p w:rsidR="00112286" w:rsidRPr="00112286" w:rsidRDefault="00112286" w:rsidP="00A67B5C">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 </w:t>
            </w:r>
          </w:p>
        </w:tc>
        <w:tc>
          <w:tcPr>
            <w:tcW w:w="254" w:type="pct"/>
            <w:vMerge w:val="restart"/>
            <w:tcBorders>
              <w:top w:val="nil"/>
              <w:left w:val="single" w:sz="4" w:space="0" w:color="auto"/>
              <w:bottom w:val="single" w:sz="4" w:space="0" w:color="auto"/>
              <w:right w:val="single" w:sz="4" w:space="0" w:color="auto"/>
            </w:tcBorders>
            <w:noWrap/>
            <w:vAlign w:val="bottom"/>
            <w:hideMark/>
          </w:tcPr>
          <w:p w:rsidR="00112286" w:rsidRPr="00112286" w:rsidRDefault="00112286" w:rsidP="00A67B5C">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 </w:t>
            </w:r>
          </w:p>
        </w:tc>
      </w:tr>
      <w:tr w:rsidR="00112286" w:rsidRPr="00112286" w:rsidTr="00112286">
        <w:trPr>
          <w:trHeight w:val="499"/>
        </w:trPr>
        <w:tc>
          <w:tcPr>
            <w:tcW w:w="167"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533" w:type="pct"/>
            <w:tcBorders>
              <w:top w:val="single" w:sz="4" w:space="0" w:color="auto"/>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Впитываемость пеленки</w:t>
            </w:r>
          </w:p>
        </w:tc>
        <w:tc>
          <w:tcPr>
            <w:tcW w:w="400" w:type="pct"/>
            <w:tcBorders>
              <w:top w:val="single" w:sz="4" w:space="0" w:color="auto"/>
              <w:left w:val="single" w:sz="4" w:space="0" w:color="auto"/>
              <w:bottom w:val="single" w:sz="4" w:space="0" w:color="auto"/>
              <w:right w:val="single" w:sz="4"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от 1200 и  до 1900</w:t>
            </w:r>
          </w:p>
        </w:tc>
        <w:tc>
          <w:tcPr>
            <w:tcW w:w="356" w:type="pct"/>
            <w:tcBorders>
              <w:top w:val="single" w:sz="4" w:space="0" w:color="auto"/>
              <w:left w:val="single" w:sz="4" w:space="0" w:color="auto"/>
              <w:bottom w:val="single" w:sz="4" w:space="0" w:color="auto"/>
              <w:right w:val="single" w:sz="4"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Миллилитр</w:t>
            </w:r>
          </w:p>
        </w:tc>
        <w:tc>
          <w:tcPr>
            <w:tcW w:w="489" w:type="pct"/>
            <w:tcBorders>
              <w:top w:val="single" w:sz="4" w:space="0" w:color="auto"/>
              <w:left w:val="single" w:sz="4" w:space="0" w:color="auto"/>
              <w:bottom w:val="single" w:sz="4" w:space="0" w:color="auto"/>
              <w:right w:val="single" w:sz="4"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78" w:type="pct"/>
            <w:vMerge/>
            <w:tcBorders>
              <w:top w:val="nil"/>
              <w:left w:val="single" w:sz="4"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r>
      <w:tr w:rsidR="00112286" w:rsidRPr="00112286" w:rsidTr="00112286">
        <w:trPr>
          <w:trHeight w:val="499"/>
        </w:trPr>
        <w:tc>
          <w:tcPr>
            <w:tcW w:w="167"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533" w:type="pct"/>
            <w:tcBorders>
              <w:top w:val="single" w:sz="4" w:space="0" w:color="auto"/>
              <w:left w:val="nil"/>
              <w:bottom w:val="nil"/>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 xml:space="preserve">Пеленки многослойные                                              </w:t>
            </w:r>
          </w:p>
        </w:tc>
        <w:tc>
          <w:tcPr>
            <w:tcW w:w="400" w:type="pct"/>
            <w:vMerge w:val="restart"/>
            <w:tcBorders>
              <w:top w:val="single" w:sz="4" w:space="0" w:color="auto"/>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Соответствие</w:t>
            </w:r>
          </w:p>
        </w:tc>
        <w:tc>
          <w:tcPr>
            <w:tcW w:w="356" w:type="pct"/>
            <w:vMerge w:val="restart"/>
            <w:tcBorders>
              <w:top w:val="single" w:sz="4" w:space="0" w:color="auto"/>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489" w:type="pct"/>
            <w:vMerge w:val="restart"/>
            <w:tcBorders>
              <w:top w:val="single" w:sz="4" w:space="0" w:color="auto"/>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78"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Для обеспечения соблюдения санитарно-гигиенических условий для пациентов  с нарушениями функций выделения и равномерного  распределения максимального количества впитывающей жидкости.</w:t>
            </w: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r>
      <w:tr w:rsidR="00112286" w:rsidRPr="00112286" w:rsidTr="00112286">
        <w:trPr>
          <w:trHeight w:val="499"/>
        </w:trPr>
        <w:tc>
          <w:tcPr>
            <w:tcW w:w="167"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533" w:type="pct"/>
            <w:tcBorders>
              <w:top w:val="nil"/>
              <w:left w:val="nil"/>
              <w:bottom w:val="single" w:sz="8" w:space="0" w:color="auto"/>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 xml:space="preserve">                                                                                                  </w:t>
            </w:r>
          </w:p>
        </w:tc>
        <w:tc>
          <w:tcPr>
            <w:tcW w:w="400"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489"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578"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r>
      <w:tr w:rsidR="00112286" w:rsidRPr="00112286" w:rsidTr="00112286">
        <w:trPr>
          <w:trHeight w:val="499"/>
        </w:trPr>
        <w:tc>
          <w:tcPr>
            <w:tcW w:w="167"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533" w:type="pct"/>
            <w:tcBorders>
              <w:top w:val="nil"/>
              <w:left w:val="nil"/>
              <w:bottom w:val="nil"/>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Верхний покровный слой из гипоаллергенного нетканого материала, пропускающего влагу в одном направлении.</w:t>
            </w:r>
          </w:p>
        </w:tc>
        <w:tc>
          <w:tcPr>
            <w:tcW w:w="400"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Соответствие</w:t>
            </w:r>
          </w:p>
        </w:tc>
        <w:tc>
          <w:tcPr>
            <w:tcW w:w="356"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489"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78"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Верхний слой - позволяет быстро пропускать жидкость во внутренние слои, не вызывает аллергий, обеспечивает дополнительную защиту кожи от раздражения</w:t>
            </w: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r>
      <w:tr w:rsidR="00112286" w:rsidRPr="00112286" w:rsidTr="00112286">
        <w:trPr>
          <w:trHeight w:val="499"/>
        </w:trPr>
        <w:tc>
          <w:tcPr>
            <w:tcW w:w="167"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533" w:type="pct"/>
            <w:tcBorders>
              <w:top w:val="nil"/>
              <w:left w:val="nil"/>
              <w:bottom w:val="single" w:sz="8" w:space="0" w:color="auto"/>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 xml:space="preserve">    </w:t>
            </w:r>
          </w:p>
        </w:tc>
        <w:tc>
          <w:tcPr>
            <w:tcW w:w="400"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489"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578"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r>
      <w:tr w:rsidR="00112286" w:rsidRPr="00112286" w:rsidTr="00112286">
        <w:trPr>
          <w:trHeight w:val="499"/>
        </w:trPr>
        <w:tc>
          <w:tcPr>
            <w:tcW w:w="167"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533"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Впитывающий слой из распушенной целлюлозы</w:t>
            </w:r>
          </w:p>
        </w:tc>
        <w:tc>
          <w:tcPr>
            <w:tcW w:w="400"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Соответствие</w:t>
            </w:r>
          </w:p>
        </w:tc>
        <w:tc>
          <w:tcPr>
            <w:tcW w:w="356"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489"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78"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Впитывающий слой - безопасен для кожи, благодаря отсутствию абсорбирующих полимеров снижается риск возникновения раздражений кожи и аллергий.</w:t>
            </w: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r>
      <w:tr w:rsidR="00112286" w:rsidRPr="00112286" w:rsidTr="00112286">
        <w:trPr>
          <w:trHeight w:val="499"/>
        </w:trPr>
        <w:tc>
          <w:tcPr>
            <w:tcW w:w="167"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533"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489"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578"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r>
      <w:tr w:rsidR="00112286" w:rsidRPr="00112286" w:rsidTr="00112286">
        <w:trPr>
          <w:trHeight w:val="499"/>
        </w:trPr>
        <w:tc>
          <w:tcPr>
            <w:tcW w:w="167"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533" w:type="pct"/>
            <w:tcBorders>
              <w:top w:val="nil"/>
              <w:left w:val="nil"/>
              <w:bottom w:val="nil"/>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 xml:space="preserve">Ширина впитывающего слоя </w:t>
            </w:r>
          </w:p>
        </w:tc>
        <w:tc>
          <w:tcPr>
            <w:tcW w:w="400"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 54</w:t>
            </w:r>
          </w:p>
        </w:tc>
        <w:tc>
          <w:tcPr>
            <w:tcW w:w="356"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Сантиметр</w:t>
            </w:r>
          </w:p>
        </w:tc>
        <w:tc>
          <w:tcPr>
            <w:tcW w:w="489"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78"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Для обеспечения соблюдения санитарно-гигиенических условий для пациентов с нарушениями функций выделения и равномерного распределения максимального количества впитывающей жидкости.</w:t>
            </w: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r>
      <w:tr w:rsidR="00112286" w:rsidRPr="00112286" w:rsidTr="00112286">
        <w:trPr>
          <w:trHeight w:val="499"/>
        </w:trPr>
        <w:tc>
          <w:tcPr>
            <w:tcW w:w="167"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533" w:type="pct"/>
            <w:tcBorders>
              <w:top w:val="nil"/>
              <w:left w:val="nil"/>
              <w:bottom w:val="single" w:sz="8" w:space="0" w:color="auto"/>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 xml:space="preserve"> </w:t>
            </w:r>
          </w:p>
        </w:tc>
        <w:tc>
          <w:tcPr>
            <w:tcW w:w="400"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489"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578"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r>
      <w:tr w:rsidR="00112286" w:rsidRPr="00112286" w:rsidTr="00112286">
        <w:trPr>
          <w:trHeight w:val="499"/>
        </w:trPr>
        <w:tc>
          <w:tcPr>
            <w:tcW w:w="167"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533" w:type="pct"/>
            <w:tcBorders>
              <w:top w:val="nil"/>
              <w:left w:val="nil"/>
              <w:bottom w:val="single" w:sz="8" w:space="0" w:color="auto"/>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 xml:space="preserve">Длина впитывающего слоя </w:t>
            </w:r>
          </w:p>
        </w:tc>
        <w:tc>
          <w:tcPr>
            <w:tcW w:w="400" w:type="pct"/>
            <w:tcBorders>
              <w:top w:val="nil"/>
              <w:left w:val="nil"/>
              <w:bottom w:val="single" w:sz="8" w:space="0" w:color="auto"/>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 82</w:t>
            </w:r>
          </w:p>
        </w:tc>
        <w:tc>
          <w:tcPr>
            <w:tcW w:w="356" w:type="pct"/>
            <w:tcBorders>
              <w:top w:val="nil"/>
              <w:left w:val="nil"/>
              <w:bottom w:val="single" w:sz="8" w:space="0" w:color="auto"/>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Сантиметр</w:t>
            </w:r>
          </w:p>
        </w:tc>
        <w:tc>
          <w:tcPr>
            <w:tcW w:w="489" w:type="pct"/>
            <w:tcBorders>
              <w:top w:val="nil"/>
              <w:left w:val="nil"/>
              <w:bottom w:val="single" w:sz="8" w:space="0" w:color="auto"/>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78"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r>
      <w:tr w:rsidR="00112286" w:rsidRPr="00112286" w:rsidTr="00112286">
        <w:trPr>
          <w:trHeight w:val="499"/>
        </w:trPr>
        <w:tc>
          <w:tcPr>
            <w:tcW w:w="167"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533"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 xml:space="preserve">Нижний (наружный) слой из полимерной гидрофобной пленки.                                            </w:t>
            </w:r>
          </w:p>
        </w:tc>
        <w:tc>
          <w:tcPr>
            <w:tcW w:w="400"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Соответствие</w:t>
            </w:r>
          </w:p>
        </w:tc>
        <w:tc>
          <w:tcPr>
            <w:tcW w:w="356"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489"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578" w:type="pct"/>
            <w:vMerge w:val="restart"/>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Нижний слой - предотвращает протекание и не смещается в ходе использования.</w:t>
            </w: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r>
      <w:tr w:rsidR="00112286" w:rsidRPr="00112286" w:rsidTr="00112286">
        <w:trPr>
          <w:trHeight w:val="499"/>
        </w:trPr>
        <w:tc>
          <w:tcPr>
            <w:tcW w:w="167"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533"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489"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578"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r>
      <w:tr w:rsidR="00112286" w:rsidRPr="00112286" w:rsidTr="00112286">
        <w:trPr>
          <w:trHeight w:val="499"/>
        </w:trPr>
        <w:tc>
          <w:tcPr>
            <w:tcW w:w="167"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533" w:type="pct"/>
            <w:tcBorders>
              <w:top w:val="nil"/>
              <w:left w:val="nil"/>
              <w:bottom w:val="single" w:sz="8" w:space="0" w:color="auto"/>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Количество в упаковке</w:t>
            </w:r>
          </w:p>
        </w:tc>
        <w:tc>
          <w:tcPr>
            <w:tcW w:w="400" w:type="pct"/>
            <w:tcBorders>
              <w:top w:val="nil"/>
              <w:left w:val="nil"/>
              <w:bottom w:val="single" w:sz="8" w:space="0" w:color="auto"/>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 30</w:t>
            </w:r>
          </w:p>
        </w:tc>
        <w:tc>
          <w:tcPr>
            <w:tcW w:w="356" w:type="pct"/>
            <w:tcBorders>
              <w:top w:val="nil"/>
              <w:left w:val="nil"/>
              <w:bottom w:val="single" w:sz="8" w:space="0" w:color="auto"/>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Штука</w:t>
            </w:r>
          </w:p>
        </w:tc>
        <w:tc>
          <w:tcPr>
            <w:tcW w:w="489" w:type="pct"/>
            <w:tcBorders>
              <w:top w:val="nil"/>
              <w:left w:val="nil"/>
              <w:bottom w:val="single" w:sz="8" w:space="0" w:color="auto"/>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578" w:type="pct"/>
            <w:tcBorders>
              <w:top w:val="nil"/>
              <w:left w:val="nil"/>
              <w:bottom w:val="single" w:sz="8" w:space="0" w:color="auto"/>
              <w:right w:val="single" w:sz="8" w:space="0" w:color="auto"/>
            </w:tcBorders>
            <w:vAlign w:val="center"/>
            <w:hideMark/>
          </w:tcPr>
          <w:p w:rsidR="00112286" w:rsidRPr="00112286" w:rsidRDefault="00112286" w:rsidP="00112286">
            <w:pPr>
              <w:spacing w:after="0" w:line="240" w:lineRule="auto"/>
              <w:jc w:val="center"/>
              <w:rPr>
                <w:rFonts w:ascii="Times New Roman" w:eastAsia="Times New Roman" w:hAnsi="Times New Roman" w:cs="Times New Roman"/>
                <w:color w:val="000000"/>
                <w:sz w:val="16"/>
                <w:szCs w:val="16"/>
                <w:lang w:eastAsia="ru-RU"/>
              </w:rPr>
            </w:pPr>
            <w:r w:rsidRPr="00112286">
              <w:rPr>
                <w:rFonts w:ascii="Times New Roman" w:eastAsia="Times New Roman" w:hAnsi="Times New Roman" w:cs="Times New Roman"/>
                <w:color w:val="000000"/>
                <w:sz w:val="16"/>
                <w:szCs w:val="16"/>
                <w:lang w:eastAsia="ru-RU"/>
              </w:rPr>
              <w:t>Необходимо  для логистики внутри учреждения.</w:t>
            </w:r>
          </w:p>
        </w:tc>
        <w:tc>
          <w:tcPr>
            <w:tcW w:w="356" w:type="pct"/>
            <w:vMerge/>
            <w:tcBorders>
              <w:top w:val="nil"/>
              <w:left w:val="single" w:sz="8" w:space="0" w:color="auto"/>
              <w:bottom w:val="single" w:sz="8" w:space="0" w:color="000000"/>
              <w:right w:val="single" w:sz="8"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nil"/>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auto"/>
              <w:right w:val="single" w:sz="4" w:space="0" w:color="auto"/>
            </w:tcBorders>
            <w:vAlign w:val="center"/>
            <w:hideMark/>
          </w:tcPr>
          <w:p w:rsidR="00112286" w:rsidRPr="00112286" w:rsidRDefault="00112286" w:rsidP="00A67B5C">
            <w:pPr>
              <w:spacing w:after="0" w:line="240" w:lineRule="auto"/>
              <w:rPr>
                <w:rFonts w:ascii="Times New Roman" w:eastAsia="Times New Roman" w:hAnsi="Times New Roman" w:cs="Times New Roman"/>
                <w:color w:val="000000"/>
                <w:sz w:val="16"/>
                <w:szCs w:val="16"/>
                <w:lang w:eastAsia="ru-RU"/>
              </w:rPr>
            </w:pPr>
          </w:p>
        </w:tc>
      </w:tr>
    </w:tbl>
    <w:p w:rsidR="00112286" w:rsidRDefault="00112286" w:rsidP="000820E3">
      <w:pPr>
        <w:rPr>
          <w:rFonts w:ascii="Times New Roman" w:hAnsi="Times New Roman" w:cs="Times New Roman"/>
          <w:b/>
          <w:sz w:val="28"/>
          <w:szCs w:val="28"/>
        </w:rPr>
        <w:sectPr w:rsidR="00112286" w:rsidSect="00112286">
          <w:headerReference w:type="first" r:id="rId18"/>
          <w:footerReference w:type="first" r:id="rId19"/>
          <w:pgSz w:w="16838" w:h="11906" w:orient="landscape"/>
          <w:pgMar w:top="1701" w:right="539" w:bottom="851" w:left="567" w:header="567" w:footer="567" w:gutter="0"/>
          <w:cols w:space="708"/>
          <w:titlePg/>
          <w:docGrid w:linePitch="360"/>
        </w:sectPr>
      </w:pPr>
    </w:p>
    <w:p w:rsidR="00112286" w:rsidRDefault="00112286" w:rsidP="00112286">
      <w:pPr>
        <w:jc w:val="both"/>
        <w:rPr>
          <w:rFonts w:ascii="Times New Roman" w:hAnsi="Times New Roman"/>
          <w:b/>
          <w:sz w:val="28"/>
          <w:szCs w:val="28"/>
        </w:rPr>
      </w:pPr>
      <w:r w:rsidRPr="009C6978">
        <w:rPr>
          <w:rFonts w:ascii="Times New Roman" w:hAnsi="Times New Roman"/>
          <w:b/>
          <w:sz w:val="24"/>
          <w:szCs w:val="28"/>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 (письмо Минфина России от 24 января 2022 г. N 24-03-08/4090)</w:t>
      </w:r>
    </w:p>
    <w:p w:rsidR="00112286" w:rsidRDefault="00112286" w:rsidP="00112286"/>
    <w:p w:rsidR="00170252" w:rsidRDefault="00170252" w:rsidP="000820E3">
      <w:pPr>
        <w:rPr>
          <w:rFonts w:ascii="Times New Roman" w:hAnsi="Times New Roman" w:cs="Times New Roman"/>
          <w:b/>
          <w:sz w:val="28"/>
          <w:szCs w:val="28"/>
        </w:rPr>
      </w:pPr>
    </w:p>
    <w:sectPr w:rsidR="00170252" w:rsidSect="00362605">
      <w:footerReference w:type="first" r:id="rId20"/>
      <w:pgSz w:w="16838" w:h="11906" w:orient="landscape"/>
      <w:pgMar w:top="993"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E31" w:rsidRDefault="00BF3E31">
      <w:pPr>
        <w:spacing w:after="0" w:line="240" w:lineRule="auto"/>
      </w:pPr>
      <w:r>
        <w:separator/>
      </w:r>
    </w:p>
  </w:endnote>
  <w:endnote w:type="continuationSeparator" w:id="0">
    <w:p w:rsidR="00BF3E31" w:rsidRDefault="00BF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C6C77" w:rsidRDefault="005C6C7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C6C7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5C6C7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C6C77">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C6C7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C6C7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12286">
          <w:rPr>
            <w:noProof/>
          </w:rPr>
          <w:t>4</w:t>
        </w:r>
        <w:r w:rsidR="004725AB">
          <w:fldChar w:fldCharType="end"/>
        </w:r>
      </w:sdtContent>
    </w:sdt>
  </w:p>
  <w:p w:rsidR="004725AB" w:rsidRDefault="004725AB" w:rsidP="00C645BD">
    <w:pPr>
      <w:pStyle w:val="ab"/>
    </w:pPr>
  </w:p>
</w:ftr>
</file>

<file path=word/footer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62605" w:rsidRDefault="005C6C77">
    <w:pPr>
      <w:pStyle w:val="ab"/>
      <w:jc w:val="right"/>
    </w:pPr>
  </w:p>
  <w:p w:rsidR="00362605" w:rsidRDefault="005C6C77" w:rsidP="0036260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E31" w:rsidRDefault="00BF3E31">
      <w:pPr>
        <w:spacing w:after="0" w:line="240" w:lineRule="auto"/>
      </w:pPr>
      <w:r>
        <w:separator/>
      </w:r>
    </w:p>
  </w:footnote>
  <w:footnote w:type="continuationSeparator" w:id="0">
    <w:p w:rsidR="00BF3E31" w:rsidRDefault="00BF3E31">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C6C77" w:rsidRDefault="005C6C7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C6C77" w:rsidRDefault="005C6C7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C6C77" w:rsidRDefault="005C6C7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12286"/>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C6C77"/>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BF3E3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04B6-83DC-483C-96D3-DFE414B5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7489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2025-02-20T05:50:00Z</dcterms:created>
  <dcterms:modified xsi:type="dcterms:W3CDTF">2025-02-20T05:50:00Z</dcterms:modified>
</cp:coreProperties>
</file>