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18.11.2024 № 05-07/1828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E3CA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3239A">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лаборатории онкофертильности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Договора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30 (тридцати) календарных дней с момента заключения Договора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регистрационные удостоверения на позиции 1 и 2</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Срок годности не менее 5 недель на дату поставки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53239A">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3239A">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53239A" w:rsidRPr="0053239A" w:rsidRDefault="00C14573" w:rsidP="0053239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24"/>
        <w:gridCol w:w="4697"/>
        <w:gridCol w:w="1048"/>
        <w:gridCol w:w="916"/>
        <w:gridCol w:w="1724"/>
        <w:gridCol w:w="1243"/>
        <w:gridCol w:w="776"/>
        <w:gridCol w:w="932"/>
        <w:gridCol w:w="1358"/>
      </w:tblGrid>
      <w:tr w:rsidR="0053239A" w:rsidRPr="002862A6" w:rsidTr="00F7529C">
        <w:trPr>
          <w:trHeight w:val="20"/>
          <w:jc w:val="center"/>
        </w:trPr>
        <w:tc>
          <w:tcPr>
            <w:tcW w:w="621" w:type="dxa"/>
            <w:vAlign w:val="center"/>
            <w:hideMark/>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 п/п</w:t>
            </w:r>
          </w:p>
        </w:tc>
        <w:tc>
          <w:tcPr>
            <w:tcW w:w="2587" w:type="dxa"/>
            <w:vAlign w:val="center"/>
            <w:hideMark/>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 xml:space="preserve">Наименование товара </w:t>
            </w:r>
          </w:p>
        </w:tc>
        <w:tc>
          <w:tcPr>
            <w:tcW w:w="4630" w:type="dxa"/>
            <w:vAlign w:val="center"/>
            <w:hideMark/>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1033" w:type="dxa"/>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Кол-во</w:t>
            </w:r>
          </w:p>
        </w:tc>
        <w:tc>
          <w:tcPr>
            <w:tcW w:w="903" w:type="dxa"/>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Ед. изм.</w:t>
            </w:r>
          </w:p>
        </w:tc>
        <w:tc>
          <w:tcPr>
            <w:tcW w:w="1700" w:type="dxa"/>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ОКПД2/ КТРУ</w:t>
            </w:r>
          </w:p>
        </w:tc>
        <w:tc>
          <w:tcPr>
            <w:tcW w:w="122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Страна происхождения</w:t>
            </w:r>
          </w:p>
        </w:tc>
        <w:tc>
          <w:tcPr>
            <w:tcW w:w="76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sidRPr="0053239A">
              <w:rPr>
                <w:rFonts w:ascii="Times New Roman" w:eastAsia="Times New Roman" w:hAnsi="Times New Roman" w:cs="Times New Roman"/>
                <w:b/>
                <w:lang w:eastAsia="ru-RU"/>
              </w:rPr>
              <w:t>НДС %</w:t>
            </w:r>
          </w:p>
        </w:tc>
        <w:tc>
          <w:tcPr>
            <w:tcW w:w="91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Цена за ед. с </w:t>
            </w:r>
            <w:r w:rsidRPr="0053239A">
              <w:rPr>
                <w:rFonts w:ascii="Times New Roman" w:eastAsia="Times New Roman" w:hAnsi="Times New Roman" w:cs="Times New Roman"/>
                <w:b/>
                <w:lang w:eastAsia="ru-RU"/>
              </w:rPr>
              <w:t>НДС (руб.)</w:t>
            </w:r>
          </w:p>
        </w:tc>
        <w:tc>
          <w:tcPr>
            <w:tcW w:w="133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Сумма с </w:t>
            </w:r>
            <w:r w:rsidRPr="0053239A">
              <w:rPr>
                <w:rFonts w:ascii="Times New Roman" w:eastAsia="Times New Roman" w:hAnsi="Times New Roman" w:cs="Times New Roman"/>
                <w:b/>
                <w:lang w:eastAsia="ru-RU"/>
              </w:rPr>
              <w:t>НДС (руб.)</w:t>
            </w:r>
          </w:p>
        </w:tc>
      </w:tr>
      <w:tr w:rsidR="0053239A" w:rsidRPr="002862A6" w:rsidTr="00F7529C">
        <w:trPr>
          <w:trHeight w:val="20"/>
          <w:jc w:val="center"/>
        </w:trPr>
        <w:tc>
          <w:tcPr>
            <w:tcW w:w="621" w:type="dxa"/>
            <w:vAlign w:val="center"/>
          </w:tcPr>
          <w:p w:rsidR="0053239A" w:rsidRPr="0053239A" w:rsidRDefault="0053239A" w:rsidP="00F7529C">
            <w:pPr>
              <w:spacing w:after="0" w:line="240" w:lineRule="auto"/>
              <w:jc w:val="center"/>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1</w:t>
            </w: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2587" w:type="dxa"/>
            <w:vAlign w:val="center"/>
          </w:tcPr>
          <w:p w:rsidR="0053239A" w:rsidRPr="0053239A" w:rsidRDefault="0053239A" w:rsidP="00F7529C">
            <w:pPr>
              <w:pStyle w:val="af7"/>
              <w:jc w:val="center"/>
              <w:rPr>
                <w:rFonts w:ascii="Times New Roman" w:hAnsi="Times New Roman"/>
              </w:rPr>
            </w:pPr>
            <w:r w:rsidRPr="0053239A">
              <w:rPr>
                <w:rFonts w:ascii="Times New Roman" w:hAnsi="Times New Roman"/>
              </w:rPr>
              <w:t>Набор для замораживания эмбрионов</w:t>
            </w: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eastAsiaTheme="minorHAnsi" w:hAnsi="Times New Roman"/>
              </w:rPr>
            </w:pPr>
          </w:p>
        </w:tc>
        <w:tc>
          <w:tcPr>
            <w:tcW w:w="4630" w:type="dxa"/>
            <w:vAlign w:val="center"/>
          </w:tcPr>
          <w:p w:rsidR="0053239A" w:rsidRPr="0053239A" w:rsidRDefault="0053239A" w:rsidP="00F7529C">
            <w:pPr>
              <w:pStyle w:val="af7"/>
              <w:rPr>
                <w:rFonts w:ascii="Times New Roman" w:hAnsi="Times New Roman"/>
              </w:rPr>
            </w:pPr>
            <w:r w:rsidRPr="0053239A">
              <w:rPr>
                <w:rFonts w:ascii="Times New Roman" w:hAnsi="Times New Roman"/>
              </w:rPr>
              <w:t>Набор предназначен для замораживания человеческих зигот и эмбрионов на стадии дробления.</w:t>
            </w:r>
          </w:p>
          <w:p w:rsidR="0053239A" w:rsidRPr="0053239A" w:rsidRDefault="0053239A" w:rsidP="00F7529C">
            <w:pPr>
              <w:pStyle w:val="af7"/>
              <w:rPr>
                <w:rFonts w:ascii="Times New Roman" w:hAnsi="Times New Roman"/>
              </w:rPr>
            </w:pPr>
            <w:r w:rsidRPr="0053239A">
              <w:rPr>
                <w:rFonts w:ascii="Times New Roman" w:hAnsi="Times New Roman"/>
              </w:rPr>
              <w:t>Готовый к использованию набор сред для медленного замораживания эмбрионов.</w:t>
            </w:r>
          </w:p>
          <w:p w:rsidR="0053239A" w:rsidRPr="0053239A" w:rsidRDefault="0053239A" w:rsidP="00F7529C">
            <w:pPr>
              <w:pStyle w:val="af7"/>
              <w:rPr>
                <w:rFonts w:ascii="Times New Roman" w:hAnsi="Times New Roman"/>
              </w:rPr>
            </w:pPr>
            <w:r w:rsidRPr="0053239A">
              <w:rPr>
                <w:rFonts w:ascii="Times New Roman" w:hAnsi="Times New Roman"/>
              </w:rPr>
              <w:t>Содержит фосфаты для поддержания рН вне инкубатора.</w:t>
            </w:r>
          </w:p>
          <w:p w:rsidR="0053239A" w:rsidRPr="0053239A" w:rsidRDefault="0053239A" w:rsidP="00F7529C">
            <w:pPr>
              <w:pStyle w:val="af7"/>
              <w:rPr>
                <w:rFonts w:ascii="Times New Roman" w:hAnsi="Times New Roman"/>
              </w:rPr>
            </w:pPr>
            <w:r w:rsidRPr="0053239A">
              <w:rPr>
                <w:rFonts w:ascii="Times New Roman" w:hAnsi="Times New Roman"/>
              </w:rPr>
              <w:t>Для одноразового использования.</w:t>
            </w:r>
          </w:p>
          <w:p w:rsidR="0053239A" w:rsidRPr="0053239A" w:rsidRDefault="009E3CA1" w:rsidP="00F7529C">
            <w:pPr>
              <w:pStyle w:val="af7"/>
              <w:rPr>
                <w:rFonts w:ascii="Times New Roman" w:hAnsi="Times New Roman"/>
              </w:rPr>
            </w:pPr>
            <w:hyperlink r:id="rId18" w:anchor="49cb14b8f4d59ecda" w:history="1">
              <w:r w:rsidR="0053239A" w:rsidRPr="0053239A">
                <w:rPr>
                  <w:rStyle w:val="ae"/>
                  <w:rFonts w:ascii="Times New Roman" w:hAnsi="Times New Roman"/>
                  <w:color w:val="000000" w:themeColor="text1"/>
                </w:rPr>
                <w:t>Состав</w:t>
              </w:r>
            </w:hyperlink>
            <w:r w:rsidR="0053239A" w:rsidRPr="0053239A">
              <w:rPr>
                <w:rFonts w:ascii="Times New Roman" w:hAnsi="Times New Roman"/>
              </w:rPr>
              <w:t>:</w:t>
            </w:r>
          </w:p>
          <w:p w:rsidR="0053239A" w:rsidRPr="0053239A" w:rsidRDefault="0053239A" w:rsidP="00F7529C">
            <w:pPr>
              <w:pStyle w:val="af7"/>
              <w:rPr>
                <w:rFonts w:ascii="Times New Roman" w:hAnsi="Times New Roman"/>
              </w:rPr>
            </w:pPr>
            <w:r w:rsidRPr="0053239A">
              <w:rPr>
                <w:rFonts w:ascii="Times New Roman" w:hAnsi="Times New Roman"/>
              </w:rPr>
              <w:t xml:space="preserve">· Кальция Хлорид </w:t>
            </w:r>
          </w:p>
          <w:p w:rsidR="0053239A" w:rsidRPr="0053239A" w:rsidRDefault="0053239A" w:rsidP="00F7529C">
            <w:pPr>
              <w:pStyle w:val="af7"/>
              <w:rPr>
                <w:rFonts w:ascii="Times New Roman" w:hAnsi="Times New Roman"/>
              </w:rPr>
            </w:pPr>
            <w:r w:rsidRPr="0053239A">
              <w:rPr>
                <w:rFonts w:ascii="Times New Roman" w:hAnsi="Times New Roman"/>
              </w:rPr>
              <w:t xml:space="preserve">· Натрия Гидрофосфат </w:t>
            </w:r>
          </w:p>
          <w:p w:rsidR="0053239A" w:rsidRPr="0053239A" w:rsidRDefault="0053239A" w:rsidP="00F7529C">
            <w:pPr>
              <w:pStyle w:val="af7"/>
              <w:rPr>
                <w:rFonts w:ascii="Times New Roman" w:hAnsi="Times New Roman"/>
              </w:rPr>
            </w:pPr>
            <w:r w:rsidRPr="0053239A">
              <w:rPr>
                <w:rFonts w:ascii="Times New Roman" w:hAnsi="Times New Roman"/>
              </w:rPr>
              <w:t xml:space="preserve">· Раствор альбумина человека </w:t>
            </w:r>
          </w:p>
          <w:p w:rsidR="0053239A" w:rsidRPr="0053239A" w:rsidRDefault="0053239A" w:rsidP="00F7529C">
            <w:pPr>
              <w:pStyle w:val="af7"/>
              <w:rPr>
                <w:rFonts w:ascii="Times New Roman" w:hAnsi="Times New Roman"/>
              </w:rPr>
            </w:pPr>
            <w:r w:rsidRPr="0053239A">
              <w:rPr>
                <w:rFonts w:ascii="Times New Roman" w:hAnsi="Times New Roman"/>
              </w:rPr>
              <w:t xml:space="preserve">· Магния хлорид </w:t>
            </w:r>
          </w:p>
          <w:p w:rsidR="0053239A" w:rsidRPr="0053239A" w:rsidRDefault="0053239A" w:rsidP="00F7529C">
            <w:pPr>
              <w:pStyle w:val="af7"/>
              <w:rPr>
                <w:rFonts w:ascii="Times New Roman" w:hAnsi="Times New Roman"/>
              </w:rPr>
            </w:pPr>
            <w:r w:rsidRPr="0053239A">
              <w:rPr>
                <w:rFonts w:ascii="Times New Roman" w:hAnsi="Times New Roman"/>
              </w:rPr>
              <w:t xml:space="preserve">· Калия хлорид </w:t>
            </w:r>
          </w:p>
          <w:p w:rsidR="0053239A" w:rsidRPr="0053239A" w:rsidRDefault="0053239A" w:rsidP="00F7529C">
            <w:pPr>
              <w:pStyle w:val="af7"/>
              <w:rPr>
                <w:rFonts w:ascii="Times New Roman" w:hAnsi="Times New Roman"/>
              </w:rPr>
            </w:pPr>
            <w:r w:rsidRPr="0053239A">
              <w:rPr>
                <w:rFonts w:ascii="Times New Roman" w:hAnsi="Times New Roman"/>
              </w:rPr>
              <w:t xml:space="preserve">· Калия Фосфат </w:t>
            </w:r>
          </w:p>
          <w:p w:rsidR="0053239A" w:rsidRPr="0053239A" w:rsidRDefault="0053239A" w:rsidP="00F7529C">
            <w:pPr>
              <w:pStyle w:val="af7"/>
              <w:rPr>
                <w:rFonts w:ascii="Times New Roman" w:hAnsi="Times New Roman"/>
              </w:rPr>
            </w:pPr>
            <w:r w:rsidRPr="0053239A">
              <w:rPr>
                <w:rFonts w:ascii="Times New Roman" w:hAnsi="Times New Roman"/>
              </w:rPr>
              <w:t xml:space="preserve">· Пропиленгликоль (только 2 и 3 флаконы) </w:t>
            </w:r>
          </w:p>
          <w:p w:rsidR="0053239A" w:rsidRPr="0053239A" w:rsidRDefault="0053239A" w:rsidP="00F7529C">
            <w:pPr>
              <w:pStyle w:val="af7"/>
              <w:rPr>
                <w:rFonts w:ascii="Times New Roman" w:hAnsi="Times New Roman"/>
              </w:rPr>
            </w:pPr>
            <w:r w:rsidRPr="0053239A">
              <w:rPr>
                <w:rFonts w:ascii="Times New Roman" w:hAnsi="Times New Roman"/>
              </w:rPr>
              <w:t xml:space="preserve">· Натрия Хлорид </w:t>
            </w:r>
          </w:p>
          <w:p w:rsidR="0053239A" w:rsidRPr="0053239A" w:rsidRDefault="0053239A" w:rsidP="00F7529C">
            <w:pPr>
              <w:pStyle w:val="af7"/>
              <w:rPr>
                <w:rFonts w:ascii="Times New Roman" w:hAnsi="Times New Roman"/>
              </w:rPr>
            </w:pPr>
            <w:r w:rsidRPr="0053239A">
              <w:rPr>
                <w:rFonts w:ascii="Times New Roman" w:hAnsi="Times New Roman"/>
              </w:rPr>
              <w:t>· Сахароза (только 3 флакон)</w:t>
            </w:r>
          </w:p>
          <w:p w:rsidR="0053239A" w:rsidRPr="0053239A" w:rsidRDefault="0053239A" w:rsidP="00F7529C">
            <w:pPr>
              <w:pStyle w:val="af7"/>
              <w:rPr>
                <w:rFonts w:ascii="Times New Roman" w:hAnsi="Times New Roman"/>
              </w:rPr>
            </w:pPr>
            <w:r w:rsidRPr="0053239A">
              <w:rPr>
                <w:rFonts w:ascii="Times New Roman" w:hAnsi="Times New Roman"/>
              </w:rPr>
              <w:t>Фасовка: 4×10 мл</w:t>
            </w:r>
            <w:r w:rsidRPr="0053239A">
              <w:rPr>
                <w:rFonts w:ascii="Times New Roman" w:hAnsi="Times New Roman"/>
              </w:rPr>
              <w:tab/>
            </w:r>
          </w:p>
        </w:tc>
        <w:tc>
          <w:tcPr>
            <w:tcW w:w="1033" w:type="dxa"/>
            <w:vAlign w:val="center"/>
          </w:tcPr>
          <w:p w:rsidR="0053239A" w:rsidRPr="0053239A" w:rsidRDefault="0053239A" w:rsidP="00F7529C">
            <w:pPr>
              <w:spacing w:after="0" w:line="240" w:lineRule="auto"/>
              <w:jc w:val="center"/>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1</w:t>
            </w: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tc>
        <w:tc>
          <w:tcPr>
            <w:tcW w:w="903" w:type="dxa"/>
            <w:vAlign w:val="center"/>
          </w:tcPr>
          <w:p w:rsidR="0053239A" w:rsidRPr="0053239A" w:rsidRDefault="0053239A" w:rsidP="00F7529C">
            <w:pPr>
              <w:spacing w:after="0" w:line="240" w:lineRule="auto"/>
              <w:jc w:val="center"/>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упак</w:t>
            </w: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tc>
        <w:tc>
          <w:tcPr>
            <w:tcW w:w="1700" w:type="dxa"/>
            <w:vAlign w:val="center"/>
          </w:tcPr>
          <w:p w:rsidR="0053239A" w:rsidRDefault="0053239A" w:rsidP="00F7529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21.20.23.199</w:t>
            </w: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122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76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91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133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r>
      <w:tr w:rsidR="0053239A" w:rsidRPr="002862A6" w:rsidTr="00F7529C">
        <w:trPr>
          <w:trHeight w:val="565"/>
          <w:jc w:val="center"/>
        </w:trPr>
        <w:tc>
          <w:tcPr>
            <w:tcW w:w="621" w:type="dxa"/>
            <w:vAlign w:val="center"/>
          </w:tcPr>
          <w:p w:rsidR="0053239A" w:rsidRPr="0053239A" w:rsidRDefault="0053239A" w:rsidP="00F7529C">
            <w:pPr>
              <w:spacing w:after="0" w:line="240" w:lineRule="auto"/>
              <w:jc w:val="center"/>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2</w:t>
            </w: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2587" w:type="dxa"/>
            <w:vAlign w:val="center"/>
          </w:tcPr>
          <w:p w:rsidR="0053239A" w:rsidRDefault="0053239A" w:rsidP="00F7529C">
            <w:pPr>
              <w:pStyle w:val="af7"/>
              <w:jc w:val="center"/>
              <w:rPr>
                <w:rFonts w:ascii="Times New Roman" w:hAnsi="Times New Roman"/>
              </w:rPr>
            </w:pPr>
            <w:r w:rsidRPr="0053239A">
              <w:rPr>
                <w:rFonts w:ascii="Times New Roman" w:hAnsi="Times New Roman"/>
              </w:rPr>
              <w:t>Заменитель</w:t>
            </w:r>
            <w:r w:rsidRPr="0053239A">
              <w:rPr>
                <w:rFonts w:ascii="Times New Roman" w:hAnsi="Times New Roman"/>
                <w:lang w:val="en-US"/>
              </w:rPr>
              <w:t xml:space="preserve"> </w:t>
            </w:r>
            <w:r w:rsidRPr="0053239A">
              <w:rPr>
                <w:rFonts w:ascii="Times New Roman" w:hAnsi="Times New Roman"/>
              </w:rPr>
              <w:t>белка</w:t>
            </w: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lang w:val="en-US"/>
              </w:rPr>
            </w:pPr>
          </w:p>
        </w:tc>
        <w:tc>
          <w:tcPr>
            <w:tcW w:w="4630" w:type="dxa"/>
            <w:vAlign w:val="center"/>
          </w:tcPr>
          <w:p w:rsidR="0053239A" w:rsidRPr="0053239A" w:rsidRDefault="0053239A" w:rsidP="00F7529C">
            <w:pPr>
              <w:pStyle w:val="af7"/>
              <w:rPr>
                <w:rFonts w:ascii="Times New Roman" w:hAnsi="Times New Roman"/>
              </w:rPr>
            </w:pPr>
            <w:r w:rsidRPr="0053239A">
              <w:rPr>
                <w:rFonts w:ascii="Times New Roman" w:hAnsi="Times New Roman"/>
              </w:rPr>
              <w:t>Заменитель сывороточного белка для добавления в культуральные среды для стабилизации осмотического давления и выполнения транспортной функции.</w:t>
            </w:r>
          </w:p>
          <w:p w:rsidR="0053239A" w:rsidRPr="0053239A" w:rsidRDefault="0053239A" w:rsidP="00F7529C">
            <w:pPr>
              <w:pStyle w:val="af7"/>
              <w:rPr>
                <w:rFonts w:ascii="Times New Roman" w:hAnsi="Times New Roman"/>
              </w:rPr>
            </w:pPr>
            <w:r w:rsidRPr="0053239A">
              <w:rPr>
                <w:rFonts w:ascii="Times New Roman" w:hAnsi="Times New Roman"/>
              </w:rPr>
              <w:t>Состав:</w:t>
            </w:r>
          </w:p>
          <w:p w:rsidR="0053239A" w:rsidRPr="0053239A" w:rsidRDefault="0053239A" w:rsidP="00F7529C">
            <w:pPr>
              <w:pStyle w:val="af7"/>
              <w:rPr>
                <w:rFonts w:ascii="Times New Roman" w:hAnsi="Times New Roman"/>
              </w:rPr>
            </w:pPr>
            <w:r w:rsidRPr="0053239A">
              <w:rPr>
                <w:rFonts w:ascii="Times New Roman" w:hAnsi="Times New Roman"/>
              </w:rPr>
              <w:t xml:space="preserve">- 50 мг/мл общего белка в водно-солевом растворе. </w:t>
            </w:r>
          </w:p>
          <w:p w:rsidR="0053239A" w:rsidRPr="0053239A" w:rsidRDefault="0053239A" w:rsidP="00F7529C">
            <w:pPr>
              <w:pStyle w:val="af7"/>
              <w:rPr>
                <w:rFonts w:ascii="Times New Roman" w:hAnsi="Times New Roman"/>
              </w:rPr>
            </w:pPr>
            <w:r w:rsidRPr="0053239A">
              <w:rPr>
                <w:rFonts w:ascii="Times New Roman" w:hAnsi="Times New Roman"/>
              </w:rPr>
              <w:t xml:space="preserve">- 88% - в форме обычного альбумина крови человека  </w:t>
            </w:r>
          </w:p>
          <w:p w:rsidR="0053239A" w:rsidRPr="0053239A" w:rsidRDefault="0053239A" w:rsidP="00F7529C">
            <w:pPr>
              <w:pStyle w:val="af7"/>
              <w:rPr>
                <w:rFonts w:ascii="Times New Roman" w:hAnsi="Times New Roman"/>
              </w:rPr>
            </w:pPr>
            <w:r w:rsidRPr="0053239A">
              <w:rPr>
                <w:rFonts w:ascii="Times New Roman" w:hAnsi="Times New Roman"/>
              </w:rPr>
              <w:t>- 12 % в форме а и в изомеров.</w:t>
            </w:r>
          </w:p>
          <w:p w:rsidR="0053239A" w:rsidRPr="0053239A" w:rsidRDefault="0053239A" w:rsidP="00F7529C">
            <w:pPr>
              <w:pStyle w:val="af7"/>
              <w:rPr>
                <w:rFonts w:ascii="Times New Roman" w:hAnsi="Times New Roman"/>
              </w:rPr>
            </w:pPr>
            <w:r w:rsidRPr="0053239A">
              <w:rPr>
                <w:rFonts w:ascii="Times New Roman" w:hAnsi="Times New Roman"/>
              </w:rPr>
              <w:t>Тесты контроля качества:</w:t>
            </w:r>
          </w:p>
          <w:p w:rsidR="0053239A" w:rsidRPr="0053239A" w:rsidRDefault="0053239A" w:rsidP="00F7529C">
            <w:pPr>
              <w:pStyle w:val="af7"/>
              <w:rPr>
                <w:rFonts w:ascii="Times New Roman" w:hAnsi="Times New Roman"/>
              </w:rPr>
            </w:pPr>
            <w:r w:rsidRPr="0053239A">
              <w:rPr>
                <w:rFonts w:ascii="Times New Roman" w:hAnsi="Times New Roman"/>
              </w:rPr>
              <w:t>- тест на стерильность (</w:t>
            </w:r>
            <w:r w:rsidRPr="0053239A">
              <w:rPr>
                <w:rFonts w:ascii="Times New Roman" w:hAnsi="Times New Roman"/>
                <w:lang w:val="en-US"/>
              </w:rPr>
              <w:t>Ph</w:t>
            </w:r>
            <w:r w:rsidRPr="0053239A">
              <w:rPr>
                <w:rFonts w:ascii="Times New Roman" w:hAnsi="Times New Roman"/>
              </w:rPr>
              <w:t xml:space="preserve">. </w:t>
            </w:r>
            <w:r w:rsidRPr="0053239A">
              <w:rPr>
                <w:rFonts w:ascii="Times New Roman" w:hAnsi="Times New Roman"/>
                <w:lang w:val="en-US"/>
              </w:rPr>
              <w:t>Eur</w:t>
            </w:r>
            <w:r w:rsidRPr="0053239A">
              <w:rPr>
                <w:rFonts w:ascii="Times New Roman" w:hAnsi="Times New Roman"/>
              </w:rPr>
              <w:t xml:space="preserve">., </w:t>
            </w:r>
            <w:r w:rsidRPr="0053239A">
              <w:rPr>
                <w:rFonts w:ascii="Times New Roman" w:hAnsi="Times New Roman"/>
                <w:lang w:val="en-US"/>
              </w:rPr>
              <w:t>USP</w:t>
            </w:r>
            <w:r w:rsidRPr="0053239A">
              <w:rPr>
                <w:rFonts w:ascii="Times New Roman" w:hAnsi="Times New Roman"/>
              </w:rPr>
              <w:t>)</w:t>
            </w:r>
          </w:p>
          <w:p w:rsidR="0053239A" w:rsidRPr="0053239A" w:rsidRDefault="0053239A" w:rsidP="00F7529C">
            <w:pPr>
              <w:pStyle w:val="af7"/>
              <w:rPr>
                <w:rFonts w:ascii="Times New Roman" w:hAnsi="Times New Roman"/>
              </w:rPr>
            </w:pPr>
            <w:r w:rsidRPr="0053239A">
              <w:rPr>
                <w:rFonts w:ascii="Times New Roman" w:hAnsi="Times New Roman"/>
              </w:rPr>
              <w:t>- тест на эндотоксины - &lt; 1,0 МЕ/мл (</w:t>
            </w:r>
            <w:r w:rsidRPr="0053239A">
              <w:rPr>
                <w:rFonts w:ascii="Times New Roman" w:hAnsi="Times New Roman"/>
                <w:lang w:val="en-US"/>
              </w:rPr>
              <w:t>Ph</w:t>
            </w:r>
            <w:r w:rsidRPr="0053239A">
              <w:rPr>
                <w:rFonts w:ascii="Times New Roman" w:hAnsi="Times New Roman"/>
              </w:rPr>
              <w:t xml:space="preserve">. </w:t>
            </w:r>
            <w:r w:rsidRPr="0053239A">
              <w:rPr>
                <w:rFonts w:ascii="Times New Roman" w:hAnsi="Times New Roman"/>
                <w:lang w:val="en-US"/>
              </w:rPr>
              <w:t>Eur</w:t>
            </w:r>
            <w:r w:rsidRPr="0053239A">
              <w:rPr>
                <w:rFonts w:ascii="Times New Roman" w:hAnsi="Times New Roman"/>
              </w:rPr>
              <w:t xml:space="preserve">., </w:t>
            </w:r>
            <w:r w:rsidRPr="0053239A">
              <w:rPr>
                <w:rFonts w:ascii="Times New Roman" w:hAnsi="Times New Roman"/>
                <w:lang w:val="en-US"/>
              </w:rPr>
              <w:t>USP</w:t>
            </w:r>
            <w:r w:rsidRPr="0053239A">
              <w:rPr>
                <w:rFonts w:ascii="Times New Roman" w:hAnsi="Times New Roman"/>
              </w:rPr>
              <w:t>)</w:t>
            </w:r>
          </w:p>
          <w:p w:rsidR="0053239A" w:rsidRPr="0053239A" w:rsidRDefault="0053239A" w:rsidP="00F7529C">
            <w:pPr>
              <w:pStyle w:val="af7"/>
              <w:rPr>
                <w:rFonts w:ascii="Times New Roman" w:hAnsi="Times New Roman"/>
              </w:rPr>
            </w:pPr>
            <w:r w:rsidRPr="0053239A">
              <w:rPr>
                <w:rFonts w:ascii="Times New Roman" w:hAnsi="Times New Roman"/>
              </w:rPr>
              <w:t>- тест на мышиных эмбрионах (МЕА)</w:t>
            </w:r>
          </w:p>
          <w:p w:rsidR="0053239A" w:rsidRPr="0053239A" w:rsidRDefault="0053239A" w:rsidP="00F7529C">
            <w:pPr>
              <w:pStyle w:val="af7"/>
              <w:rPr>
                <w:rFonts w:ascii="Times New Roman" w:hAnsi="Times New Roman"/>
              </w:rPr>
            </w:pPr>
            <w:r w:rsidRPr="0053239A">
              <w:rPr>
                <w:rFonts w:ascii="Times New Roman" w:hAnsi="Times New Roman"/>
              </w:rPr>
              <w:t>Фасовка: 12 флаконов по 12 мл.</w:t>
            </w:r>
          </w:p>
        </w:tc>
        <w:tc>
          <w:tcPr>
            <w:tcW w:w="1033"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lang w:eastAsia="ru-RU"/>
              </w:rPr>
            </w:pPr>
            <w:r w:rsidRPr="0053239A">
              <w:rPr>
                <w:rFonts w:ascii="Times New Roman" w:hAnsi="Times New Roman" w:cs="Times New Roman"/>
                <w:lang w:eastAsia="ru-RU"/>
              </w:rPr>
              <w:t>1</w:t>
            </w:r>
          </w:p>
        </w:tc>
        <w:tc>
          <w:tcPr>
            <w:tcW w:w="903"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lang w:eastAsia="ru-RU"/>
              </w:rPr>
            </w:pPr>
            <w:r w:rsidRPr="0053239A">
              <w:rPr>
                <w:rFonts w:ascii="Times New Roman" w:hAnsi="Times New Roman" w:cs="Times New Roman"/>
                <w:lang w:eastAsia="ru-RU"/>
              </w:rPr>
              <w:t>упак</w:t>
            </w:r>
          </w:p>
        </w:tc>
        <w:tc>
          <w:tcPr>
            <w:tcW w:w="1700"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highlight w:val="yellow"/>
              </w:rPr>
            </w:pPr>
            <w:r w:rsidRPr="0053239A">
              <w:rPr>
                <w:rFonts w:ascii="Times New Roman" w:hAnsi="Times New Roman" w:cs="Times New Roman"/>
              </w:rPr>
              <w:t>21.20.23.199</w:t>
            </w:r>
          </w:p>
        </w:tc>
        <w:tc>
          <w:tcPr>
            <w:tcW w:w="122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76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91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133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r>
      <w:tr w:rsidR="0053239A" w:rsidRPr="002862A6" w:rsidTr="00F7529C">
        <w:trPr>
          <w:trHeight w:val="2685"/>
          <w:jc w:val="center"/>
        </w:trPr>
        <w:tc>
          <w:tcPr>
            <w:tcW w:w="621" w:type="dxa"/>
            <w:vAlign w:val="center"/>
          </w:tcPr>
          <w:p w:rsidR="0053239A" w:rsidRDefault="0053239A" w:rsidP="00F7529C">
            <w:pPr>
              <w:spacing w:after="0" w:line="240" w:lineRule="auto"/>
              <w:jc w:val="center"/>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3</w:t>
            </w: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p w:rsidR="0053239A" w:rsidRPr="0053239A" w:rsidRDefault="0053239A" w:rsidP="00F7529C">
            <w:pPr>
              <w:spacing w:after="0" w:line="240" w:lineRule="auto"/>
              <w:jc w:val="center"/>
              <w:rPr>
                <w:rFonts w:ascii="Times New Roman" w:eastAsia="Times New Roman" w:hAnsi="Times New Roman" w:cs="Times New Roman"/>
                <w:lang w:eastAsia="ru-RU"/>
              </w:rPr>
            </w:pPr>
          </w:p>
        </w:tc>
        <w:tc>
          <w:tcPr>
            <w:tcW w:w="2587" w:type="dxa"/>
            <w:vAlign w:val="center"/>
          </w:tcPr>
          <w:p w:rsidR="0053239A" w:rsidRDefault="0053239A" w:rsidP="00F7529C">
            <w:pPr>
              <w:pStyle w:val="af7"/>
              <w:jc w:val="center"/>
              <w:rPr>
                <w:rFonts w:ascii="Times New Roman" w:hAnsi="Times New Roman"/>
              </w:rPr>
            </w:pPr>
            <w:r w:rsidRPr="0053239A">
              <w:rPr>
                <w:rFonts w:ascii="Times New Roman" w:hAnsi="Times New Roman"/>
              </w:rPr>
              <w:t>Диметилсульфоксид</w:t>
            </w: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F7529C">
            <w:pPr>
              <w:pStyle w:val="af7"/>
              <w:jc w:val="center"/>
              <w:rPr>
                <w:rFonts w:ascii="Times New Roman" w:hAnsi="Times New Roman"/>
              </w:rPr>
            </w:pPr>
          </w:p>
          <w:p w:rsidR="0053239A" w:rsidRPr="0053239A" w:rsidRDefault="0053239A" w:rsidP="0053239A">
            <w:pPr>
              <w:pStyle w:val="af7"/>
              <w:rPr>
                <w:rFonts w:ascii="Times New Roman" w:hAnsi="Times New Roman"/>
                <w:b/>
              </w:rPr>
            </w:pPr>
          </w:p>
        </w:tc>
        <w:tc>
          <w:tcPr>
            <w:tcW w:w="4630" w:type="dxa"/>
            <w:vAlign w:val="center"/>
          </w:tcPr>
          <w:p w:rsidR="0053239A" w:rsidRPr="0053239A" w:rsidRDefault="0053239A" w:rsidP="00F7529C">
            <w:pPr>
              <w:spacing w:after="0" w:line="240" w:lineRule="atLeast"/>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Диметилсульфоксид (DMSO) для молекулярной биологии.</w:t>
            </w:r>
          </w:p>
          <w:p w:rsidR="0053239A" w:rsidRPr="0053239A" w:rsidRDefault="0053239A" w:rsidP="00F7529C">
            <w:pPr>
              <w:spacing w:after="0" w:line="240" w:lineRule="atLeast"/>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Бесцветная жидкость без запаха со специфическим сладковатым вкусом. Растворитель в химических реакциях с участием неорганических солей.</w:t>
            </w:r>
          </w:p>
          <w:p w:rsidR="0053239A" w:rsidRPr="0053239A" w:rsidRDefault="0053239A" w:rsidP="00F7529C">
            <w:pPr>
              <w:spacing w:after="0" w:line="240" w:lineRule="atLeast"/>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Тип реактива: биполярный апротонный растворитель.</w:t>
            </w:r>
          </w:p>
          <w:p w:rsidR="0053239A" w:rsidRPr="0053239A" w:rsidRDefault="0053239A" w:rsidP="00F7529C">
            <w:pPr>
              <w:spacing w:after="0" w:line="240" w:lineRule="atLeast"/>
              <w:rPr>
                <w:rFonts w:ascii="Times New Roman" w:eastAsia="Times New Roman" w:hAnsi="Times New Roman" w:cs="Times New Roman"/>
                <w:lang w:eastAsia="ru-RU"/>
              </w:rPr>
            </w:pPr>
            <w:r w:rsidRPr="0053239A">
              <w:rPr>
                <w:rFonts w:ascii="Times New Roman" w:eastAsia="Times New Roman" w:hAnsi="Times New Roman" w:cs="Times New Roman"/>
                <w:lang w:eastAsia="ru-RU"/>
              </w:rPr>
              <w:t>Чистота: ≥99,8%</w:t>
            </w:r>
          </w:p>
          <w:p w:rsidR="0053239A" w:rsidRPr="0053239A" w:rsidRDefault="0053239A" w:rsidP="00F7529C">
            <w:pPr>
              <w:spacing w:after="0" w:line="240" w:lineRule="atLeast"/>
              <w:rPr>
                <w:rFonts w:ascii="Times New Roman" w:eastAsia="Times New Roman" w:hAnsi="Times New Roman" w:cs="Times New Roman"/>
                <w:lang w:eastAsia="ru-RU"/>
              </w:rPr>
            </w:pPr>
            <w:r w:rsidRPr="0053239A">
              <w:rPr>
                <w:rFonts w:ascii="Times New Roman" w:hAnsi="Times New Roman" w:cs="Times New Roman"/>
              </w:rPr>
              <w:t>Фасовка: 100 мл</w:t>
            </w:r>
          </w:p>
        </w:tc>
        <w:tc>
          <w:tcPr>
            <w:tcW w:w="1033"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lang w:eastAsia="ru-RU"/>
              </w:rPr>
            </w:pPr>
            <w:r w:rsidRPr="0053239A">
              <w:rPr>
                <w:rFonts w:ascii="Times New Roman" w:hAnsi="Times New Roman" w:cs="Times New Roman"/>
                <w:lang w:eastAsia="ru-RU"/>
              </w:rPr>
              <w:t>1</w:t>
            </w:r>
          </w:p>
        </w:tc>
        <w:tc>
          <w:tcPr>
            <w:tcW w:w="903"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lang w:eastAsia="ru-RU"/>
              </w:rPr>
            </w:pPr>
            <w:r w:rsidRPr="0053239A">
              <w:rPr>
                <w:rFonts w:ascii="Times New Roman" w:hAnsi="Times New Roman" w:cs="Times New Roman"/>
                <w:lang w:eastAsia="ru-RU"/>
              </w:rPr>
              <w:t>упак</w:t>
            </w:r>
          </w:p>
        </w:tc>
        <w:tc>
          <w:tcPr>
            <w:tcW w:w="1700" w:type="dxa"/>
            <w:tcBorders>
              <w:top w:val="single" w:sz="4" w:space="0" w:color="auto"/>
              <w:left w:val="single" w:sz="4" w:space="0" w:color="auto"/>
              <w:bottom w:val="single" w:sz="4" w:space="0" w:color="auto"/>
              <w:right w:val="single" w:sz="4" w:space="0" w:color="auto"/>
            </w:tcBorders>
          </w:tcPr>
          <w:p w:rsidR="0053239A" w:rsidRPr="0053239A" w:rsidRDefault="0053239A" w:rsidP="00F7529C">
            <w:pPr>
              <w:spacing w:after="0" w:line="240" w:lineRule="auto"/>
              <w:jc w:val="center"/>
              <w:rPr>
                <w:rFonts w:ascii="Times New Roman" w:hAnsi="Times New Roman" w:cs="Times New Roman"/>
                <w:color w:val="334059"/>
                <w:shd w:val="clear" w:color="auto" w:fill="FFFFFF"/>
              </w:rPr>
            </w:pPr>
            <w:r w:rsidRPr="0053239A">
              <w:rPr>
                <w:rFonts w:ascii="Times New Roman" w:hAnsi="Times New Roman" w:cs="Times New Roman"/>
                <w:shd w:val="clear" w:color="auto" w:fill="FFFFFF"/>
              </w:rPr>
              <w:t>21.20.23.199</w:t>
            </w:r>
          </w:p>
        </w:tc>
        <w:tc>
          <w:tcPr>
            <w:tcW w:w="122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765"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91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c>
          <w:tcPr>
            <w:tcW w:w="1339" w:type="dxa"/>
            <w:shd w:val="clear" w:color="auto" w:fill="FFFFCC"/>
            <w:vAlign w:val="center"/>
          </w:tcPr>
          <w:p w:rsidR="0053239A" w:rsidRPr="0053239A" w:rsidRDefault="0053239A" w:rsidP="00F7529C">
            <w:pPr>
              <w:spacing w:after="0" w:line="240" w:lineRule="auto"/>
              <w:jc w:val="center"/>
              <w:rPr>
                <w:rFonts w:ascii="Times New Roman" w:eastAsia="Times New Roman" w:hAnsi="Times New Roman" w:cs="Times New Roman"/>
                <w:b/>
                <w:lang w:eastAsia="ru-RU"/>
              </w:rPr>
            </w:pPr>
          </w:p>
        </w:tc>
      </w:tr>
    </w:tbl>
    <w:p w:rsidR="0053239A" w:rsidRDefault="0053239A" w:rsidP="000820E3">
      <w:pPr>
        <w:rPr>
          <w:rFonts w:ascii="Times New Roman" w:hAnsi="Times New Roman" w:cs="Times New Roman"/>
          <w:b/>
          <w:sz w:val="28"/>
          <w:szCs w:val="28"/>
        </w:rPr>
        <w:sectPr w:rsidR="0053239A" w:rsidSect="0053239A">
          <w:headerReference w:type="first" r:id="rId19"/>
          <w:footerReference w:type="first" r:id="rId20"/>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28" w:rsidRDefault="00D10628">
      <w:pPr>
        <w:spacing w:after="0" w:line="240" w:lineRule="auto"/>
      </w:pPr>
      <w:r>
        <w:separator/>
      </w:r>
    </w:p>
  </w:endnote>
  <w:endnote w:type="continuationSeparator" w:id="0">
    <w:p w:rsidR="00D10628" w:rsidRDefault="00D1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E3CA1" w:rsidRDefault="009E3CA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E3CA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E3CA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E3CA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E3CA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3239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E3CA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3239A">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28" w:rsidRDefault="00D10628">
      <w:pPr>
        <w:spacing w:after="0" w:line="240" w:lineRule="auto"/>
      </w:pPr>
      <w:r>
        <w:separator/>
      </w:r>
    </w:p>
  </w:footnote>
  <w:footnote w:type="continuationSeparator" w:id="0">
    <w:p w:rsidR="00D10628" w:rsidRDefault="00D1062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E3CA1" w:rsidRDefault="009E3CA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E3CA1" w:rsidRDefault="009E3CA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E3CA1" w:rsidRDefault="009E3CA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3239A"/>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3CA1"/>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0628"/>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ertility.coopersurgical.com/ru/products/nabor-dlya-zamorazhivaniya-embrion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C878-6CA5-40F8-86C9-0B3AD665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2024-11-18T06:26:00Z</dcterms:created>
  <dcterms:modified xsi:type="dcterms:W3CDTF">2024-11-18T06:26:00Z</dcterms:modified>
</cp:coreProperties>
</file>