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05-07/744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B65FF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расходных материалов для паталогоанатомического отделения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120 календарных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весь товар должен быть поставлен в течение 120 календарных дней с момента заключения контракта, допускается поставка партиями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преимущество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lastRenderedPageBreak/>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124"/>
        <w:gridCol w:w="5839"/>
        <w:gridCol w:w="749"/>
        <w:gridCol w:w="927"/>
        <w:gridCol w:w="1417"/>
        <w:gridCol w:w="1250"/>
        <w:gridCol w:w="749"/>
        <w:gridCol w:w="1198"/>
        <w:gridCol w:w="1152"/>
      </w:tblGrid>
      <w:tr w:rsidR="00444A1A" w:rsidRPr="00F979E5" w:rsidTr="007A79A5">
        <w:trPr>
          <w:trHeight w:val="20"/>
          <w:jc w:val="center"/>
        </w:trPr>
        <w:tc>
          <w:tcPr>
            <w:tcW w:w="525" w:type="dxa"/>
            <w:vAlign w:val="center"/>
            <w:hideMark/>
          </w:tcPr>
          <w:p w:rsidR="00444A1A" w:rsidRPr="00F979E5" w:rsidRDefault="00444A1A" w:rsidP="007A79A5">
            <w:pPr>
              <w:spacing w:after="0" w:line="240" w:lineRule="auto"/>
              <w:jc w:val="center"/>
              <w:rPr>
                <w:rFonts w:ascii="Times New Roman" w:hAnsi="Times New Roman" w:cs="Times New Roman"/>
                <w:b/>
                <w:lang w:eastAsia="ru-RU"/>
              </w:rPr>
            </w:pPr>
            <w:bookmarkStart w:id="21" w:name="_Ref518475891"/>
            <w:r w:rsidRPr="00F979E5">
              <w:rPr>
                <w:rFonts w:ascii="Times New Roman" w:hAnsi="Times New Roman" w:cs="Times New Roman"/>
                <w:b/>
                <w:lang w:eastAsia="ru-RU"/>
              </w:rPr>
              <w:t>№ п/п</w:t>
            </w:r>
          </w:p>
        </w:tc>
        <w:tc>
          <w:tcPr>
            <w:tcW w:w="2124" w:type="dxa"/>
            <w:vAlign w:val="center"/>
            <w:hideMark/>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 xml:space="preserve">Наименование товара </w:t>
            </w:r>
          </w:p>
        </w:tc>
        <w:tc>
          <w:tcPr>
            <w:tcW w:w="5839" w:type="dxa"/>
            <w:vAlign w:val="center"/>
            <w:hideMark/>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Требования к качеству, техническим и функциональным характеристикам товара</w:t>
            </w:r>
          </w:p>
        </w:tc>
        <w:tc>
          <w:tcPr>
            <w:tcW w:w="749" w:type="dxa"/>
            <w:vAlign w:val="center"/>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Кол-во</w:t>
            </w:r>
          </w:p>
        </w:tc>
        <w:tc>
          <w:tcPr>
            <w:tcW w:w="927" w:type="dxa"/>
            <w:vAlign w:val="center"/>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Ед. изм.</w:t>
            </w:r>
          </w:p>
        </w:tc>
        <w:tc>
          <w:tcPr>
            <w:tcW w:w="1417" w:type="dxa"/>
            <w:vAlign w:val="center"/>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ОКПД2/ КТРУ</w:t>
            </w:r>
          </w:p>
        </w:tc>
        <w:tc>
          <w:tcPr>
            <w:tcW w:w="1250" w:type="dxa"/>
            <w:shd w:val="clear" w:color="auto" w:fill="FFFFCC"/>
            <w:vAlign w:val="center"/>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Страна происхождения</w:t>
            </w:r>
          </w:p>
        </w:tc>
        <w:tc>
          <w:tcPr>
            <w:tcW w:w="749" w:type="dxa"/>
            <w:shd w:val="clear" w:color="auto" w:fill="FFFFCC"/>
            <w:vAlign w:val="center"/>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НДС %</w:t>
            </w:r>
          </w:p>
        </w:tc>
        <w:tc>
          <w:tcPr>
            <w:tcW w:w="1198" w:type="dxa"/>
            <w:shd w:val="clear" w:color="auto" w:fill="FFFFCC"/>
            <w:vAlign w:val="center"/>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Цена за ед. без НДС (руб.)</w:t>
            </w:r>
          </w:p>
        </w:tc>
        <w:tc>
          <w:tcPr>
            <w:tcW w:w="1152" w:type="dxa"/>
            <w:shd w:val="clear" w:color="auto" w:fill="FFFFCC"/>
            <w:vAlign w:val="center"/>
          </w:tcPr>
          <w:p w:rsidR="00444A1A" w:rsidRPr="00F979E5" w:rsidRDefault="00444A1A" w:rsidP="007A79A5">
            <w:pPr>
              <w:spacing w:after="0" w:line="240" w:lineRule="auto"/>
              <w:jc w:val="center"/>
              <w:rPr>
                <w:rFonts w:ascii="Times New Roman" w:hAnsi="Times New Roman" w:cs="Times New Roman"/>
                <w:b/>
                <w:lang w:eastAsia="ru-RU"/>
              </w:rPr>
            </w:pPr>
            <w:r w:rsidRPr="00F979E5">
              <w:rPr>
                <w:rFonts w:ascii="Times New Roman" w:hAnsi="Times New Roman" w:cs="Times New Roman"/>
                <w:b/>
                <w:lang w:eastAsia="ru-RU"/>
              </w:rPr>
              <w:t>Сумма без НДС (руб.)</w:t>
            </w:r>
          </w:p>
        </w:tc>
      </w:tr>
      <w:tr w:rsidR="00444A1A" w:rsidRPr="00F979E5" w:rsidTr="007A79A5">
        <w:trPr>
          <w:trHeight w:val="20"/>
          <w:jc w:val="center"/>
        </w:trPr>
        <w:tc>
          <w:tcPr>
            <w:tcW w:w="525" w:type="dxa"/>
          </w:tcPr>
          <w:p w:rsidR="00444A1A" w:rsidRPr="00F979E5" w:rsidRDefault="00444A1A" w:rsidP="007A79A5">
            <w:pPr>
              <w:pStyle w:val="a7"/>
              <w:numPr>
                <w:ilvl w:val="0"/>
                <w:numId w:val="20"/>
              </w:numPr>
              <w:spacing w:after="0" w:line="240" w:lineRule="auto"/>
              <w:ind w:left="139" w:hanging="283"/>
              <w:jc w:val="center"/>
              <w:rPr>
                <w:rFonts w:ascii="Times New Roman" w:hAnsi="Times New Roman" w:cs="Times New Roman"/>
                <w:lang w:eastAsia="ru-RU"/>
              </w:rPr>
            </w:pPr>
          </w:p>
        </w:tc>
        <w:tc>
          <w:tcPr>
            <w:tcW w:w="2124" w:type="dxa"/>
          </w:tcPr>
          <w:p w:rsidR="00444A1A" w:rsidRPr="00F979E5" w:rsidRDefault="00444A1A" w:rsidP="007A79A5">
            <w:pPr>
              <w:spacing w:after="0"/>
              <w:rPr>
                <w:rFonts w:ascii="Times New Roman" w:hAnsi="Times New Roman" w:cs="Times New Roman"/>
                <w:lang w:val="en-US"/>
              </w:rPr>
            </w:pPr>
            <w:r w:rsidRPr="00F979E5">
              <w:rPr>
                <w:rFonts w:ascii="Times New Roman" w:hAnsi="Times New Roman" w:cs="Times New Roman"/>
              </w:rPr>
              <w:t>К</w:t>
            </w:r>
            <w:proofErr w:type="spellStart"/>
            <w:r w:rsidRPr="00F979E5">
              <w:rPr>
                <w:rFonts w:ascii="Times New Roman" w:hAnsi="Times New Roman" w:cs="Times New Roman"/>
                <w:lang w:val="en-US"/>
              </w:rPr>
              <w:t>онтейнер</w:t>
            </w:r>
            <w:proofErr w:type="spellEnd"/>
            <w:r w:rsidRPr="00F979E5">
              <w:rPr>
                <w:rFonts w:ascii="Times New Roman" w:hAnsi="Times New Roman" w:cs="Times New Roman"/>
                <w:lang w:val="en-US"/>
              </w:rPr>
              <w:t xml:space="preserve"> </w:t>
            </w:r>
            <w:proofErr w:type="spellStart"/>
            <w:r w:rsidRPr="00F979E5">
              <w:rPr>
                <w:rFonts w:ascii="Times New Roman" w:hAnsi="Times New Roman" w:cs="Times New Roman"/>
                <w:lang w:val="en-US"/>
              </w:rPr>
              <w:t>открытый</w:t>
            </w:r>
            <w:proofErr w:type="spellEnd"/>
            <w:r w:rsidRPr="00F979E5">
              <w:rPr>
                <w:rFonts w:ascii="Times New Roman" w:hAnsi="Times New Roman" w:cs="Times New Roman"/>
                <w:lang w:val="en-US"/>
              </w:rPr>
              <w:t xml:space="preserve"> 7 </w:t>
            </w:r>
            <w:proofErr w:type="spellStart"/>
            <w:r w:rsidRPr="00F979E5">
              <w:rPr>
                <w:rFonts w:ascii="Times New Roman" w:hAnsi="Times New Roman" w:cs="Times New Roman"/>
                <w:lang w:val="en-US"/>
              </w:rPr>
              <w:t>мл</w:t>
            </w:r>
            <w:proofErr w:type="spellEnd"/>
            <w:r w:rsidRPr="00F979E5">
              <w:rPr>
                <w:rFonts w:ascii="Times New Roman" w:hAnsi="Times New Roman" w:cs="Times New Roman"/>
                <w:lang w:val="en-US"/>
              </w:rPr>
              <w:t xml:space="preserve"> (Bond Open Containers)</w:t>
            </w:r>
          </w:p>
        </w:tc>
        <w:tc>
          <w:tcPr>
            <w:tcW w:w="5839" w:type="dxa"/>
          </w:tcPr>
          <w:p w:rsidR="00444A1A" w:rsidRPr="00F979E5" w:rsidRDefault="00444A1A" w:rsidP="00444A1A">
            <w:pPr>
              <w:spacing w:after="0"/>
              <w:rPr>
                <w:rFonts w:ascii="Times New Roman" w:hAnsi="Times New Roman" w:cs="Times New Roman"/>
                <w:i/>
                <w:sz w:val="28"/>
                <w:szCs w:val="28"/>
              </w:rPr>
            </w:pPr>
            <w:r w:rsidRPr="00F979E5">
              <w:rPr>
                <w:rFonts w:ascii="Times New Roman" w:hAnsi="Times New Roman" w:cs="Times New Roman"/>
              </w:rPr>
              <w:t xml:space="preserve">Контейнер открытого типа, объем не менее 7 мл, для использования в </w:t>
            </w:r>
            <w:proofErr w:type="spellStart"/>
            <w:r w:rsidRPr="00F979E5">
              <w:rPr>
                <w:rFonts w:ascii="Times New Roman" w:hAnsi="Times New Roman" w:cs="Times New Roman"/>
              </w:rPr>
              <w:t>иммуностейнере</w:t>
            </w:r>
            <w:proofErr w:type="spellEnd"/>
            <w:r w:rsidRPr="00F979E5">
              <w:rPr>
                <w:rFonts w:ascii="Times New Roman" w:hAnsi="Times New Roman" w:cs="Times New Roman"/>
              </w:rPr>
              <w:t xml:space="preserve"> </w:t>
            </w:r>
            <w:r w:rsidRPr="00F979E5">
              <w:rPr>
                <w:rFonts w:ascii="Times New Roman" w:hAnsi="Times New Roman" w:cs="Times New Roman"/>
                <w:lang w:val="en-US"/>
              </w:rPr>
              <w:t>Bond</w:t>
            </w:r>
            <w:r w:rsidRPr="00F979E5">
              <w:rPr>
                <w:rFonts w:ascii="Times New Roman" w:hAnsi="Times New Roman" w:cs="Times New Roman"/>
              </w:rPr>
              <w:t>-</w:t>
            </w:r>
            <w:proofErr w:type="spellStart"/>
            <w:r w:rsidRPr="00F979E5">
              <w:rPr>
                <w:rFonts w:ascii="Times New Roman" w:hAnsi="Times New Roman" w:cs="Times New Roman"/>
                <w:lang w:val="en-US"/>
              </w:rPr>
              <w:t>maX</w:t>
            </w:r>
            <w:proofErr w:type="spellEnd"/>
            <w:r w:rsidRPr="00F979E5">
              <w:rPr>
                <w:rFonts w:ascii="Times New Roman" w:hAnsi="Times New Roman" w:cs="Times New Roman"/>
              </w:rPr>
              <w:t>.</w:t>
            </w:r>
            <w:r>
              <w:rPr>
                <w:rFonts w:ascii="Times New Roman" w:hAnsi="Times New Roman" w:cs="Times New Roman"/>
              </w:rPr>
              <w:t xml:space="preserve"> </w:t>
            </w:r>
            <w:r w:rsidRPr="00F979E5">
              <w:rPr>
                <w:rFonts w:ascii="Times New Roman" w:eastAsia="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49"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2</w:t>
            </w:r>
          </w:p>
        </w:tc>
        <w:tc>
          <w:tcPr>
            <w:tcW w:w="927"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упаковка</w:t>
            </w:r>
          </w:p>
        </w:tc>
        <w:tc>
          <w:tcPr>
            <w:tcW w:w="1417"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32.50.50.190</w:t>
            </w:r>
          </w:p>
        </w:tc>
        <w:tc>
          <w:tcPr>
            <w:tcW w:w="1250"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749"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1198"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1152"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r>
      <w:tr w:rsidR="00444A1A" w:rsidRPr="00F979E5" w:rsidTr="007A79A5">
        <w:trPr>
          <w:trHeight w:val="20"/>
          <w:jc w:val="center"/>
        </w:trPr>
        <w:tc>
          <w:tcPr>
            <w:tcW w:w="525" w:type="dxa"/>
          </w:tcPr>
          <w:p w:rsidR="00444A1A" w:rsidRPr="00F979E5" w:rsidRDefault="00444A1A" w:rsidP="007A79A5">
            <w:pPr>
              <w:pStyle w:val="a7"/>
              <w:numPr>
                <w:ilvl w:val="0"/>
                <w:numId w:val="20"/>
              </w:numPr>
              <w:spacing w:after="0" w:line="240" w:lineRule="auto"/>
              <w:ind w:left="139" w:hanging="283"/>
              <w:jc w:val="center"/>
              <w:rPr>
                <w:rFonts w:ascii="Times New Roman" w:hAnsi="Times New Roman" w:cs="Times New Roman"/>
                <w:lang w:eastAsia="ru-RU"/>
              </w:rPr>
            </w:pPr>
          </w:p>
        </w:tc>
        <w:tc>
          <w:tcPr>
            <w:tcW w:w="2124" w:type="dxa"/>
          </w:tcPr>
          <w:p w:rsidR="00444A1A" w:rsidRPr="00F979E5" w:rsidRDefault="00444A1A" w:rsidP="007A79A5">
            <w:pPr>
              <w:spacing w:after="0"/>
              <w:rPr>
                <w:rFonts w:ascii="Times New Roman" w:hAnsi="Times New Roman" w:cs="Times New Roman"/>
              </w:rPr>
            </w:pPr>
            <w:r w:rsidRPr="00F979E5">
              <w:rPr>
                <w:rFonts w:ascii="Times New Roman" w:hAnsi="Times New Roman" w:cs="Times New Roman"/>
              </w:rPr>
              <w:t xml:space="preserve">Устройства покрывающие стекла - </w:t>
            </w:r>
            <w:proofErr w:type="spellStart"/>
            <w:r w:rsidRPr="00F979E5">
              <w:rPr>
                <w:rFonts w:ascii="Times New Roman" w:hAnsi="Times New Roman" w:cs="Times New Roman"/>
              </w:rPr>
              <w:t>Bond</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t>Universal</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t>Covertiles</w:t>
            </w:r>
            <w:proofErr w:type="spellEnd"/>
          </w:p>
        </w:tc>
        <w:tc>
          <w:tcPr>
            <w:tcW w:w="5839" w:type="dxa"/>
          </w:tcPr>
          <w:p w:rsidR="00444A1A" w:rsidRPr="00F979E5" w:rsidRDefault="00444A1A" w:rsidP="007A79A5">
            <w:pPr>
              <w:spacing w:after="0"/>
              <w:rPr>
                <w:rFonts w:ascii="Times New Roman" w:hAnsi="Times New Roman" w:cs="Times New Roman"/>
              </w:rPr>
            </w:pPr>
            <w:r w:rsidRPr="00F979E5">
              <w:rPr>
                <w:rFonts w:ascii="Times New Roman" w:hAnsi="Times New Roman" w:cs="Times New Roman"/>
              </w:rPr>
              <w:t xml:space="preserve">Устройства покрывающие стекла. Универсальные </w:t>
            </w:r>
            <w:proofErr w:type="spellStart"/>
            <w:r w:rsidRPr="00F979E5">
              <w:rPr>
                <w:rFonts w:ascii="Times New Roman" w:hAnsi="Times New Roman" w:cs="Times New Roman"/>
              </w:rPr>
              <w:t>ковертили</w:t>
            </w:r>
            <w:proofErr w:type="spellEnd"/>
            <w:r w:rsidRPr="00F979E5">
              <w:rPr>
                <w:rFonts w:ascii="Times New Roman" w:hAnsi="Times New Roman" w:cs="Times New Roman"/>
              </w:rPr>
              <w:t xml:space="preserve">, для использования в </w:t>
            </w:r>
            <w:proofErr w:type="spellStart"/>
            <w:r w:rsidRPr="00F979E5">
              <w:rPr>
                <w:rFonts w:ascii="Times New Roman" w:hAnsi="Times New Roman" w:cs="Times New Roman"/>
              </w:rPr>
              <w:t>иммуностейнере</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t>Bond-maX</w:t>
            </w:r>
            <w:proofErr w:type="spellEnd"/>
            <w:r w:rsidRPr="00F979E5">
              <w:rPr>
                <w:rFonts w:ascii="Times New Roman" w:hAnsi="Times New Roman" w:cs="Times New Roman"/>
              </w:rPr>
              <w:t xml:space="preserve">, пластиковые накладки на предметные стекла, используются для покрытия стекол с образцом ткани для обеспечения оптимальных условий распределения реагентов при проведении </w:t>
            </w:r>
            <w:proofErr w:type="spellStart"/>
            <w:r w:rsidRPr="00F979E5">
              <w:rPr>
                <w:rFonts w:ascii="Times New Roman" w:hAnsi="Times New Roman" w:cs="Times New Roman"/>
              </w:rPr>
              <w:t>иммуногистохимического</w:t>
            </w:r>
            <w:proofErr w:type="spellEnd"/>
            <w:r w:rsidRPr="00F979E5">
              <w:rPr>
                <w:rFonts w:ascii="Times New Roman" w:hAnsi="Times New Roman" w:cs="Times New Roman"/>
              </w:rPr>
              <w:t xml:space="preserve"> окрашивания, 160 шт./</w:t>
            </w:r>
            <w:proofErr w:type="spellStart"/>
            <w:r w:rsidRPr="00F979E5">
              <w:rPr>
                <w:rFonts w:ascii="Times New Roman" w:hAnsi="Times New Roman" w:cs="Times New Roman"/>
              </w:rPr>
              <w:t>упак</w:t>
            </w:r>
            <w:proofErr w:type="spellEnd"/>
            <w:r w:rsidRPr="00F979E5">
              <w:rPr>
                <w:rFonts w:ascii="Times New Roman" w:hAnsi="Times New Roman" w:cs="Times New Roman"/>
              </w:rPr>
              <w:t>.</w:t>
            </w:r>
          </w:p>
          <w:p w:rsidR="00444A1A" w:rsidRPr="00F979E5" w:rsidRDefault="00444A1A" w:rsidP="007A79A5">
            <w:pPr>
              <w:rPr>
                <w:rFonts w:ascii="Times New Roman" w:hAnsi="Times New Roman" w:cs="Times New Roman"/>
                <w:i/>
                <w:sz w:val="28"/>
                <w:szCs w:val="28"/>
              </w:rPr>
            </w:pPr>
            <w:r w:rsidRPr="00F979E5">
              <w:rPr>
                <w:rFonts w:ascii="Times New Roman" w:eastAsia="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49"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5</w:t>
            </w:r>
          </w:p>
        </w:tc>
        <w:tc>
          <w:tcPr>
            <w:tcW w:w="927"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упаковка</w:t>
            </w:r>
          </w:p>
        </w:tc>
        <w:tc>
          <w:tcPr>
            <w:tcW w:w="1417"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32.50.50.190</w:t>
            </w:r>
          </w:p>
        </w:tc>
        <w:tc>
          <w:tcPr>
            <w:tcW w:w="1250"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749"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1198"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1152"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r>
      <w:tr w:rsidR="00444A1A" w:rsidRPr="00F979E5" w:rsidTr="007A79A5">
        <w:trPr>
          <w:trHeight w:val="20"/>
          <w:jc w:val="center"/>
        </w:trPr>
        <w:tc>
          <w:tcPr>
            <w:tcW w:w="525" w:type="dxa"/>
          </w:tcPr>
          <w:p w:rsidR="00444A1A" w:rsidRPr="00F979E5" w:rsidRDefault="00444A1A" w:rsidP="007A79A5">
            <w:pPr>
              <w:pStyle w:val="a7"/>
              <w:numPr>
                <w:ilvl w:val="0"/>
                <w:numId w:val="20"/>
              </w:numPr>
              <w:spacing w:after="0" w:line="240" w:lineRule="auto"/>
              <w:ind w:left="139" w:hanging="283"/>
              <w:jc w:val="center"/>
              <w:rPr>
                <w:rFonts w:ascii="Times New Roman" w:hAnsi="Times New Roman" w:cs="Times New Roman"/>
                <w:lang w:eastAsia="ru-RU"/>
              </w:rPr>
            </w:pPr>
          </w:p>
        </w:tc>
        <w:tc>
          <w:tcPr>
            <w:tcW w:w="2124" w:type="dxa"/>
          </w:tcPr>
          <w:p w:rsidR="00444A1A" w:rsidRPr="00F979E5" w:rsidRDefault="00444A1A" w:rsidP="007A79A5">
            <w:pPr>
              <w:spacing w:after="0"/>
              <w:rPr>
                <w:rFonts w:ascii="Times New Roman" w:hAnsi="Times New Roman" w:cs="Times New Roman"/>
              </w:rPr>
            </w:pPr>
            <w:r w:rsidRPr="00F979E5">
              <w:rPr>
                <w:rFonts w:ascii="Times New Roman" w:hAnsi="Times New Roman" w:cs="Times New Roman"/>
              </w:rPr>
              <w:t>Устройство для забора проб (</w:t>
            </w:r>
            <w:proofErr w:type="spellStart"/>
            <w:r w:rsidRPr="00F979E5">
              <w:rPr>
                <w:rFonts w:ascii="Times New Roman" w:hAnsi="Times New Roman" w:cs="Times New Roman"/>
              </w:rPr>
              <w:t>Bond</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lastRenderedPageBreak/>
              <w:t>Aspirating</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t>Probe</w:t>
            </w:r>
            <w:proofErr w:type="spellEnd"/>
            <w:r w:rsidRPr="00F979E5">
              <w:rPr>
                <w:rFonts w:ascii="Times New Roman" w:hAnsi="Times New Roman" w:cs="Times New Roman"/>
              </w:rPr>
              <w:t>)</w:t>
            </w:r>
          </w:p>
        </w:tc>
        <w:tc>
          <w:tcPr>
            <w:tcW w:w="5839" w:type="dxa"/>
          </w:tcPr>
          <w:p w:rsidR="00444A1A" w:rsidRPr="00F979E5" w:rsidRDefault="00444A1A" w:rsidP="007A79A5">
            <w:pPr>
              <w:spacing w:after="0"/>
              <w:rPr>
                <w:rFonts w:ascii="Times New Roman" w:hAnsi="Times New Roman" w:cs="Times New Roman"/>
              </w:rPr>
            </w:pPr>
            <w:r w:rsidRPr="00F979E5">
              <w:rPr>
                <w:rFonts w:ascii="Times New Roman" w:hAnsi="Times New Roman" w:cs="Times New Roman"/>
              </w:rPr>
              <w:lastRenderedPageBreak/>
              <w:t xml:space="preserve">Устройство для забора проб, совместима с </w:t>
            </w:r>
            <w:proofErr w:type="spellStart"/>
            <w:r w:rsidRPr="00F979E5">
              <w:rPr>
                <w:rFonts w:ascii="Times New Roman" w:hAnsi="Times New Roman" w:cs="Times New Roman"/>
              </w:rPr>
              <w:t>иммуностейнером</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t>Bond-maX</w:t>
            </w:r>
            <w:proofErr w:type="spellEnd"/>
            <w:r w:rsidRPr="00F979E5">
              <w:rPr>
                <w:rFonts w:ascii="Times New Roman" w:hAnsi="Times New Roman" w:cs="Times New Roman"/>
              </w:rPr>
              <w:t xml:space="preserve">. Пластиковая игла с </w:t>
            </w:r>
            <w:r w:rsidRPr="00F979E5">
              <w:rPr>
                <w:rFonts w:ascii="Times New Roman" w:hAnsi="Times New Roman" w:cs="Times New Roman"/>
              </w:rPr>
              <w:lastRenderedPageBreak/>
              <w:t>тефлоновым покрытием, предназначенная для забора жидкостей (реагентов) и их последующего нанесения на предметное стекло</w:t>
            </w:r>
          </w:p>
          <w:p w:rsidR="00444A1A" w:rsidRPr="00F979E5" w:rsidRDefault="00444A1A" w:rsidP="007A79A5">
            <w:pPr>
              <w:rPr>
                <w:rFonts w:ascii="Times New Roman" w:hAnsi="Times New Roman" w:cs="Times New Roman"/>
                <w:i/>
                <w:sz w:val="28"/>
                <w:szCs w:val="28"/>
              </w:rPr>
            </w:pPr>
            <w:r w:rsidRPr="00F979E5">
              <w:rPr>
                <w:rFonts w:ascii="Times New Roman" w:eastAsia="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49"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lastRenderedPageBreak/>
              <w:t>1</w:t>
            </w:r>
          </w:p>
        </w:tc>
        <w:tc>
          <w:tcPr>
            <w:tcW w:w="927" w:type="dxa"/>
          </w:tcPr>
          <w:p w:rsidR="00444A1A" w:rsidRPr="00F979E5" w:rsidRDefault="00444A1A" w:rsidP="007A79A5">
            <w:pPr>
              <w:spacing w:after="0" w:line="240" w:lineRule="auto"/>
              <w:jc w:val="center"/>
              <w:rPr>
                <w:rFonts w:ascii="Times New Roman" w:hAnsi="Times New Roman" w:cs="Times New Roman"/>
                <w:lang w:eastAsia="ru-RU"/>
              </w:rPr>
            </w:pPr>
            <w:proofErr w:type="spellStart"/>
            <w:r w:rsidRPr="00F979E5">
              <w:rPr>
                <w:rFonts w:ascii="Times New Roman" w:hAnsi="Times New Roman" w:cs="Times New Roman"/>
                <w:lang w:eastAsia="ru-RU"/>
              </w:rPr>
              <w:t>шт</w:t>
            </w:r>
            <w:proofErr w:type="spellEnd"/>
          </w:p>
        </w:tc>
        <w:tc>
          <w:tcPr>
            <w:tcW w:w="1417"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32.50.50.190</w:t>
            </w:r>
          </w:p>
        </w:tc>
        <w:tc>
          <w:tcPr>
            <w:tcW w:w="1250"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749"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1198"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1152"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r>
      <w:tr w:rsidR="00444A1A" w:rsidRPr="00F979E5" w:rsidTr="007A79A5">
        <w:trPr>
          <w:trHeight w:val="70"/>
          <w:jc w:val="center"/>
        </w:trPr>
        <w:tc>
          <w:tcPr>
            <w:tcW w:w="525" w:type="dxa"/>
          </w:tcPr>
          <w:p w:rsidR="00444A1A" w:rsidRPr="00F979E5" w:rsidRDefault="00444A1A" w:rsidP="007A79A5">
            <w:pPr>
              <w:pStyle w:val="a7"/>
              <w:numPr>
                <w:ilvl w:val="0"/>
                <w:numId w:val="20"/>
              </w:numPr>
              <w:spacing w:after="0" w:line="240" w:lineRule="auto"/>
              <w:ind w:left="139" w:hanging="283"/>
              <w:jc w:val="center"/>
              <w:rPr>
                <w:rFonts w:ascii="Times New Roman" w:hAnsi="Times New Roman" w:cs="Times New Roman"/>
                <w:lang w:eastAsia="ru-RU"/>
              </w:rPr>
            </w:pPr>
          </w:p>
        </w:tc>
        <w:tc>
          <w:tcPr>
            <w:tcW w:w="2124" w:type="dxa"/>
          </w:tcPr>
          <w:p w:rsidR="00444A1A" w:rsidRPr="00F979E5" w:rsidRDefault="00444A1A" w:rsidP="007A79A5">
            <w:pPr>
              <w:spacing w:after="0"/>
              <w:rPr>
                <w:rFonts w:ascii="Times New Roman" w:hAnsi="Times New Roman" w:cs="Times New Roman"/>
              </w:rPr>
            </w:pPr>
            <w:r w:rsidRPr="00F979E5">
              <w:rPr>
                <w:rFonts w:ascii="Times New Roman" w:hAnsi="Times New Roman" w:cs="Times New Roman"/>
              </w:rPr>
              <w:t>Станции для перемешивания (</w:t>
            </w:r>
            <w:proofErr w:type="spellStart"/>
            <w:r w:rsidRPr="00F979E5">
              <w:rPr>
                <w:rFonts w:ascii="Times New Roman" w:hAnsi="Times New Roman" w:cs="Times New Roman"/>
              </w:rPr>
              <w:t>Bond</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t>Mixing</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t>Stations</w:t>
            </w:r>
            <w:proofErr w:type="spellEnd"/>
            <w:r w:rsidRPr="00F979E5">
              <w:rPr>
                <w:rFonts w:ascii="Times New Roman" w:hAnsi="Times New Roman" w:cs="Times New Roman"/>
              </w:rPr>
              <w:t>)</w:t>
            </w:r>
          </w:p>
        </w:tc>
        <w:tc>
          <w:tcPr>
            <w:tcW w:w="5839" w:type="dxa"/>
          </w:tcPr>
          <w:p w:rsidR="00444A1A" w:rsidRPr="00F979E5" w:rsidRDefault="00444A1A" w:rsidP="007A79A5">
            <w:pPr>
              <w:spacing w:after="0"/>
              <w:rPr>
                <w:rFonts w:ascii="Times New Roman" w:hAnsi="Times New Roman" w:cs="Times New Roman"/>
              </w:rPr>
            </w:pPr>
            <w:r w:rsidRPr="00F979E5">
              <w:rPr>
                <w:rFonts w:ascii="Times New Roman" w:hAnsi="Times New Roman" w:cs="Times New Roman"/>
              </w:rPr>
              <w:t xml:space="preserve">Станция для перемешивания реагентов, изготовлены из пластика и состоят из 6 флаконов соединенных между собой, используются для перемешивания DAB хромогена и DAB буфера при проведении </w:t>
            </w:r>
            <w:proofErr w:type="spellStart"/>
            <w:r w:rsidRPr="00F979E5">
              <w:rPr>
                <w:rFonts w:ascii="Times New Roman" w:hAnsi="Times New Roman" w:cs="Times New Roman"/>
              </w:rPr>
              <w:t>иммуногистохимического</w:t>
            </w:r>
            <w:proofErr w:type="spellEnd"/>
            <w:r w:rsidRPr="00F979E5">
              <w:rPr>
                <w:rFonts w:ascii="Times New Roman" w:hAnsi="Times New Roman" w:cs="Times New Roman"/>
              </w:rPr>
              <w:t xml:space="preserve"> окрашивания, не менее 5 шт./</w:t>
            </w:r>
            <w:proofErr w:type="spellStart"/>
            <w:r w:rsidRPr="00F979E5">
              <w:rPr>
                <w:rFonts w:ascii="Times New Roman" w:hAnsi="Times New Roman" w:cs="Times New Roman"/>
              </w:rPr>
              <w:t>упак</w:t>
            </w:r>
            <w:proofErr w:type="spellEnd"/>
            <w:r w:rsidRPr="00F979E5">
              <w:rPr>
                <w:rFonts w:ascii="Times New Roman" w:hAnsi="Times New Roman" w:cs="Times New Roman"/>
              </w:rPr>
              <w:t xml:space="preserve">., для использования в </w:t>
            </w:r>
            <w:proofErr w:type="spellStart"/>
            <w:r w:rsidRPr="00F979E5">
              <w:rPr>
                <w:rFonts w:ascii="Times New Roman" w:hAnsi="Times New Roman" w:cs="Times New Roman"/>
              </w:rPr>
              <w:t>иммуностейнере</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t>Bond-maX</w:t>
            </w:r>
            <w:proofErr w:type="spellEnd"/>
            <w:r w:rsidRPr="00F979E5">
              <w:rPr>
                <w:rFonts w:ascii="Times New Roman" w:hAnsi="Times New Roman" w:cs="Times New Roman"/>
              </w:rPr>
              <w:t xml:space="preserve">. </w:t>
            </w:r>
            <w:r w:rsidRPr="00F979E5">
              <w:rPr>
                <w:rFonts w:ascii="Times New Roman" w:eastAsia="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49"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2</w:t>
            </w:r>
          </w:p>
        </w:tc>
        <w:tc>
          <w:tcPr>
            <w:tcW w:w="927" w:type="dxa"/>
          </w:tcPr>
          <w:p w:rsidR="00444A1A" w:rsidRPr="00F979E5" w:rsidRDefault="00444A1A" w:rsidP="007A79A5">
            <w:pPr>
              <w:spacing w:after="0" w:line="240" w:lineRule="auto"/>
              <w:jc w:val="center"/>
              <w:rPr>
                <w:rFonts w:ascii="Times New Roman" w:hAnsi="Times New Roman" w:cs="Times New Roman"/>
                <w:lang w:eastAsia="ru-RU"/>
              </w:rPr>
            </w:pPr>
            <w:proofErr w:type="spellStart"/>
            <w:r w:rsidRPr="00F979E5">
              <w:rPr>
                <w:rFonts w:ascii="Times New Roman" w:hAnsi="Times New Roman" w:cs="Times New Roman"/>
                <w:lang w:eastAsia="ru-RU"/>
              </w:rPr>
              <w:t>упак</w:t>
            </w:r>
            <w:proofErr w:type="spellEnd"/>
          </w:p>
        </w:tc>
        <w:tc>
          <w:tcPr>
            <w:tcW w:w="1417"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32.50.50.190</w:t>
            </w:r>
          </w:p>
        </w:tc>
        <w:tc>
          <w:tcPr>
            <w:tcW w:w="1250"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749"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1198"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c>
          <w:tcPr>
            <w:tcW w:w="1152" w:type="dxa"/>
            <w:shd w:val="clear" w:color="auto" w:fill="FFFFCC"/>
          </w:tcPr>
          <w:p w:rsidR="00444A1A" w:rsidRPr="00F979E5" w:rsidRDefault="00444A1A" w:rsidP="007A79A5">
            <w:pPr>
              <w:spacing w:after="0" w:line="240" w:lineRule="auto"/>
              <w:jc w:val="center"/>
              <w:rPr>
                <w:rFonts w:ascii="Times New Roman" w:hAnsi="Times New Roman" w:cs="Times New Roman"/>
                <w:lang w:eastAsia="ru-RU"/>
              </w:rPr>
            </w:pPr>
          </w:p>
        </w:tc>
      </w:tr>
      <w:tr w:rsidR="00444A1A" w:rsidRPr="00F45F1E" w:rsidTr="007A79A5">
        <w:trPr>
          <w:trHeight w:val="70"/>
          <w:jc w:val="center"/>
        </w:trPr>
        <w:tc>
          <w:tcPr>
            <w:tcW w:w="525" w:type="dxa"/>
          </w:tcPr>
          <w:p w:rsidR="00444A1A" w:rsidRPr="00F979E5" w:rsidRDefault="00444A1A" w:rsidP="007A79A5">
            <w:pPr>
              <w:pStyle w:val="a7"/>
              <w:numPr>
                <w:ilvl w:val="0"/>
                <w:numId w:val="20"/>
              </w:numPr>
              <w:spacing w:after="0" w:line="240" w:lineRule="auto"/>
              <w:ind w:left="139" w:hanging="283"/>
              <w:jc w:val="center"/>
              <w:rPr>
                <w:rFonts w:ascii="Times New Roman" w:hAnsi="Times New Roman" w:cs="Times New Roman"/>
                <w:lang w:eastAsia="ru-RU"/>
              </w:rPr>
            </w:pPr>
          </w:p>
        </w:tc>
        <w:tc>
          <w:tcPr>
            <w:tcW w:w="2124" w:type="dxa"/>
          </w:tcPr>
          <w:p w:rsidR="00444A1A" w:rsidRPr="00F979E5" w:rsidRDefault="00444A1A" w:rsidP="007A79A5">
            <w:pPr>
              <w:spacing w:after="0"/>
              <w:rPr>
                <w:rFonts w:ascii="Times New Roman" w:hAnsi="Times New Roman" w:cs="Times New Roman"/>
                <w:lang w:val="en-US"/>
              </w:rPr>
            </w:pPr>
            <w:r w:rsidRPr="00F979E5">
              <w:rPr>
                <w:rFonts w:ascii="Times New Roman" w:hAnsi="Times New Roman" w:cs="Times New Roman"/>
              </w:rPr>
              <w:t>Лента</w:t>
            </w:r>
            <w:r w:rsidRPr="00F979E5">
              <w:rPr>
                <w:rFonts w:ascii="Times New Roman" w:hAnsi="Times New Roman" w:cs="Times New Roman"/>
                <w:lang w:val="en-US"/>
              </w:rPr>
              <w:t xml:space="preserve"> </w:t>
            </w:r>
            <w:r w:rsidRPr="00F979E5">
              <w:rPr>
                <w:rFonts w:ascii="Times New Roman" w:hAnsi="Times New Roman" w:cs="Times New Roman"/>
              </w:rPr>
              <w:t>для</w:t>
            </w:r>
            <w:r w:rsidRPr="00F979E5">
              <w:rPr>
                <w:rFonts w:ascii="Times New Roman" w:hAnsi="Times New Roman" w:cs="Times New Roman"/>
                <w:lang w:val="en-US"/>
              </w:rPr>
              <w:t xml:space="preserve"> </w:t>
            </w:r>
            <w:r w:rsidRPr="00F979E5">
              <w:rPr>
                <w:rFonts w:ascii="Times New Roman" w:hAnsi="Times New Roman" w:cs="Times New Roman"/>
              </w:rPr>
              <w:t>принтера</w:t>
            </w:r>
            <w:r w:rsidRPr="00F979E5">
              <w:rPr>
                <w:rFonts w:ascii="Times New Roman" w:hAnsi="Times New Roman" w:cs="Times New Roman"/>
                <w:lang w:val="en-US"/>
              </w:rPr>
              <w:t>(Bond Universal Slide Labels)</w:t>
            </w:r>
          </w:p>
        </w:tc>
        <w:tc>
          <w:tcPr>
            <w:tcW w:w="5839" w:type="dxa"/>
          </w:tcPr>
          <w:p w:rsidR="00444A1A" w:rsidRPr="00F979E5" w:rsidRDefault="00444A1A" w:rsidP="007A79A5">
            <w:pPr>
              <w:spacing w:after="0"/>
              <w:rPr>
                <w:rFonts w:ascii="Times New Roman" w:hAnsi="Times New Roman" w:cs="Times New Roman"/>
              </w:rPr>
            </w:pPr>
            <w:r w:rsidRPr="00F979E5">
              <w:rPr>
                <w:rFonts w:ascii="Times New Roman" w:hAnsi="Times New Roman" w:cs="Times New Roman"/>
              </w:rPr>
              <w:t>Лента с этикетками и чернильная лента должны быть совместимы с принтером, имеющимся в наличии у Заказчика, с помощью которого на наклейки наносится необходимая информация. Этикетки предназначены для маркировки предметных стекол.</w:t>
            </w:r>
          </w:p>
          <w:p w:rsidR="00444A1A" w:rsidRPr="00F979E5" w:rsidRDefault="00444A1A" w:rsidP="007A79A5">
            <w:pPr>
              <w:spacing w:after="0"/>
              <w:rPr>
                <w:rFonts w:ascii="Times New Roman" w:hAnsi="Times New Roman" w:cs="Times New Roman"/>
              </w:rPr>
            </w:pPr>
            <w:r w:rsidRPr="00F979E5">
              <w:rPr>
                <w:rFonts w:ascii="Times New Roman" w:hAnsi="Times New Roman" w:cs="Times New Roman"/>
              </w:rPr>
              <w:t xml:space="preserve">Этикетки для стекол и лента для принтера (не менее 3000 этикеток на ленте), для использования в </w:t>
            </w:r>
            <w:proofErr w:type="spellStart"/>
            <w:r w:rsidRPr="00F979E5">
              <w:rPr>
                <w:rFonts w:ascii="Times New Roman" w:hAnsi="Times New Roman" w:cs="Times New Roman"/>
              </w:rPr>
              <w:t>иммуностейнере</w:t>
            </w:r>
            <w:proofErr w:type="spellEnd"/>
            <w:r w:rsidRPr="00F979E5">
              <w:rPr>
                <w:rFonts w:ascii="Times New Roman" w:hAnsi="Times New Roman" w:cs="Times New Roman"/>
              </w:rPr>
              <w:t xml:space="preserve"> </w:t>
            </w:r>
            <w:proofErr w:type="spellStart"/>
            <w:r w:rsidRPr="00F979E5">
              <w:rPr>
                <w:rFonts w:ascii="Times New Roman" w:hAnsi="Times New Roman" w:cs="Times New Roman"/>
              </w:rPr>
              <w:lastRenderedPageBreak/>
              <w:t>Bond-maX</w:t>
            </w:r>
            <w:proofErr w:type="spellEnd"/>
            <w:r w:rsidRPr="00F979E5">
              <w:rPr>
                <w:rFonts w:ascii="Times New Roman" w:hAnsi="Times New Roman" w:cs="Times New Roman"/>
              </w:rPr>
              <w:t xml:space="preserve">. </w:t>
            </w:r>
          </w:p>
          <w:p w:rsidR="00444A1A" w:rsidRPr="00F979E5" w:rsidRDefault="00444A1A" w:rsidP="007A79A5">
            <w:pPr>
              <w:spacing w:after="0"/>
              <w:rPr>
                <w:rFonts w:ascii="Times New Roman" w:hAnsi="Times New Roman" w:cs="Times New Roman"/>
              </w:rPr>
            </w:pPr>
            <w:r w:rsidRPr="00F979E5">
              <w:rPr>
                <w:rFonts w:ascii="Times New Roman" w:eastAsia="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49" w:type="dxa"/>
          </w:tcPr>
          <w:p w:rsidR="00444A1A" w:rsidRPr="00F979E5"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lastRenderedPageBreak/>
              <w:t>2</w:t>
            </w:r>
          </w:p>
        </w:tc>
        <w:tc>
          <w:tcPr>
            <w:tcW w:w="927" w:type="dxa"/>
          </w:tcPr>
          <w:p w:rsidR="00444A1A" w:rsidRPr="00F979E5" w:rsidRDefault="00444A1A" w:rsidP="007A79A5">
            <w:pPr>
              <w:spacing w:after="0" w:line="240" w:lineRule="auto"/>
              <w:jc w:val="center"/>
              <w:rPr>
                <w:rFonts w:ascii="Times New Roman" w:hAnsi="Times New Roman" w:cs="Times New Roman"/>
                <w:lang w:eastAsia="ru-RU"/>
              </w:rPr>
            </w:pPr>
            <w:proofErr w:type="spellStart"/>
            <w:r w:rsidRPr="00F979E5">
              <w:rPr>
                <w:rFonts w:ascii="Times New Roman" w:hAnsi="Times New Roman" w:cs="Times New Roman"/>
                <w:lang w:eastAsia="ru-RU"/>
              </w:rPr>
              <w:t>упак</w:t>
            </w:r>
            <w:proofErr w:type="spellEnd"/>
          </w:p>
        </w:tc>
        <w:tc>
          <w:tcPr>
            <w:tcW w:w="1417" w:type="dxa"/>
          </w:tcPr>
          <w:p w:rsidR="00444A1A" w:rsidRPr="00F45F1E" w:rsidRDefault="00444A1A" w:rsidP="007A79A5">
            <w:pPr>
              <w:spacing w:after="0" w:line="240" w:lineRule="auto"/>
              <w:jc w:val="center"/>
              <w:rPr>
                <w:rFonts w:ascii="Times New Roman" w:hAnsi="Times New Roman" w:cs="Times New Roman"/>
                <w:lang w:eastAsia="ru-RU"/>
              </w:rPr>
            </w:pPr>
            <w:r w:rsidRPr="00F979E5">
              <w:rPr>
                <w:rFonts w:ascii="Times New Roman" w:hAnsi="Times New Roman" w:cs="Times New Roman"/>
                <w:lang w:eastAsia="ru-RU"/>
              </w:rPr>
              <w:t>32.50.50.190</w:t>
            </w:r>
          </w:p>
          <w:p w:rsidR="00444A1A" w:rsidRPr="00F45F1E" w:rsidRDefault="00444A1A" w:rsidP="007A79A5">
            <w:pPr>
              <w:spacing w:after="0" w:line="240" w:lineRule="auto"/>
              <w:jc w:val="center"/>
              <w:rPr>
                <w:rFonts w:ascii="Times New Roman" w:hAnsi="Times New Roman" w:cs="Times New Roman"/>
                <w:lang w:eastAsia="ru-RU"/>
              </w:rPr>
            </w:pPr>
          </w:p>
        </w:tc>
        <w:tc>
          <w:tcPr>
            <w:tcW w:w="1250" w:type="dxa"/>
            <w:shd w:val="clear" w:color="auto" w:fill="FFFFCC"/>
          </w:tcPr>
          <w:p w:rsidR="00444A1A" w:rsidRPr="00F45F1E" w:rsidRDefault="00444A1A" w:rsidP="007A79A5">
            <w:pPr>
              <w:spacing w:after="0" w:line="240" w:lineRule="auto"/>
              <w:jc w:val="center"/>
              <w:rPr>
                <w:rFonts w:ascii="Times New Roman" w:hAnsi="Times New Roman" w:cs="Times New Roman"/>
                <w:lang w:eastAsia="ru-RU"/>
              </w:rPr>
            </w:pPr>
          </w:p>
        </w:tc>
        <w:tc>
          <w:tcPr>
            <w:tcW w:w="749" w:type="dxa"/>
            <w:shd w:val="clear" w:color="auto" w:fill="FFFFCC"/>
          </w:tcPr>
          <w:p w:rsidR="00444A1A" w:rsidRPr="00F45F1E" w:rsidRDefault="00444A1A" w:rsidP="007A79A5">
            <w:pPr>
              <w:spacing w:after="0" w:line="240" w:lineRule="auto"/>
              <w:jc w:val="center"/>
              <w:rPr>
                <w:rFonts w:ascii="Times New Roman" w:hAnsi="Times New Roman" w:cs="Times New Roman"/>
                <w:lang w:eastAsia="ru-RU"/>
              </w:rPr>
            </w:pPr>
          </w:p>
        </w:tc>
        <w:tc>
          <w:tcPr>
            <w:tcW w:w="1198" w:type="dxa"/>
            <w:shd w:val="clear" w:color="auto" w:fill="FFFFCC"/>
          </w:tcPr>
          <w:p w:rsidR="00444A1A" w:rsidRPr="00F45F1E" w:rsidRDefault="00444A1A" w:rsidP="007A79A5">
            <w:pPr>
              <w:spacing w:after="0" w:line="240" w:lineRule="auto"/>
              <w:jc w:val="center"/>
              <w:rPr>
                <w:rFonts w:ascii="Times New Roman" w:hAnsi="Times New Roman" w:cs="Times New Roman"/>
                <w:lang w:eastAsia="ru-RU"/>
              </w:rPr>
            </w:pPr>
          </w:p>
        </w:tc>
        <w:tc>
          <w:tcPr>
            <w:tcW w:w="1152" w:type="dxa"/>
            <w:shd w:val="clear" w:color="auto" w:fill="FFFFCC"/>
          </w:tcPr>
          <w:p w:rsidR="00444A1A" w:rsidRPr="00F45F1E" w:rsidRDefault="00444A1A" w:rsidP="007A79A5">
            <w:pPr>
              <w:spacing w:after="0" w:line="240" w:lineRule="auto"/>
              <w:jc w:val="center"/>
              <w:rPr>
                <w:rFonts w:ascii="Times New Roman" w:hAnsi="Times New Roman" w:cs="Times New Roman"/>
                <w:lang w:eastAsia="ru-RU"/>
              </w:rPr>
            </w:pPr>
          </w:p>
        </w:tc>
      </w:tr>
      <w:bookmarkEnd w:id="21"/>
    </w:tbl>
    <w:p w:rsidR="00170252" w:rsidRDefault="00170252" w:rsidP="000820E3">
      <w:pPr>
        <w:rPr>
          <w:rFonts w:ascii="Times New Roman" w:hAnsi="Times New Roman" w:cs="Times New Roman"/>
          <w:b/>
          <w:sz w:val="28"/>
          <w:szCs w:val="28"/>
        </w:rPr>
      </w:pPr>
    </w:p>
    <w:sectPr w:rsidR="00170252" w:rsidSect="00444A1A">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12" w:rsidRDefault="00AC3F12">
      <w:pPr>
        <w:spacing w:after="0" w:line="240" w:lineRule="auto"/>
      </w:pPr>
      <w:r>
        <w:separator/>
      </w:r>
    </w:p>
  </w:endnote>
  <w:endnote w:type="continuationSeparator" w:id="0">
    <w:p w:rsidR="00AC3F12" w:rsidRDefault="00AC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65FF8" w:rsidRDefault="00B65FF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B65FF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65FF8">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B65FF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B65FF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B65FF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12" w:rsidRDefault="00AC3F12">
      <w:pPr>
        <w:spacing w:after="0" w:line="240" w:lineRule="auto"/>
      </w:pPr>
      <w:r>
        <w:separator/>
      </w:r>
    </w:p>
  </w:footnote>
  <w:footnote w:type="continuationSeparator" w:id="0">
    <w:p w:rsidR="00AC3F12" w:rsidRDefault="00AC3F1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65FF8" w:rsidRDefault="00B65FF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65FF8" w:rsidRDefault="00B65FF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65FF8" w:rsidRDefault="00B65FF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44A1A"/>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C3F12"/>
    <w:rsid w:val="00AE1B0F"/>
    <w:rsid w:val="00AE3138"/>
    <w:rsid w:val="00AF03B1"/>
    <w:rsid w:val="00AF7E0D"/>
    <w:rsid w:val="00B0383F"/>
    <w:rsid w:val="00B12027"/>
    <w:rsid w:val="00B23D79"/>
    <w:rsid w:val="00B24019"/>
    <w:rsid w:val="00B32574"/>
    <w:rsid w:val="00B33706"/>
    <w:rsid w:val="00B35BFC"/>
    <w:rsid w:val="00B61169"/>
    <w:rsid w:val="00B65FF8"/>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85D445-FD77-4D44-A157-311C48E0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1B30-EB4E-4EDD-94B6-9BC7ED81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2024-04-24T11:08:00Z</dcterms:created>
  <dcterms:modified xsi:type="dcterms:W3CDTF">2024-04-24T11:08:00Z</dcterms:modified>
</cp:coreProperties>
</file>