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Heading1"/>
        <w:spacing w:line="362" w:lineRule="auto" w:before="257"/>
        <w:ind w:left="785" w:right="786"/>
        <w:jc w:val="center"/>
      </w:pPr>
      <w:r>
        <w:rPr/>
        <w:t>ФГБУ «НАУЧНО–ИССЛЕДОВАТЕЛЬСКИЙ ИНСТИТУТ ОНКОЛОГИИ ИМ. Н.Н. ПЕТРОВА»</w:t>
      </w:r>
    </w:p>
    <w:p>
      <w:pPr>
        <w:spacing w:before="2"/>
        <w:ind w:left="785" w:right="786" w:firstLine="0"/>
        <w:jc w:val="center"/>
        <w:rPr>
          <w:b/>
          <w:sz w:val="28"/>
        </w:rPr>
      </w:pPr>
      <w:r>
        <w:rPr>
          <w:b/>
          <w:sz w:val="28"/>
        </w:rPr>
        <w:t>МИНИСТЕРСТВО  ЗДРАВООХРАНЕНИЯ</w:t>
      </w:r>
      <w:r>
        <w:rPr>
          <w:b/>
          <w:spacing w:val="60"/>
          <w:sz w:val="28"/>
        </w:rPr>
        <w:t> </w:t>
      </w:r>
      <w:r>
        <w:rPr>
          <w:b/>
          <w:sz w:val="28"/>
        </w:rPr>
        <w:t>РОССИИ</w:t>
      </w:r>
    </w:p>
    <w:p>
      <w:pPr>
        <w:pStyle w:val="BodyText"/>
        <w:rPr>
          <w:b/>
          <w:sz w:val="30"/>
        </w:rPr>
      </w:pPr>
    </w:p>
    <w:p>
      <w:pPr>
        <w:pStyle w:val="BodyText"/>
        <w:rPr>
          <w:b/>
          <w:sz w:val="30"/>
        </w:rPr>
      </w:pPr>
    </w:p>
    <w:p>
      <w:pPr>
        <w:pStyle w:val="BodyText"/>
        <w:spacing w:before="7"/>
        <w:rPr>
          <w:b/>
          <w:sz w:val="37"/>
        </w:rPr>
      </w:pPr>
    </w:p>
    <w:p>
      <w:pPr>
        <w:pStyle w:val="BodyText"/>
        <w:ind w:left="6541"/>
      </w:pPr>
      <w:r>
        <w:rPr/>
        <w:t>На правах рукописи</w:t>
      </w:r>
    </w:p>
    <w:p>
      <w:pPr>
        <w:pStyle w:val="BodyText"/>
        <w:rPr>
          <w:sz w:val="30"/>
        </w:rPr>
      </w:pPr>
    </w:p>
    <w:p>
      <w:pPr>
        <w:pStyle w:val="BodyText"/>
        <w:spacing w:before="7"/>
        <w:rPr>
          <w:sz w:val="43"/>
        </w:rPr>
      </w:pPr>
    </w:p>
    <w:p>
      <w:pPr>
        <w:pStyle w:val="Heading1"/>
        <w:ind w:left="785" w:right="785"/>
        <w:jc w:val="center"/>
      </w:pPr>
      <w:r>
        <w:rPr/>
        <w:t>ХАДЖИМБА</w:t>
      </w:r>
    </w:p>
    <w:p>
      <w:pPr>
        <w:spacing w:before="162"/>
        <w:ind w:left="782" w:right="786" w:firstLine="0"/>
        <w:jc w:val="center"/>
        <w:rPr>
          <w:b/>
          <w:sz w:val="28"/>
        </w:rPr>
      </w:pPr>
      <w:r>
        <w:rPr>
          <w:b/>
          <w:sz w:val="28"/>
        </w:rPr>
        <w:t>Анжелла Славиковна</w:t>
      </w:r>
    </w:p>
    <w:p>
      <w:pPr>
        <w:pStyle w:val="BodyText"/>
        <w:rPr>
          <w:b/>
          <w:sz w:val="30"/>
        </w:rPr>
      </w:pPr>
    </w:p>
    <w:p>
      <w:pPr>
        <w:pStyle w:val="BodyText"/>
        <w:spacing w:before="10"/>
        <w:rPr>
          <w:b/>
          <w:sz w:val="25"/>
        </w:rPr>
      </w:pPr>
    </w:p>
    <w:p>
      <w:pPr>
        <w:spacing w:line="360" w:lineRule="auto" w:before="0"/>
        <w:ind w:left="943" w:right="943" w:hanging="7"/>
        <w:jc w:val="center"/>
        <w:rPr>
          <w:b/>
          <w:sz w:val="28"/>
        </w:rPr>
      </w:pPr>
      <w:r>
        <w:rPr>
          <w:b/>
          <w:sz w:val="28"/>
        </w:rPr>
        <w:t>Возможности и ограничения применения современных эндовидеохирургических технологий в онкогинекологии</w:t>
      </w:r>
    </w:p>
    <w:p>
      <w:pPr>
        <w:pStyle w:val="BodyText"/>
        <w:rPr>
          <w:b/>
          <w:sz w:val="30"/>
        </w:rPr>
      </w:pPr>
    </w:p>
    <w:p>
      <w:pPr>
        <w:pStyle w:val="BodyText"/>
        <w:rPr>
          <w:b/>
          <w:sz w:val="30"/>
        </w:rPr>
      </w:pPr>
    </w:p>
    <w:p>
      <w:pPr>
        <w:pStyle w:val="BodyText"/>
        <w:spacing w:before="194"/>
        <w:ind w:left="4688"/>
      </w:pPr>
      <w:r>
        <w:rPr/>
        <w:t>14.01.12  – онкология</w:t>
      </w:r>
    </w:p>
    <w:p>
      <w:pPr>
        <w:pStyle w:val="BodyText"/>
        <w:rPr>
          <w:sz w:val="30"/>
        </w:rPr>
      </w:pPr>
    </w:p>
    <w:p>
      <w:pPr>
        <w:pStyle w:val="BodyText"/>
        <w:rPr>
          <w:sz w:val="30"/>
        </w:rPr>
      </w:pPr>
    </w:p>
    <w:p>
      <w:pPr>
        <w:pStyle w:val="BodyText"/>
        <w:spacing w:before="4"/>
        <w:rPr>
          <w:sz w:val="31"/>
        </w:rPr>
      </w:pPr>
    </w:p>
    <w:p>
      <w:pPr>
        <w:pStyle w:val="Heading1"/>
        <w:ind w:left="785" w:right="431"/>
        <w:jc w:val="center"/>
      </w:pPr>
      <w:r>
        <w:rPr/>
        <w:t>ДИССЕРТАЦИЯ</w:t>
      </w:r>
    </w:p>
    <w:p>
      <w:pPr>
        <w:pStyle w:val="BodyText"/>
        <w:spacing w:before="155"/>
        <w:ind w:left="785" w:right="435"/>
        <w:jc w:val="center"/>
      </w:pPr>
      <w:r>
        <w:rPr/>
        <w:t>на соискание учёной степени доктора медицинских наук</w:t>
      </w:r>
    </w:p>
    <w:p>
      <w:pPr>
        <w:pStyle w:val="BodyText"/>
        <w:rPr>
          <w:sz w:val="30"/>
        </w:rPr>
      </w:pPr>
    </w:p>
    <w:p>
      <w:pPr>
        <w:pStyle w:val="BodyText"/>
        <w:rPr>
          <w:sz w:val="30"/>
        </w:rPr>
      </w:pPr>
    </w:p>
    <w:p>
      <w:pPr>
        <w:pStyle w:val="BodyText"/>
        <w:spacing w:before="3"/>
        <w:rPr>
          <w:sz w:val="38"/>
        </w:rPr>
      </w:pPr>
    </w:p>
    <w:p>
      <w:pPr>
        <w:pStyle w:val="Heading1"/>
        <w:ind w:left="4854"/>
      </w:pPr>
      <w:r>
        <w:rPr/>
        <w:t>Научный консультант:</w:t>
      </w:r>
    </w:p>
    <w:p>
      <w:pPr>
        <w:pStyle w:val="BodyText"/>
        <w:rPr>
          <w:b/>
          <w:sz w:val="30"/>
        </w:rPr>
      </w:pPr>
    </w:p>
    <w:p>
      <w:pPr>
        <w:pStyle w:val="BodyText"/>
        <w:spacing w:before="7"/>
        <w:rPr>
          <w:b/>
          <w:sz w:val="25"/>
        </w:rPr>
      </w:pPr>
    </w:p>
    <w:p>
      <w:pPr>
        <w:pStyle w:val="BodyText"/>
        <w:spacing w:line="360" w:lineRule="auto"/>
        <w:ind w:left="4854" w:right="91" w:hanging="354"/>
      </w:pPr>
      <w:r>
        <w:rPr/>
        <w:t>доктор медицинских наук, профессор И.В.Берлев</w:t>
      </w:r>
    </w:p>
    <w:p>
      <w:pPr>
        <w:pStyle w:val="BodyText"/>
        <w:rPr>
          <w:sz w:val="30"/>
        </w:rPr>
      </w:pPr>
    </w:p>
    <w:p>
      <w:pPr>
        <w:pStyle w:val="BodyText"/>
        <w:rPr>
          <w:sz w:val="30"/>
        </w:rPr>
      </w:pPr>
    </w:p>
    <w:p>
      <w:pPr>
        <w:pStyle w:val="BodyText"/>
        <w:rPr>
          <w:sz w:val="30"/>
        </w:rPr>
      </w:pPr>
    </w:p>
    <w:p>
      <w:pPr>
        <w:pStyle w:val="BodyText"/>
        <w:spacing w:before="6"/>
        <w:rPr>
          <w:sz w:val="36"/>
        </w:rPr>
      </w:pPr>
    </w:p>
    <w:p>
      <w:pPr>
        <w:pStyle w:val="BodyText"/>
        <w:ind w:left="785" w:right="786"/>
        <w:jc w:val="center"/>
      </w:pPr>
      <w:r>
        <w:rPr/>
        <w:t>Санкт–Петербург - 2017</w:t>
      </w:r>
    </w:p>
    <w:p>
      <w:pPr>
        <w:spacing w:after="0"/>
        <w:jc w:val="center"/>
        <w:sectPr>
          <w:headerReference w:type="default" r:id="rId5"/>
          <w:type w:val="continuous"/>
          <w:pgSz w:w="11900" w:h="16850"/>
          <w:pgMar w:header="712" w:top="1020" w:bottom="280" w:left="1680" w:right="1100"/>
          <w:pgNumType w:start="1"/>
        </w:sectPr>
      </w:pPr>
    </w:p>
    <w:p>
      <w:pPr>
        <w:pStyle w:val="BodyText"/>
        <w:rPr>
          <w:sz w:val="20"/>
        </w:rPr>
      </w:pPr>
    </w:p>
    <w:p>
      <w:pPr>
        <w:spacing w:after="0"/>
        <w:rPr>
          <w:sz w:val="20"/>
        </w:rPr>
        <w:sectPr>
          <w:pgSz w:w="11900" w:h="16850"/>
          <w:pgMar w:header="712" w:footer="0" w:top="1020" w:bottom="280" w:left="1600" w:right="1200"/>
        </w:sectPr>
      </w:pPr>
    </w:p>
    <w:p>
      <w:pPr>
        <w:pStyle w:val="BodyText"/>
        <w:rPr>
          <w:sz w:val="30"/>
        </w:rPr>
      </w:pPr>
    </w:p>
    <w:p>
      <w:pPr>
        <w:pStyle w:val="BodyText"/>
        <w:spacing w:before="5"/>
        <w:rPr>
          <w:sz w:val="37"/>
        </w:rPr>
      </w:pPr>
    </w:p>
    <w:p>
      <w:pPr>
        <w:pStyle w:val="Heading1"/>
        <w:ind w:left="102"/>
      </w:pPr>
      <w:r>
        <w:rPr/>
        <w:t>ВВЕДЕНИЕ</w:t>
      </w:r>
    </w:p>
    <w:p>
      <w:pPr>
        <w:spacing w:before="257"/>
        <w:ind w:left="1581" w:right="0" w:firstLine="0"/>
        <w:jc w:val="left"/>
        <w:rPr>
          <w:b/>
          <w:sz w:val="28"/>
        </w:rPr>
      </w:pPr>
      <w:r>
        <w:rPr/>
        <w:br w:type="column"/>
      </w:r>
      <w:r>
        <w:rPr>
          <w:b/>
          <w:sz w:val="28"/>
        </w:rPr>
        <w:t>ОГЛАВЛЕНИЕ</w:t>
      </w:r>
    </w:p>
    <w:p>
      <w:pPr>
        <w:pStyle w:val="BodyText"/>
        <w:tabs>
          <w:tab w:pos="6400" w:val="left" w:leader="none"/>
        </w:tabs>
        <w:spacing w:before="196"/>
        <w:ind w:left="102"/>
      </w:pPr>
      <w:r>
        <w:rPr>
          <w:w w:val="100"/>
          <w:u w:val="single"/>
        </w:rPr>
        <w:t> </w:t>
      </w:r>
      <w:r>
        <w:rPr>
          <w:u w:val="single"/>
        </w:rPr>
        <w:tab/>
      </w:r>
      <w:r>
        <w:rPr/>
        <w:t>5</w:t>
      </w:r>
    </w:p>
    <w:p>
      <w:pPr>
        <w:spacing w:after="0"/>
        <w:sectPr>
          <w:type w:val="continuous"/>
          <w:pgSz w:w="11900" w:h="16850"/>
          <w:pgMar w:top="1020" w:bottom="280" w:left="1600" w:right="1200"/>
          <w:cols w:num="2" w:equalWidth="0">
            <w:col w:w="1668" w:space="384"/>
            <w:col w:w="7048"/>
          </w:cols>
        </w:sectPr>
      </w:pPr>
    </w:p>
    <w:p>
      <w:pPr>
        <w:pStyle w:val="BodyText"/>
        <w:spacing w:before="6"/>
        <w:rPr>
          <w:sz w:val="9"/>
        </w:rPr>
      </w:pPr>
    </w:p>
    <w:p>
      <w:pPr>
        <w:pStyle w:val="Heading1"/>
        <w:tabs>
          <w:tab w:pos="1498" w:val="left" w:leader="none"/>
          <w:tab w:pos="1569" w:val="left" w:leader="none"/>
          <w:tab w:pos="8301" w:val="left" w:leader="none"/>
          <w:tab w:pos="8393" w:val="left" w:leader="none"/>
        </w:tabs>
        <w:spacing w:line="388" w:lineRule="auto" w:before="89"/>
        <w:ind w:left="102" w:right="425"/>
        <w:rPr>
          <w:b w:val="0"/>
        </w:rPr>
      </w:pPr>
      <w:r>
        <w:rPr/>
        <w:t>ГЛАВА</w:t>
      </w:r>
      <w:r>
        <w:rPr>
          <w:spacing w:val="-2"/>
        </w:rPr>
        <w:t> </w:t>
      </w:r>
      <w:r>
        <w:rPr/>
        <w:t>1</w:t>
        <w:tab/>
        <w:t>ОБЗОР</w:t>
      </w:r>
      <w:r>
        <w:rPr>
          <w:spacing w:val="-2"/>
        </w:rPr>
        <w:t> </w:t>
      </w:r>
      <w:r>
        <w:rPr/>
        <w:t>ЛИТЕРАТУРЫ</w:t>
      </w:r>
      <w:r>
        <w:rPr>
          <w:b w:val="0"/>
          <w:u w:val="single"/>
        </w:rPr>
        <w:t> </w:t>
        <w:tab/>
      </w:r>
      <w:r>
        <w:rPr>
          <w:b w:val="0"/>
        </w:rPr>
        <w:t>14 </w:t>
      </w:r>
      <w:r>
        <w:rPr/>
        <w:t>ГЛАВА</w:t>
      </w:r>
      <w:r>
        <w:rPr>
          <w:spacing w:val="-2"/>
        </w:rPr>
        <w:t> </w:t>
      </w:r>
      <w:r>
        <w:rPr/>
        <w:t>2</w:t>
        <w:tab/>
        <w:tab/>
        <w:t>МАТЕРИАЛЫ И</w:t>
      </w:r>
      <w:r>
        <w:rPr>
          <w:spacing w:val="-4"/>
        </w:rPr>
        <w:t> </w:t>
      </w:r>
      <w:r>
        <w:rPr/>
        <w:t>МЕТОДЫ</w:t>
      </w:r>
      <w:r>
        <w:rPr>
          <w:spacing w:val="-1"/>
        </w:rPr>
        <w:t> </w:t>
      </w:r>
      <w:r>
        <w:rPr/>
        <w:t>ИССЛЕДОВАНИЯ</w:t>
      </w:r>
      <w:r>
        <w:rPr>
          <w:b w:val="0"/>
          <w:u w:val="single"/>
        </w:rPr>
        <w:t> </w:t>
        <w:tab/>
        <w:tab/>
      </w:r>
      <w:r>
        <w:rPr>
          <w:b w:val="0"/>
          <w:spacing w:val="-1"/>
        </w:rPr>
        <w:t>78</w:t>
      </w:r>
    </w:p>
    <w:p>
      <w:pPr>
        <w:pStyle w:val="ListParagraph"/>
        <w:numPr>
          <w:ilvl w:val="1"/>
          <w:numId w:val="1"/>
        </w:numPr>
        <w:tabs>
          <w:tab w:pos="873" w:val="left" w:leader="none"/>
        </w:tabs>
        <w:spacing w:line="240" w:lineRule="auto" w:before="6" w:after="0"/>
        <w:ind w:left="872" w:right="0" w:hanging="770"/>
        <w:jc w:val="both"/>
        <w:rPr>
          <w:sz w:val="28"/>
        </w:rPr>
      </w:pPr>
      <w:r>
        <w:rPr>
          <w:sz w:val="28"/>
        </w:rPr>
        <w:t>Клиническая характеристика обследованных групп больных  </w:t>
      </w:r>
      <w:r>
        <w:rPr>
          <w:spacing w:val="51"/>
          <w:sz w:val="28"/>
        </w:rPr>
        <w:t> </w:t>
      </w:r>
      <w:r>
        <w:rPr>
          <w:sz w:val="28"/>
        </w:rPr>
        <w:t>78</w:t>
      </w:r>
    </w:p>
    <w:p>
      <w:pPr>
        <w:pStyle w:val="ListParagraph"/>
        <w:numPr>
          <w:ilvl w:val="1"/>
          <w:numId w:val="1"/>
        </w:numPr>
        <w:tabs>
          <w:tab w:pos="873" w:val="left" w:leader="none"/>
          <w:tab w:pos="8438" w:val="left" w:leader="none"/>
        </w:tabs>
        <w:spacing w:line="240" w:lineRule="auto" w:before="200" w:after="0"/>
        <w:ind w:left="872" w:right="0" w:hanging="770"/>
        <w:jc w:val="both"/>
        <w:rPr>
          <w:sz w:val="28"/>
        </w:rPr>
      </w:pPr>
      <w:r>
        <w:rPr>
          <w:sz w:val="28"/>
        </w:rPr>
        <w:t>Методы</w:t>
      </w:r>
      <w:r>
        <w:rPr>
          <w:spacing w:val="-2"/>
          <w:sz w:val="28"/>
        </w:rPr>
        <w:t> </w:t>
      </w:r>
      <w:r>
        <w:rPr>
          <w:sz w:val="28"/>
        </w:rPr>
        <w:t>исследования</w:t>
      </w:r>
      <w:r>
        <w:rPr>
          <w:sz w:val="28"/>
          <w:u w:val="single"/>
        </w:rPr>
        <w:t> </w:t>
        <w:tab/>
      </w:r>
      <w:r>
        <w:rPr>
          <w:sz w:val="28"/>
        </w:rPr>
        <w:t>96</w:t>
      </w:r>
    </w:p>
    <w:p>
      <w:pPr>
        <w:pStyle w:val="ListParagraph"/>
        <w:numPr>
          <w:ilvl w:val="2"/>
          <w:numId w:val="1"/>
        </w:numPr>
        <w:tabs>
          <w:tab w:pos="873" w:val="left" w:leader="none"/>
          <w:tab w:pos="8480" w:val="left" w:leader="none"/>
        </w:tabs>
        <w:spacing w:line="240" w:lineRule="auto" w:before="198" w:after="0"/>
        <w:ind w:left="872" w:right="0" w:hanging="770"/>
        <w:jc w:val="both"/>
        <w:rPr>
          <w:sz w:val="28"/>
        </w:rPr>
      </w:pPr>
      <w:r>
        <w:rPr>
          <w:sz w:val="28"/>
        </w:rPr>
        <w:t>Лабораторные</w:t>
      </w:r>
      <w:r>
        <w:rPr>
          <w:spacing w:val="-3"/>
          <w:sz w:val="28"/>
        </w:rPr>
        <w:t> </w:t>
      </w:r>
      <w:r>
        <w:rPr>
          <w:sz w:val="28"/>
        </w:rPr>
        <w:t>методы</w:t>
      </w:r>
      <w:r>
        <w:rPr>
          <w:spacing w:val="-4"/>
          <w:sz w:val="28"/>
        </w:rPr>
        <w:t> </w:t>
      </w:r>
      <w:r>
        <w:rPr>
          <w:sz w:val="28"/>
        </w:rPr>
        <w:t>исследования</w:t>
      </w:r>
      <w:r>
        <w:rPr>
          <w:sz w:val="28"/>
          <w:u w:val="single"/>
        </w:rPr>
        <w:t> </w:t>
        <w:tab/>
      </w:r>
      <w:r>
        <w:rPr>
          <w:sz w:val="28"/>
        </w:rPr>
        <w:t>96</w:t>
      </w:r>
    </w:p>
    <w:p>
      <w:pPr>
        <w:pStyle w:val="ListParagraph"/>
        <w:numPr>
          <w:ilvl w:val="2"/>
          <w:numId w:val="1"/>
        </w:numPr>
        <w:tabs>
          <w:tab w:pos="873" w:val="left" w:leader="none"/>
          <w:tab w:pos="8503" w:val="left" w:leader="none"/>
        </w:tabs>
        <w:spacing w:line="240" w:lineRule="auto" w:before="201" w:after="0"/>
        <w:ind w:left="872" w:right="0" w:hanging="770"/>
        <w:jc w:val="both"/>
        <w:rPr>
          <w:sz w:val="28"/>
        </w:rPr>
      </w:pPr>
      <w:r>
        <w:rPr>
          <w:sz w:val="28"/>
        </w:rPr>
        <w:t>Инструментальные</w:t>
      </w:r>
      <w:r>
        <w:rPr>
          <w:spacing w:val="-3"/>
          <w:sz w:val="28"/>
        </w:rPr>
        <w:t> </w:t>
      </w:r>
      <w:r>
        <w:rPr>
          <w:sz w:val="28"/>
        </w:rPr>
        <w:t>методы</w:t>
      </w:r>
      <w:r>
        <w:rPr>
          <w:spacing w:val="-3"/>
          <w:sz w:val="28"/>
        </w:rPr>
        <w:t> </w:t>
      </w:r>
      <w:r>
        <w:rPr>
          <w:sz w:val="28"/>
        </w:rPr>
        <w:t>исследования</w:t>
      </w:r>
      <w:r>
        <w:rPr>
          <w:sz w:val="28"/>
          <w:u w:val="single"/>
        </w:rPr>
        <w:t> </w:t>
        <w:tab/>
      </w:r>
      <w:r>
        <w:rPr>
          <w:sz w:val="28"/>
        </w:rPr>
        <w:t>97</w:t>
      </w:r>
    </w:p>
    <w:p>
      <w:pPr>
        <w:pStyle w:val="ListParagraph"/>
        <w:numPr>
          <w:ilvl w:val="1"/>
          <w:numId w:val="1"/>
        </w:numPr>
        <w:tabs>
          <w:tab w:pos="873" w:val="left" w:leader="none"/>
          <w:tab w:pos="8454" w:val="left" w:leader="none"/>
        </w:tabs>
        <w:spacing w:line="240" w:lineRule="auto" w:before="198" w:after="0"/>
        <w:ind w:left="872" w:right="0" w:hanging="770"/>
        <w:jc w:val="both"/>
        <w:rPr>
          <w:sz w:val="28"/>
        </w:rPr>
      </w:pPr>
      <w:r>
        <w:rPr>
          <w:sz w:val="28"/>
        </w:rPr>
        <w:t>Эндовидеохирургическое</w:t>
      </w:r>
      <w:r>
        <w:rPr>
          <w:spacing w:val="-3"/>
          <w:sz w:val="28"/>
        </w:rPr>
        <w:t> </w:t>
      </w:r>
      <w:r>
        <w:rPr>
          <w:sz w:val="28"/>
        </w:rPr>
        <w:t>техническое</w:t>
      </w:r>
      <w:r>
        <w:rPr>
          <w:spacing w:val="-4"/>
          <w:sz w:val="28"/>
        </w:rPr>
        <w:t> </w:t>
      </w:r>
      <w:r>
        <w:rPr>
          <w:sz w:val="28"/>
        </w:rPr>
        <w:t>обеспечение</w:t>
      </w:r>
      <w:r>
        <w:rPr>
          <w:sz w:val="28"/>
          <w:u w:val="single"/>
        </w:rPr>
        <w:t> </w:t>
        <w:tab/>
      </w:r>
      <w:r>
        <w:rPr>
          <w:sz w:val="28"/>
        </w:rPr>
        <w:t>98</w:t>
      </w:r>
    </w:p>
    <w:p>
      <w:pPr>
        <w:pStyle w:val="ListParagraph"/>
        <w:numPr>
          <w:ilvl w:val="1"/>
          <w:numId w:val="1"/>
        </w:numPr>
        <w:tabs>
          <w:tab w:pos="873" w:val="left" w:leader="none"/>
          <w:tab w:pos="8474" w:val="left" w:leader="none"/>
        </w:tabs>
        <w:spacing w:line="240" w:lineRule="auto" w:before="201" w:after="0"/>
        <w:ind w:left="872" w:right="0" w:hanging="770"/>
        <w:jc w:val="both"/>
        <w:rPr>
          <w:sz w:val="28"/>
        </w:rPr>
      </w:pPr>
      <w:r>
        <w:rPr>
          <w:sz w:val="28"/>
        </w:rPr>
        <w:t>Статистический</w:t>
      </w:r>
      <w:r>
        <w:rPr>
          <w:spacing w:val="-1"/>
          <w:sz w:val="28"/>
        </w:rPr>
        <w:t> </w:t>
      </w:r>
      <w:r>
        <w:rPr>
          <w:sz w:val="28"/>
        </w:rPr>
        <w:t>метод</w:t>
      </w:r>
      <w:r>
        <w:rPr>
          <w:sz w:val="28"/>
          <w:u w:val="single"/>
        </w:rPr>
        <w:t> </w:t>
        <w:tab/>
      </w:r>
      <w:r>
        <w:rPr>
          <w:sz w:val="28"/>
        </w:rPr>
        <w:t>102</w:t>
      </w:r>
    </w:p>
    <w:p>
      <w:pPr>
        <w:pStyle w:val="Heading1"/>
        <w:tabs>
          <w:tab w:pos="8529" w:val="left" w:leader="none"/>
        </w:tabs>
        <w:spacing w:line="386" w:lineRule="auto" w:before="203"/>
        <w:ind w:left="1009" w:right="149" w:hanging="908"/>
        <w:rPr>
          <w:b w:val="0"/>
        </w:rPr>
      </w:pPr>
      <w:r>
        <w:rPr/>
        <w:t>ГЛАВА 3 ЛАПАРОСКОПИЧЕСКИЕ ОПЕРАЦИИ У БОЛЬНЫХ РАКОМ</w:t>
      </w:r>
      <w:r>
        <w:rPr>
          <w:spacing w:val="69"/>
        </w:rPr>
        <w:t> </w:t>
      </w:r>
      <w:r>
        <w:rPr/>
        <w:t>ЭНДОМЕТРИЯ</w:t>
      </w:r>
      <w:r>
        <w:rPr>
          <w:b w:val="0"/>
          <w:u w:val="single"/>
        </w:rPr>
        <w:t> </w:t>
        <w:tab/>
      </w:r>
      <w:r>
        <w:rPr>
          <w:b w:val="0"/>
          <w:spacing w:val="-1"/>
        </w:rPr>
        <w:t>105</w:t>
      </w:r>
    </w:p>
    <w:p>
      <w:pPr>
        <w:pStyle w:val="ListParagraph"/>
        <w:numPr>
          <w:ilvl w:val="1"/>
          <w:numId w:val="2"/>
        </w:numPr>
        <w:tabs>
          <w:tab w:pos="803" w:val="left" w:leader="none"/>
          <w:tab w:pos="8479" w:val="left" w:leader="none"/>
        </w:tabs>
        <w:spacing w:line="240" w:lineRule="auto" w:before="9" w:after="0"/>
        <w:ind w:left="802" w:right="0" w:hanging="700"/>
        <w:jc w:val="both"/>
        <w:rPr>
          <w:sz w:val="28"/>
        </w:rPr>
      </w:pPr>
      <w:r>
        <w:rPr>
          <w:sz w:val="28"/>
        </w:rPr>
        <w:t>Клиническая характеристика больных</w:t>
      </w:r>
      <w:r>
        <w:rPr>
          <w:spacing w:val="-6"/>
          <w:sz w:val="28"/>
        </w:rPr>
        <w:t> </w:t>
      </w:r>
      <w:r>
        <w:rPr>
          <w:sz w:val="28"/>
        </w:rPr>
        <w:t>раком</w:t>
      </w:r>
      <w:r>
        <w:rPr>
          <w:spacing w:val="-3"/>
          <w:sz w:val="28"/>
        </w:rPr>
        <w:t> </w:t>
      </w:r>
      <w:r>
        <w:rPr>
          <w:sz w:val="28"/>
        </w:rPr>
        <w:t>эндометрия</w:t>
      </w:r>
      <w:r>
        <w:rPr>
          <w:sz w:val="28"/>
          <w:u w:val="single"/>
        </w:rPr>
        <w:t> </w:t>
        <w:tab/>
      </w:r>
      <w:r>
        <w:rPr>
          <w:sz w:val="28"/>
        </w:rPr>
        <w:t>106</w:t>
      </w:r>
    </w:p>
    <w:p>
      <w:pPr>
        <w:pStyle w:val="ListParagraph"/>
        <w:numPr>
          <w:ilvl w:val="1"/>
          <w:numId w:val="2"/>
        </w:numPr>
        <w:tabs>
          <w:tab w:pos="803" w:val="left" w:leader="none"/>
          <w:tab w:pos="8396" w:val="left" w:leader="none"/>
        </w:tabs>
        <w:spacing w:line="240" w:lineRule="auto" w:before="201" w:after="0"/>
        <w:ind w:left="802" w:right="0" w:hanging="700"/>
        <w:jc w:val="both"/>
        <w:rPr>
          <w:sz w:val="28"/>
        </w:rPr>
      </w:pPr>
      <w:r>
        <w:rPr>
          <w:sz w:val="28"/>
        </w:rPr>
        <w:t>Клинико-морфологические</w:t>
      </w:r>
      <w:r>
        <w:rPr>
          <w:spacing w:val="-7"/>
          <w:sz w:val="28"/>
        </w:rPr>
        <w:t> </w:t>
      </w:r>
      <w:r>
        <w:rPr>
          <w:sz w:val="28"/>
        </w:rPr>
        <w:t>особенности</w:t>
      </w:r>
      <w:r>
        <w:rPr>
          <w:spacing w:val="-4"/>
          <w:sz w:val="28"/>
        </w:rPr>
        <w:t> </w:t>
      </w:r>
      <w:r>
        <w:rPr>
          <w:sz w:val="28"/>
        </w:rPr>
        <w:t>опухоли</w:t>
      </w:r>
      <w:r>
        <w:rPr>
          <w:sz w:val="28"/>
          <w:u w:val="single"/>
        </w:rPr>
        <w:t> </w:t>
        <w:tab/>
      </w:r>
      <w:r>
        <w:rPr>
          <w:sz w:val="28"/>
        </w:rPr>
        <w:t>117</w:t>
      </w:r>
    </w:p>
    <w:p>
      <w:pPr>
        <w:pStyle w:val="ListParagraph"/>
        <w:numPr>
          <w:ilvl w:val="1"/>
          <w:numId w:val="2"/>
        </w:numPr>
        <w:tabs>
          <w:tab w:pos="803" w:val="left" w:leader="none"/>
        </w:tabs>
        <w:spacing w:line="240" w:lineRule="auto" w:before="198" w:after="0"/>
        <w:ind w:left="802" w:right="0" w:hanging="700"/>
        <w:jc w:val="both"/>
        <w:rPr>
          <w:sz w:val="28"/>
        </w:rPr>
      </w:pPr>
      <w:r>
        <w:rPr>
          <w:sz w:val="28"/>
        </w:rPr>
        <w:t>Выбор объема вмешательства и хирургического</w:t>
      </w:r>
      <w:r>
        <w:rPr>
          <w:spacing w:val="-18"/>
          <w:sz w:val="28"/>
        </w:rPr>
        <w:t> </w:t>
      </w:r>
      <w:r>
        <w:rPr>
          <w:sz w:val="28"/>
        </w:rPr>
        <w:t>доступа</w:t>
      </w:r>
    </w:p>
    <w:p>
      <w:pPr>
        <w:pStyle w:val="BodyText"/>
        <w:tabs>
          <w:tab w:pos="2322" w:val="left" w:leader="none"/>
          <w:tab w:pos="8354" w:val="left" w:leader="none"/>
        </w:tabs>
        <w:spacing w:before="201"/>
        <w:ind w:left="872"/>
      </w:pPr>
      <w:r>
        <w:rPr/>
        <w:t>у</w:t>
      </w:r>
      <w:r>
        <w:rPr>
          <w:spacing w:val="-4"/>
        </w:rPr>
        <w:t> </w:t>
      </w:r>
      <w:r>
        <w:rPr/>
        <w:t>больных</w:t>
        <w:tab/>
        <w:t>раком</w:t>
      </w:r>
      <w:r>
        <w:rPr>
          <w:spacing w:val="67"/>
        </w:rPr>
        <w:t> </w:t>
      </w:r>
      <w:r>
        <w:rPr/>
        <w:t>эндометрия</w:t>
      </w:r>
      <w:r>
        <w:rPr>
          <w:u w:val="single"/>
        </w:rPr>
        <w:t> </w:t>
        <w:tab/>
      </w:r>
      <w:r>
        <w:rPr/>
        <w:t>124</w:t>
      </w:r>
    </w:p>
    <w:p>
      <w:pPr>
        <w:pStyle w:val="ListParagraph"/>
        <w:numPr>
          <w:ilvl w:val="2"/>
          <w:numId w:val="2"/>
        </w:numPr>
        <w:tabs>
          <w:tab w:pos="873" w:val="left" w:leader="none"/>
        </w:tabs>
        <w:spacing w:line="240" w:lineRule="auto" w:before="199" w:after="0"/>
        <w:ind w:left="102" w:right="0" w:firstLine="0"/>
        <w:jc w:val="both"/>
        <w:rPr>
          <w:sz w:val="28"/>
        </w:rPr>
      </w:pPr>
      <w:r>
        <w:rPr>
          <w:sz w:val="28"/>
        </w:rPr>
        <w:t>Особенности организма и опухоли,</w:t>
      </w:r>
      <w:r>
        <w:rPr>
          <w:spacing w:val="-21"/>
          <w:sz w:val="28"/>
        </w:rPr>
        <w:t> </w:t>
      </w:r>
      <w:r>
        <w:rPr>
          <w:sz w:val="28"/>
        </w:rPr>
        <w:t>определяющие</w:t>
      </w:r>
    </w:p>
    <w:p>
      <w:pPr>
        <w:pStyle w:val="BodyText"/>
        <w:tabs>
          <w:tab w:pos="8422" w:val="left" w:leader="none"/>
        </w:tabs>
        <w:spacing w:before="201"/>
        <w:ind w:left="870"/>
      </w:pPr>
      <w:r>
        <w:rPr/>
        <w:t>лечебную тактику у больных</w:t>
      </w:r>
      <w:r>
        <w:rPr>
          <w:spacing w:val="-8"/>
        </w:rPr>
        <w:t> </w:t>
      </w:r>
      <w:r>
        <w:rPr/>
        <w:t>раком</w:t>
      </w:r>
      <w:r>
        <w:rPr>
          <w:spacing w:val="-1"/>
        </w:rPr>
        <w:t> </w:t>
      </w:r>
      <w:r>
        <w:rPr/>
        <w:t>эндометрия</w:t>
      </w:r>
      <w:r>
        <w:rPr>
          <w:u w:val="single"/>
        </w:rPr>
        <w:t> </w:t>
        <w:tab/>
      </w:r>
      <w:r>
        <w:rPr/>
        <w:t>124</w:t>
      </w:r>
    </w:p>
    <w:p>
      <w:pPr>
        <w:pStyle w:val="ListParagraph"/>
        <w:numPr>
          <w:ilvl w:val="2"/>
          <w:numId w:val="2"/>
        </w:numPr>
        <w:tabs>
          <w:tab w:pos="873" w:val="left" w:leader="none"/>
        </w:tabs>
        <w:spacing w:line="240" w:lineRule="auto" w:before="198" w:after="0"/>
        <w:ind w:left="872" w:right="0" w:hanging="770"/>
        <w:jc w:val="both"/>
        <w:rPr>
          <w:sz w:val="28"/>
        </w:rPr>
      </w:pPr>
      <w:r>
        <w:rPr>
          <w:sz w:val="28"/>
        </w:rPr>
        <w:t>Выбор  хирургического доступа  у</w:t>
      </w:r>
      <w:r>
        <w:rPr>
          <w:spacing w:val="-14"/>
          <w:sz w:val="28"/>
        </w:rPr>
        <w:t> </w:t>
      </w:r>
      <w:r>
        <w:rPr>
          <w:sz w:val="28"/>
        </w:rPr>
        <w:t>больных</w:t>
      </w:r>
    </w:p>
    <w:p>
      <w:pPr>
        <w:pStyle w:val="BodyText"/>
        <w:tabs>
          <w:tab w:pos="8378" w:val="left" w:leader="none"/>
        </w:tabs>
        <w:spacing w:before="201"/>
        <w:ind w:left="870"/>
      </w:pPr>
      <w:r>
        <w:rPr/>
        <w:t>раком</w:t>
      </w:r>
      <w:r>
        <w:rPr>
          <w:spacing w:val="-1"/>
        </w:rPr>
        <w:t> </w:t>
      </w:r>
      <w:r>
        <w:rPr/>
        <w:t>эндометрия</w:t>
      </w:r>
      <w:r>
        <w:rPr>
          <w:u w:val="single"/>
        </w:rPr>
        <w:t> </w:t>
        <w:tab/>
      </w:r>
      <w:r>
        <w:rPr/>
        <w:t>132</w:t>
      </w:r>
    </w:p>
    <w:p>
      <w:pPr>
        <w:pStyle w:val="ListParagraph"/>
        <w:numPr>
          <w:ilvl w:val="2"/>
          <w:numId w:val="2"/>
        </w:numPr>
        <w:tabs>
          <w:tab w:pos="873" w:val="left" w:leader="none"/>
          <w:tab w:pos="8348" w:val="left" w:leader="none"/>
          <w:tab w:pos="8432" w:val="left" w:leader="none"/>
        </w:tabs>
        <w:spacing w:line="391" w:lineRule="auto" w:before="198" w:after="0"/>
        <w:ind w:left="102" w:right="243" w:firstLine="0"/>
        <w:jc w:val="both"/>
        <w:rPr>
          <w:b/>
          <w:sz w:val="28"/>
        </w:rPr>
      </w:pPr>
      <w:r>
        <w:rPr>
          <w:sz w:val="28"/>
        </w:rPr>
        <w:t>Оценка качества жизни больных</w:t>
      </w:r>
      <w:r>
        <w:rPr>
          <w:spacing w:val="-8"/>
          <w:sz w:val="28"/>
        </w:rPr>
        <w:t> </w:t>
      </w:r>
      <w:r>
        <w:rPr>
          <w:sz w:val="28"/>
        </w:rPr>
        <w:t>раком</w:t>
      </w:r>
      <w:r>
        <w:rPr>
          <w:spacing w:val="-2"/>
          <w:sz w:val="28"/>
        </w:rPr>
        <w:t> </w:t>
      </w:r>
      <w:r>
        <w:rPr>
          <w:sz w:val="28"/>
        </w:rPr>
        <w:t>эндометрия</w:t>
      </w:r>
      <w:r>
        <w:rPr>
          <w:sz w:val="28"/>
          <w:u w:val="single"/>
        </w:rPr>
        <w:t> </w:t>
        <w:tab/>
        <w:tab/>
      </w:r>
      <w:r>
        <w:rPr>
          <w:sz w:val="28"/>
        </w:rPr>
        <w:t>151 Резюме</w:t>
      </w:r>
      <w:r>
        <w:rPr>
          <w:sz w:val="28"/>
          <w:u w:val="single"/>
        </w:rPr>
        <w:t> </w:t>
        <w:tab/>
      </w:r>
      <w:r>
        <w:rPr>
          <w:sz w:val="28"/>
        </w:rPr>
        <w:t>152 </w:t>
      </w:r>
      <w:r>
        <w:rPr>
          <w:b/>
          <w:sz w:val="28"/>
        </w:rPr>
        <w:t>ГЛАВА 4   ЛАПАРОСКОПИЧЕСКИЕ ОПЕРАЦИИ У</w:t>
      </w:r>
      <w:r>
        <w:rPr>
          <w:b/>
          <w:spacing w:val="-8"/>
          <w:sz w:val="28"/>
        </w:rPr>
        <w:t> </w:t>
      </w:r>
      <w:r>
        <w:rPr>
          <w:b/>
          <w:sz w:val="28"/>
        </w:rPr>
        <w:t>БОЛЬНЫХ</w:t>
      </w:r>
    </w:p>
    <w:p>
      <w:pPr>
        <w:tabs>
          <w:tab w:pos="8280" w:val="left" w:leader="none"/>
        </w:tabs>
        <w:spacing w:before="0"/>
        <w:ind w:left="739" w:right="0" w:firstLine="0"/>
        <w:jc w:val="center"/>
        <w:rPr>
          <w:sz w:val="28"/>
        </w:rPr>
      </w:pPr>
      <w:r>
        <w:rPr>
          <w:b/>
          <w:sz w:val="28"/>
        </w:rPr>
        <w:t>РАКОМ</w:t>
      </w:r>
      <w:r>
        <w:rPr>
          <w:b/>
          <w:spacing w:val="-2"/>
          <w:sz w:val="28"/>
        </w:rPr>
        <w:t> </w:t>
      </w:r>
      <w:r>
        <w:rPr>
          <w:b/>
          <w:sz w:val="28"/>
        </w:rPr>
        <w:t>ШЕЙКИ МАТКИ</w:t>
      </w:r>
      <w:r>
        <w:rPr>
          <w:sz w:val="28"/>
          <w:u w:val="single"/>
        </w:rPr>
        <w:t> </w:t>
        <w:tab/>
      </w:r>
      <w:r>
        <w:rPr>
          <w:sz w:val="28"/>
        </w:rPr>
        <w:t>155</w:t>
      </w:r>
    </w:p>
    <w:p>
      <w:pPr>
        <w:pStyle w:val="ListParagraph"/>
        <w:numPr>
          <w:ilvl w:val="1"/>
          <w:numId w:val="3"/>
        </w:numPr>
        <w:tabs>
          <w:tab w:pos="734" w:val="left" w:leader="none"/>
        </w:tabs>
        <w:spacing w:line="240" w:lineRule="auto" w:before="198" w:after="0"/>
        <w:ind w:left="733" w:right="0" w:hanging="631"/>
        <w:jc w:val="both"/>
        <w:rPr>
          <w:sz w:val="28"/>
        </w:rPr>
      </w:pPr>
      <w:r>
        <w:rPr>
          <w:sz w:val="28"/>
        </w:rPr>
        <w:t>Лапароскопические операции хирургического</w:t>
      </w:r>
      <w:r>
        <w:rPr>
          <w:spacing w:val="-20"/>
          <w:sz w:val="28"/>
        </w:rPr>
        <w:t> </w:t>
      </w:r>
      <w:r>
        <w:rPr>
          <w:sz w:val="28"/>
        </w:rPr>
        <w:t>стадирования</w:t>
      </w:r>
    </w:p>
    <w:p>
      <w:pPr>
        <w:pStyle w:val="BodyText"/>
        <w:tabs>
          <w:tab w:pos="8452" w:val="left" w:leader="none"/>
        </w:tabs>
        <w:spacing w:before="201"/>
        <w:ind w:left="690"/>
        <w:jc w:val="center"/>
      </w:pPr>
      <w:r>
        <w:rPr/>
        <w:t>у больных местно-распространенным раком</w:t>
      </w:r>
      <w:r>
        <w:rPr>
          <w:spacing w:val="-10"/>
        </w:rPr>
        <w:t> </w:t>
      </w:r>
      <w:r>
        <w:rPr/>
        <w:t>шейки</w:t>
      </w:r>
      <w:r>
        <w:rPr>
          <w:spacing w:val="-1"/>
        </w:rPr>
        <w:t> </w:t>
      </w:r>
      <w:r>
        <w:rPr/>
        <w:t>матки</w:t>
      </w:r>
      <w:r>
        <w:rPr>
          <w:u w:val="single"/>
        </w:rPr>
        <w:t> </w:t>
        <w:tab/>
      </w:r>
      <w:r>
        <w:rPr/>
        <w:t>155</w:t>
      </w:r>
    </w:p>
    <w:p>
      <w:pPr>
        <w:pStyle w:val="ListParagraph"/>
        <w:numPr>
          <w:ilvl w:val="2"/>
          <w:numId w:val="3"/>
        </w:numPr>
        <w:tabs>
          <w:tab w:pos="803" w:val="left" w:leader="none"/>
        </w:tabs>
        <w:spacing w:line="240" w:lineRule="auto" w:before="199" w:after="0"/>
        <w:ind w:left="800" w:right="0" w:hanging="698"/>
        <w:jc w:val="both"/>
        <w:rPr>
          <w:sz w:val="28"/>
        </w:rPr>
      </w:pPr>
      <w:r>
        <w:rPr>
          <w:sz w:val="28"/>
        </w:rPr>
        <w:t>Особенности метастазирования и</w:t>
      </w:r>
      <w:r>
        <w:rPr>
          <w:spacing w:val="53"/>
          <w:sz w:val="28"/>
        </w:rPr>
        <w:t> </w:t>
      </w:r>
      <w:r>
        <w:rPr>
          <w:sz w:val="28"/>
        </w:rPr>
        <w:t>рецидивирования</w:t>
      </w:r>
    </w:p>
    <w:p>
      <w:pPr>
        <w:spacing w:after="0" w:line="240" w:lineRule="auto"/>
        <w:jc w:val="both"/>
        <w:rPr>
          <w:sz w:val="28"/>
        </w:rPr>
        <w:sectPr>
          <w:type w:val="continuous"/>
          <w:pgSz w:w="11900" w:h="16850"/>
          <w:pgMar w:top="1020" w:bottom="280" w:left="1600" w:right="1200"/>
        </w:sectPr>
      </w:pPr>
    </w:p>
    <w:p>
      <w:pPr>
        <w:pStyle w:val="BodyText"/>
        <w:rPr>
          <w:sz w:val="20"/>
        </w:rPr>
      </w:pPr>
    </w:p>
    <w:p>
      <w:pPr>
        <w:pStyle w:val="BodyText"/>
        <w:spacing w:before="8"/>
        <w:rPr>
          <w:sz w:val="17"/>
        </w:rPr>
      </w:pPr>
    </w:p>
    <w:p>
      <w:pPr>
        <w:pStyle w:val="BodyText"/>
        <w:tabs>
          <w:tab w:pos="7995" w:val="left" w:leader="none"/>
        </w:tabs>
        <w:spacing w:before="89"/>
        <w:ind w:left="241"/>
      </w:pPr>
      <w:r>
        <w:rPr/>
        <w:t>рака шейки матки</w:t>
      </w:r>
      <w:r>
        <w:rPr>
          <w:u w:val="single"/>
        </w:rPr>
        <w:t> </w:t>
        <w:tab/>
      </w:r>
      <w:r>
        <w:rPr/>
        <w:t>156</w:t>
      </w:r>
    </w:p>
    <w:p>
      <w:pPr>
        <w:pStyle w:val="ListParagraph"/>
        <w:numPr>
          <w:ilvl w:val="2"/>
          <w:numId w:val="3"/>
        </w:numPr>
        <w:tabs>
          <w:tab w:pos="803" w:val="left" w:leader="none"/>
          <w:tab w:pos="8391" w:val="left" w:leader="none"/>
        </w:tabs>
        <w:spacing w:line="388" w:lineRule="auto" w:before="198" w:after="0"/>
        <w:ind w:left="800" w:right="264" w:hanging="698"/>
        <w:jc w:val="left"/>
        <w:rPr>
          <w:sz w:val="28"/>
        </w:rPr>
      </w:pPr>
      <w:r>
        <w:rPr>
          <w:sz w:val="28"/>
        </w:rPr>
        <w:t>Техника  и основные характеристики лапароскопической операции</w:t>
      </w:r>
      <w:r>
        <w:rPr>
          <w:spacing w:val="-6"/>
          <w:sz w:val="28"/>
        </w:rPr>
        <w:t> </w:t>
      </w:r>
      <w:r>
        <w:rPr>
          <w:sz w:val="28"/>
        </w:rPr>
        <w:t>хирургического</w:t>
      </w:r>
      <w:r>
        <w:rPr>
          <w:spacing w:val="-2"/>
          <w:sz w:val="28"/>
        </w:rPr>
        <w:t> </w:t>
      </w:r>
      <w:r>
        <w:rPr>
          <w:sz w:val="28"/>
        </w:rPr>
        <w:t>стадирования</w:t>
      </w:r>
      <w:r>
        <w:rPr>
          <w:sz w:val="28"/>
          <w:u w:val="single"/>
        </w:rPr>
        <w:t> </w:t>
        <w:tab/>
      </w:r>
      <w:r>
        <w:rPr>
          <w:sz w:val="28"/>
        </w:rPr>
        <w:t>161</w:t>
      </w:r>
    </w:p>
    <w:p>
      <w:pPr>
        <w:pStyle w:val="ListParagraph"/>
        <w:numPr>
          <w:ilvl w:val="2"/>
          <w:numId w:val="3"/>
        </w:numPr>
        <w:tabs>
          <w:tab w:pos="803" w:val="left" w:leader="none"/>
        </w:tabs>
        <w:spacing w:line="240" w:lineRule="auto" w:before="6" w:after="0"/>
        <w:ind w:left="802" w:right="0" w:hanging="700"/>
        <w:jc w:val="left"/>
        <w:rPr>
          <w:sz w:val="28"/>
        </w:rPr>
      </w:pPr>
      <w:r>
        <w:rPr>
          <w:sz w:val="28"/>
        </w:rPr>
        <w:t>Основные результаты операций хирургического</w:t>
      </w:r>
      <w:r>
        <w:rPr>
          <w:spacing w:val="-24"/>
          <w:sz w:val="28"/>
        </w:rPr>
        <w:t> </w:t>
      </w:r>
      <w:r>
        <w:rPr>
          <w:sz w:val="28"/>
        </w:rPr>
        <w:t>стадирования</w:t>
      </w:r>
    </w:p>
    <w:p>
      <w:pPr>
        <w:pStyle w:val="BodyText"/>
        <w:tabs>
          <w:tab w:pos="8371" w:val="left" w:leader="none"/>
        </w:tabs>
        <w:spacing w:before="201"/>
        <w:ind w:left="661"/>
      </w:pPr>
      <w:r>
        <w:rPr/>
        <w:t>у больных раком</w:t>
      </w:r>
      <w:r>
        <w:rPr>
          <w:spacing w:val="-3"/>
        </w:rPr>
        <w:t> </w:t>
      </w:r>
      <w:r>
        <w:rPr/>
        <w:t>шейки</w:t>
      </w:r>
      <w:r>
        <w:rPr>
          <w:spacing w:val="-1"/>
        </w:rPr>
        <w:t> </w:t>
      </w:r>
      <w:r>
        <w:rPr/>
        <w:t>матки</w:t>
      </w:r>
      <w:r>
        <w:rPr>
          <w:u w:val="single"/>
        </w:rPr>
        <w:t> </w:t>
        <w:tab/>
      </w:r>
      <w:r>
        <w:rPr/>
        <w:t>170</w:t>
      </w:r>
    </w:p>
    <w:p>
      <w:pPr>
        <w:pStyle w:val="ListParagraph"/>
        <w:numPr>
          <w:ilvl w:val="1"/>
          <w:numId w:val="4"/>
        </w:numPr>
        <w:tabs>
          <w:tab w:pos="664" w:val="left" w:leader="none"/>
        </w:tabs>
        <w:spacing w:line="240" w:lineRule="auto" w:before="199" w:after="0"/>
        <w:ind w:left="663" w:right="0" w:hanging="561"/>
        <w:jc w:val="left"/>
        <w:rPr>
          <w:sz w:val="28"/>
        </w:rPr>
      </w:pPr>
      <w:r>
        <w:rPr>
          <w:sz w:val="28"/>
        </w:rPr>
        <w:t>Лапароскопическая радикальная гистерэктомия у</w:t>
      </w:r>
      <w:r>
        <w:rPr>
          <w:spacing w:val="-21"/>
          <w:sz w:val="28"/>
        </w:rPr>
        <w:t> </w:t>
      </w:r>
      <w:r>
        <w:rPr>
          <w:sz w:val="28"/>
        </w:rPr>
        <w:t>больных</w:t>
      </w:r>
    </w:p>
    <w:p>
      <w:pPr>
        <w:pStyle w:val="BodyText"/>
        <w:tabs>
          <w:tab w:pos="8529" w:val="left" w:leader="none"/>
        </w:tabs>
        <w:spacing w:before="201"/>
        <w:ind w:left="730"/>
      </w:pPr>
      <w:r>
        <w:rPr/>
        <w:t>раком  шейки матки</w:t>
      </w:r>
      <w:r>
        <w:rPr>
          <w:spacing w:val="-4"/>
        </w:rPr>
        <w:t> </w:t>
      </w:r>
      <w:r>
        <w:rPr/>
        <w:t>I</w:t>
      </w:r>
      <w:r>
        <w:rPr>
          <w:spacing w:val="-2"/>
        </w:rPr>
        <w:t> </w:t>
      </w:r>
      <w:r>
        <w:rPr/>
        <w:t>стадии</w:t>
      </w:r>
      <w:r>
        <w:rPr>
          <w:u w:val="single"/>
        </w:rPr>
        <w:t> </w:t>
        <w:tab/>
      </w:r>
      <w:r>
        <w:rPr/>
        <w:t>188</w:t>
      </w:r>
    </w:p>
    <w:p>
      <w:pPr>
        <w:pStyle w:val="ListParagraph"/>
        <w:numPr>
          <w:ilvl w:val="2"/>
          <w:numId w:val="4"/>
        </w:numPr>
        <w:tabs>
          <w:tab w:pos="803" w:val="left" w:leader="none"/>
          <w:tab w:pos="8379" w:val="left" w:leader="none"/>
        </w:tabs>
        <w:spacing w:line="388" w:lineRule="auto" w:before="199" w:after="0"/>
        <w:ind w:left="800" w:right="276" w:hanging="698"/>
        <w:jc w:val="left"/>
        <w:rPr>
          <w:sz w:val="28"/>
        </w:rPr>
      </w:pPr>
      <w:r>
        <w:rPr>
          <w:sz w:val="28"/>
        </w:rPr>
        <w:t>Характеристика больных раком шейки матки, подвергшихся лапароскопическим</w:t>
      </w:r>
      <w:r>
        <w:rPr>
          <w:spacing w:val="-5"/>
          <w:sz w:val="28"/>
        </w:rPr>
        <w:t> </w:t>
      </w:r>
      <w:r>
        <w:rPr>
          <w:sz w:val="28"/>
        </w:rPr>
        <w:t>радикальным</w:t>
      </w:r>
      <w:r>
        <w:rPr>
          <w:spacing w:val="-5"/>
          <w:sz w:val="28"/>
        </w:rPr>
        <w:t> </w:t>
      </w:r>
      <w:r>
        <w:rPr>
          <w:sz w:val="28"/>
        </w:rPr>
        <w:t>гистерэктомиям</w:t>
      </w:r>
      <w:r>
        <w:rPr>
          <w:sz w:val="28"/>
          <w:u w:val="single"/>
        </w:rPr>
        <w:t> </w:t>
        <w:tab/>
      </w:r>
      <w:r>
        <w:rPr>
          <w:sz w:val="28"/>
        </w:rPr>
        <w:t>189</w:t>
      </w:r>
    </w:p>
    <w:p>
      <w:pPr>
        <w:pStyle w:val="ListParagraph"/>
        <w:numPr>
          <w:ilvl w:val="2"/>
          <w:numId w:val="4"/>
        </w:numPr>
        <w:tabs>
          <w:tab w:pos="803" w:val="left" w:leader="none"/>
          <w:tab w:pos="8377" w:val="left" w:leader="none"/>
        </w:tabs>
        <w:spacing w:line="240" w:lineRule="auto" w:before="85" w:after="0"/>
        <w:ind w:left="802" w:right="0" w:hanging="700"/>
        <w:jc w:val="left"/>
        <w:rPr>
          <w:sz w:val="28"/>
        </w:rPr>
      </w:pPr>
      <w:r>
        <w:rPr>
          <w:sz w:val="28"/>
        </w:rPr>
        <w:t>Технические особенности</w:t>
      </w:r>
      <w:r>
        <w:rPr>
          <w:spacing w:val="-5"/>
          <w:sz w:val="28"/>
        </w:rPr>
        <w:t> </w:t>
      </w:r>
      <w:r>
        <w:rPr>
          <w:sz w:val="28"/>
        </w:rPr>
        <w:t>выполненных</w:t>
      </w:r>
      <w:r>
        <w:rPr>
          <w:spacing w:val="-2"/>
          <w:sz w:val="28"/>
        </w:rPr>
        <w:t> </w:t>
      </w:r>
      <w:r>
        <w:rPr>
          <w:sz w:val="28"/>
        </w:rPr>
        <w:t>операций</w:t>
      </w:r>
      <w:r>
        <w:rPr>
          <w:sz w:val="28"/>
          <w:u w:val="single"/>
        </w:rPr>
        <w:t> </w:t>
        <w:tab/>
      </w:r>
      <w:r>
        <w:rPr>
          <w:sz w:val="28"/>
        </w:rPr>
        <w:t>195</w:t>
      </w:r>
    </w:p>
    <w:p>
      <w:pPr>
        <w:pStyle w:val="ListParagraph"/>
        <w:numPr>
          <w:ilvl w:val="2"/>
          <w:numId w:val="4"/>
        </w:numPr>
        <w:tabs>
          <w:tab w:pos="803" w:val="left" w:leader="none"/>
          <w:tab w:pos="8445" w:val="left" w:leader="none"/>
        </w:tabs>
        <w:spacing w:line="240" w:lineRule="auto" w:before="198" w:after="0"/>
        <w:ind w:left="802" w:right="0" w:hanging="700"/>
        <w:jc w:val="left"/>
        <w:rPr>
          <w:sz w:val="28"/>
        </w:rPr>
      </w:pPr>
      <w:r>
        <w:rPr>
          <w:sz w:val="28"/>
        </w:rPr>
        <w:t>Ближайшие и отдаленные</w:t>
      </w:r>
      <w:r>
        <w:rPr>
          <w:spacing w:val="-7"/>
          <w:sz w:val="28"/>
        </w:rPr>
        <w:t> </w:t>
      </w:r>
      <w:r>
        <w:rPr>
          <w:sz w:val="28"/>
        </w:rPr>
        <w:t>результаты</w:t>
      </w:r>
      <w:r>
        <w:rPr>
          <w:spacing w:val="-1"/>
          <w:sz w:val="28"/>
        </w:rPr>
        <w:t> </w:t>
      </w:r>
      <w:r>
        <w:rPr>
          <w:sz w:val="28"/>
        </w:rPr>
        <w:t>лечения</w:t>
      </w:r>
      <w:r>
        <w:rPr>
          <w:sz w:val="28"/>
          <w:u w:val="single"/>
        </w:rPr>
        <w:t> </w:t>
        <w:tab/>
      </w:r>
      <w:r>
        <w:rPr>
          <w:sz w:val="28"/>
        </w:rPr>
        <w:t>199</w:t>
      </w:r>
    </w:p>
    <w:p>
      <w:pPr>
        <w:pStyle w:val="BodyText"/>
        <w:spacing w:before="8"/>
        <w:rPr>
          <w:sz w:val="9"/>
        </w:rPr>
      </w:pPr>
    </w:p>
    <w:p>
      <w:pPr>
        <w:spacing w:after="0"/>
        <w:rPr>
          <w:sz w:val="9"/>
        </w:rPr>
        <w:sectPr>
          <w:pgSz w:w="11900" w:h="16850"/>
          <w:pgMar w:header="712" w:footer="0" w:top="1020" w:bottom="280" w:left="1600" w:right="1220"/>
        </w:sectPr>
      </w:pPr>
    </w:p>
    <w:p>
      <w:pPr>
        <w:pStyle w:val="BodyText"/>
        <w:spacing w:before="89"/>
        <w:ind w:left="102"/>
      </w:pPr>
      <w:r>
        <w:rPr/>
        <w:pict>
          <v:shape style="position:absolute;margin-left:130.220001pt;margin-top:20.272152pt;width:371.05pt;height:.1pt;mso-position-horizontal-relative:page;mso-position-vertical-relative:paragraph;z-index:-341176" coordorigin="2604,405" coordsize="7421,0" path="m2604,405l5962,405m5965,405l10025,405e" filled="false" stroked="true" strokeweight=".5616pt" strokecolor="#000000">
            <v:path arrowok="t"/>
            <v:stroke dashstyle="solid"/>
            <w10:wrap type="none"/>
          </v:shape>
        </w:pict>
      </w:r>
      <w:r>
        <w:rPr/>
        <w:t>Резюме</w:t>
      </w:r>
    </w:p>
    <w:p>
      <w:pPr>
        <w:pStyle w:val="Heading1"/>
        <w:spacing w:before="203"/>
        <w:ind w:left="102"/>
      </w:pPr>
      <w:r>
        <w:rPr/>
        <w:t>ГЛАВА 5  ЭНДОВИДЕОХИРУРГИЧЕСКИЕ ОПЕРАЦИИ У</w:t>
      </w:r>
    </w:p>
    <w:p>
      <w:pPr>
        <w:spacing w:before="89"/>
        <w:ind w:left="102" w:right="0" w:firstLine="0"/>
        <w:jc w:val="left"/>
        <w:rPr>
          <w:sz w:val="28"/>
        </w:rPr>
      </w:pPr>
      <w:r>
        <w:rPr/>
        <w:br w:type="column"/>
      </w:r>
      <w:r>
        <w:rPr>
          <w:sz w:val="28"/>
        </w:rPr>
        <w:t>204</w:t>
      </w:r>
    </w:p>
    <w:p>
      <w:pPr>
        <w:spacing w:after="0"/>
        <w:jc w:val="left"/>
        <w:rPr>
          <w:sz w:val="28"/>
        </w:rPr>
        <w:sectPr>
          <w:type w:val="continuous"/>
          <w:pgSz w:w="11900" w:h="16850"/>
          <w:pgMar w:top="1020" w:bottom="280" w:left="1600" w:right="1220"/>
          <w:cols w:num="2" w:equalWidth="0">
            <w:col w:w="7812" w:space="510"/>
            <w:col w:w="758"/>
          </w:cols>
        </w:sectPr>
      </w:pPr>
    </w:p>
    <w:p>
      <w:pPr>
        <w:pStyle w:val="Heading1"/>
        <w:tabs>
          <w:tab w:pos="8382" w:val="left" w:leader="none"/>
        </w:tabs>
        <w:spacing w:before="158"/>
        <w:ind w:left="102"/>
        <w:rPr>
          <w:b w:val="0"/>
        </w:rPr>
      </w:pPr>
      <w:r>
        <w:rPr/>
        <w:t>БОЛЬНЫХ</w:t>
      </w:r>
      <w:r>
        <w:rPr>
          <w:spacing w:val="-1"/>
        </w:rPr>
        <w:t> </w:t>
      </w:r>
      <w:r>
        <w:rPr/>
        <w:t>РАКОМ</w:t>
      </w:r>
      <w:r>
        <w:rPr>
          <w:spacing w:val="-2"/>
        </w:rPr>
        <w:t> </w:t>
      </w:r>
      <w:r>
        <w:rPr/>
        <w:t>ЯИЧНИКОВ</w:t>
      </w:r>
      <w:r>
        <w:rPr>
          <w:b w:val="0"/>
          <w:u w:val="single"/>
        </w:rPr>
        <w:t> </w:t>
        <w:tab/>
      </w:r>
      <w:r>
        <w:rPr>
          <w:b w:val="0"/>
        </w:rPr>
        <w:t>207</w:t>
      </w:r>
    </w:p>
    <w:p>
      <w:pPr>
        <w:pStyle w:val="BodyText"/>
        <w:spacing w:before="2"/>
        <w:rPr>
          <w:sz w:val="31"/>
        </w:rPr>
      </w:pPr>
    </w:p>
    <w:p>
      <w:pPr>
        <w:pStyle w:val="ListParagraph"/>
        <w:numPr>
          <w:ilvl w:val="1"/>
          <w:numId w:val="5"/>
        </w:numPr>
        <w:tabs>
          <w:tab w:pos="733" w:val="left" w:leader="none"/>
          <w:tab w:pos="734" w:val="left" w:leader="none"/>
          <w:tab w:pos="8430" w:val="left" w:leader="none"/>
        </w:tabs>
        <w:spacing w:line="388" w:lineRule="auto" w:before="1" w:after="0"/>
        <w:ind w:left="730" w:right="225" w:hanging="628"/>
        <w:jc w:val="left"/>
        <w:rPr>
          <w:sz w:val="28"/>
        </w:rPr>
      </w:pPr>
      <w:r>
        <w:rPr>
          <w:sz w:val="28"/>
        </w:rPr>
        <w:t>Роль лапароскопических операций в диагностике и лечении опухолей яичников с подозрением</w:t>
      </w:r>
      <w:r>
        <w:rPr>
          <w:spacing w:val="-8"/>
          <w:sz w:val="28"/>
        </w:rPr>
        <w:t> </w:t>
      </w:r>
      <w:r>
        <w:rPr>
          <w:sz w:val="28"/>
        </w:rPr>
        <w:t>на</w:t>
      </w:r>
      <w:r>
        <w:rPr>
          <w:spacing w:val="-2"/>
          <w:sz w:val="28"/>
        </w:rPr>
        <w:t> </w:t>
      </w:r>
      <w:r>
        <w:rPr>
          <w:sz w:val="28"/>
        </w:rPr>
        <w:t>малигнизацию</w:t>
      </w:r>
      <w:r>
        <w:rPr>
          <w:sz w:val="28"/>
          <w:u w:val="single"/>
        </w:rPr>
        <w:t> </w:t>
        <w:tab/>
      </w:r>
      <w:r>
        <w:rPr>
          <w:sz w:val="28"/>
        </w:rPr>
        <w:t>207</w:t>
      </w:r>
    </w:p>
    <w:p>
      <w:pPr>
        <w:pStyle w:val="ListParagraph"/>
        <w:numPr>
          <w:ilvl w:val="2"/>
          <w:numId w:val="5"/>
        </w:numPr>
        <w:tabs>
          <w:tab w:pos="803" w:val="left" w:leader="none"/>
        </w:tabs>
        <w:spacing w:line="240" w:lineRule="auto" w:before="6" w:after="0"/>
        <w:ind w:left="802" w:right="0" w:hanging="700"/>
        <w:jc w:val="left"/>
        <w:rPr>
          <w:sz w:val="28"/>
        </w:rPr>
      </w:pPr>
      <w:r>
        <w:rPr>
          <w:sz w:val="28"/>
        </w:rPr>
        <w:t>Современные возможности выявления</w:t>
      </w:r>
      <w:r>
        <w:rPr>
          <w:spacing w:val="-16"/>
          <w:sz w:val="28"/>
        </w:rPr>
        <w:t> </w:t>
      </w:r>
      <w:r>
        <w:rPr>
          <w:sz w:val="28"/>
        </w:rPr>
        <w:t>начального</w:t>
      </w:r>
    </w:p>
    <w:p>
      <w:pPr>
        <w:pStyle w:val="BodyText"/>
        <w:tabs>
          <w:tab w:pos="8472" w:val="left" w:leader="none"/>
        </w:tabs>
        <w:spacing w:before="200"/>
        <w:ind w:left="870"/>
      </w:pPr>
      <w:r>
        <w:rPr/>
        <w:t>рака</w:t>
      </w:r>
      <w:r>
        <w:rPr>
          <w:spacing w:val="-1"/>
        </w:rPr>
        <w:t> </w:t>
      </w:r>
      <w:r>
        <w:rPr/>
        <w:t>яичников</w:t>
      </w:r>
      <w:r>
        <w:rPr>
          <w:u w:val="single"/>
        </w:rPr>
        <w:t> </w:t>
        <w:tab/>
      </w:r>
      <w:r>
        <w:rPr/>
        <w:t>207</w:t>
      </w:r>
    </w:p>
    <w:p>
      <w:pPr>
        <w:pStyle w:val="ListParagraph"/>
        <w:numPr>
          <w:ilvl w:val="2"/>
          <w:numId w:val="5"/>
        </w:numPr>
        <w:tabs>
          <w:tab w:pos="803" w:val="left" w:leader="none"/>
        </w:tabs>
        <w:spacing w:line="240" w:lineRule="auto" w:before="198" w:after="0"/>
        <w:ind w:left="802" w:right="0" w:hanging="700"/>
        <w:jc w:val="left"/>
        <w:rPr>
          <w:sz w:val="28"/>
        </w:rPr>
      </w:pPr>
      <w:r>
        <w:rPr>
          <w:sz w:val="28"/>
        </w:rPr>
        <w:t>Результаты лапароскопических операций у</w:t>
      </w:r>
      <w:r>
        <w:rPr>
          <w:spacing w:val="-16"/>
          <w:sz w:val="28"/>
        </w:rPr>
        <w:t> </w:t>
      </w:r>
      <w:r>
        <w:rPr>
          <w:sz w:val="28"/>
        </w:rPr>
        <w:t>больных</w:t>
      </w:r>
    </w:p>
    <w:p>
      <w:pPr>
        <w:pStyle w:val="BodyText"/>
        <w:tabs>
          <w:tab w:pos="8545" w:val="left" w:leader="none"/>
        </w:tabs>
        <w:spacing w:before="201"/>
        <w:ind w:left="870"/>
      </w:pPr>
      <w:r>
        <w:rPr/>
        <w:t>с подозрением на</w:t>
      </w:r>
      <w:r>
        <w:rPr>
          <w:spacing w:val="-4"/>
        </w:rPr>
        <w:t> </w:t>
      </w:r>
      <w:r>
        <w:rPr/>
        <w:t>рак</w:t>
      </w:r>
      <w:r>
        <w:rPr>
          <w:spacing w:val="-2"/>
        </w:rPr>
        <w:t> </w:t>
      </w:r>
      <w:r>
        <w:rPr/>
        <w:t>яичников</w:t>
      </w:r>
      <w:r>
        <w:rPr>
          <w:u w:val="single"/>
        </w:rPr>
        <w:t> </w:t>
        <w:tab/>
      </w:r>
      <w:r>
        <w:rPr/>
        <w:t>211</w:t>
      </w:r>
    </w:p>
    <w:p>
      <w:pPr>
        <w:pStyle w:val="ListParagraph"/>
        <w:numPr>
          <w:ilvl w:val="2"/>
          <w:numId w:val="5"/>
        </w:numPr>
        <w:tabs>
          <w:tab w:pos="873" w:val="left" w:leader="none"/>
        </w:tabs>
        <w:spacing w:line="240" w:lineRule="auto" w:before="198" w:after="0"/>
        <w:ind w:left="872" w:right="0" w:hanging="770"/>
        <w:jc w:val="left"/>
        <w:rPr>
          <w:sz w:val="28"/>
        </w:rPr>
      </w:pPr>
      <w:r>
        <w:rPr>
          <w:sz w:val="28"/>
        </w:rPr>
        <w:t>Современные возможности</w:t>
      </w:r>
      <w:r>
        <w:rPr>
          <w:spacing w:val="-16"/>
          <w:sz w:val="28"/>
        </w:rPr>
        <w:t> </w:t>
      </w:r>
      <w:r>
        <w:rPr>
          <w:sz w:val="28"/>
        </w:rPr>
        <w:t>выявления</w:t>
      </w:r>
    </w:p>
    <w:p>
      <w:pPr>
        <w:pStyle w:val="BodyText"/>
        <w:tabs>
          <w:tab w:pos="8495" w:val="left" w:leader="none"/>
        </w:tabs>
        <w:spacing w:before="201"/>
        <w:ind w:left="870"/>
      </w:pPr>
      <w:r>
        <w:rPr/>
        <w:t>начального</w:t>
      </w:r>
      <w:r>
        <w:rPr>
          <w:spacing w:val="-4"/>
        </w:rPr>
        <w:t> </w:t>
      </w:r>
      <w:r>
        <w:rPr/>
        <w:t>рака</w:t>
      </w:r>
      <w:r>
        <w:rPr>
          <w:spacing w:val="-1"/>
        </w:rPr>
        <w:t> </w:t>
      </w:r>
      <w:r>
        <w:rPr/>
        <w:t>яичников</w:t>
      </w:r>
      <w:r>
        <w:rPr>
          <w:u w:val="single"/>
        </w:rPr>
        <w:t> </w:t>
        <w:tab/>
      </w:r>
      <w:r>
        <w:rPr/>
        <w:t>217</w:t>
      </w:r>
    </w:p>
    <w:p>
      <w:pPr>
        <w:pStyle w:val="ListParagraph"/>
        <w:numPr>
          <w:ilvl w:val="1"/>
          <w:numId w:val="5"/>
        </w:numPr>
        <w:tabs>
          <w:tab w:pos="872" w:val="left" w:leader="none"/>
          <w:tab w:pos="873" w:val="left" w:leader="none"/>
          <w:tab w:pos="8390" w:val="left" w:leader="none"/>
        </w:tabs>
        <w:spacing w:line="388" w:lineRule="auto" w:before="199" w:after="0"/>
        <w:ind w:left="870" w:right="265" w:hanging="768"/>
        <w:jc w:val="left"/>
        <w:rPr>
          <w:sz w:val="28"/>
        </w:rPr>
      </w:pPr>
      <w:r>
        <w:rPr>
          <w:sz w:val="28"/>
        </w:rPr>
        <w:t>Результаты лапароскопических операций у больных пограничными  опухолями и начальным</w:t>
      </w:r>
      <w:r>
        <w:rPr>
          <w:spacing w:val="-9"/>
          <w:sz w:val="28"/>
        </w:rPr>
        <w:t> </w:t>
      </w:r>
      <w:r>
        <w:rPr>
          <w:sz w:val="28"/>
        </w:rPr>
        <w:t>раком</w:t>
      </w:r>
      <w:r>
        <w:rPr>
          <w:spacing w:val="-2"/>
          <w:sz w:val="28"/>
        </w:rPr>
        <w:t> </w:t>
      </w:r>
      <w:r>
        <w:rPr>
          <w:sz w:val="28"/>
        </w:rPr>
        <w:t>яичников</w:t>
      </w:r>
      <w:r>
        <w:rPr>
          <w:sz w:val="28"/>
          <w:u w:val="single"/>
        </w:rPr>
        <w:t> </w:t>
        <w:tab/>
      </w:r>
      <w:r>
        <w:rPr>
          <w:sz w:val="28"/>
        </w:rPr>
        <w:t>218</w:t>
      </w:r>
    </w:p>
    <w:p>
      <w:pPr>
        <w:pStyle w:val="ListParagraph"/>
        <w:numPr>
          <w:ilvl w:val="2"/>
          <w:numId w:val="5"/>
        </w:numPr>
        <w:tabs>
          <w:tab w:pos="873" w:val="left" w:leader="none"/>
          <w:tab w:pos="8406" w:val="left" w:leader="none"/>
        </w:tabs>
        <w:spacing w:line="240" w:lineRule="auto" w:before="6" w:after="0"/>
        <w:ind w:left="872" w:right="0" w:hanging="770"/>
        <w:jc w:val="left"/>
        <w:rPr>
          <w:sz w:val="28"/>
        </w:rPr>
      </w:pPr>
      <w:r>
        <w:rPr>
          <w:sz w:val="28"/>
        </w:rPr>
        <w:t>Клинико-морфологическая</w:t>
      </w:r>
      <w:r>
        <w:rPr>
          <w:spacing w:val="-4"/>
          <w:sz w:val="28"/>
        </w:rPr>
        <w:t> </w:t>
      </w:r>
      <w:r>
        <w:rPr>
          <w:sz w:val="28"/>
        </w:rPr>
        <w:t>характеристика</w:t>
      </w:r>
      <w:r>
        <w:rPr>
          <w:spacing w:val="-4"/>
          <w:sz w:val="28"/>
        </w:rPr>
        <w:t> </w:t>
      </w:r>
      <w:r>
        <w:rPr>
          <w:sz w:val="28"/>
        </w:rPr>
        <w:t>больных</w:t>
      </w:r>
      <w:r>
        <w:rPr>
          <w:sz w:val="28"/>
          <w:u w:val="single"/>
        </w:rPr>
        <w:t> </w:t>
        <w:tab/>
      </w:r>
      <w:r>
        <w:rPr>
          <w:sz w:val="28"/>
        </w:rPr>
        <w:t>218</w:t>
      </w:r>
    </w:p>
    <w:p>
      <w:pPr>
        <w:pStyle w:val="ListParagraph"/>
        <w:numPr>
          <w:ilvl w:val="2"/>
          <w:numId w:val="5"/>
        </w:numPr>
        <w:tabs>
          <w:tab w:pos="873" w:val="left" w:leader="none"/>
          <w:tab w:pos="8442" w:val="left" w:leader="none"/>
        </w:tabs>
        <w:spacing w:line="240" w:lineRule="auto" w:before="160" w:after="0"/>
        <w:ind w:left="872" w:right="0" w:hanging="770"/>
        <w:jc w:val="left"/>
        <w:rPr>
          <w:sz w:val="28"/>
        </w:rPr>
      </w:pPr>
      <w:r>
        <w:rPr>
          <w:sz w:val="28"/>
        </w:rPr>
        <w:t>Характеристика выполненных</w:t>
      </w:r>
      <w:r>
        <w:rPr>
          <w:spacing w:val="-8"/>
          <w:sz w:val="28"/>
        </w:rPr>
        <w:t> </w:t>
      </w:r>
      <w:r>
        <w:rPr>
          <w:sz w:val="28"/>
        </w:rPr>
        <w:t>оперативных</w:t>
      </w:r>
      <w:r>
        <w:rPr>
          <w:spacing w:val="-2"/>
          <w:sz w:val="28"/>
        </w:rPr>
        <w:t> </w:t>
      </w:r>
      <w:r>
        <w:rPr>
          <w:sz w:val="28"/>
        </w:rPr>
        <w:t>вмешательств</w:t>
      </w:r>
      <w:r>
        <w:rPr>
          <w:sz w:val="28"/>
          <w:u w:val="single"/>
        </w:rPr>
        <w:t> </w:t>
        <w:tab/>
      </w:r>
      <w:r>
        <w:rPr>
          <w:sz w:val="28"/>
        </w:rPr>
        <w:t>223</w:t>
      </w:r>
    </w:p>
    <w:p>
      <w:pPr>
        <w:pStyle w:val="ListParagraph"/>
        <w:numPr>
          <w:ilvl w:val="2"/>
          <w:numId w:val="5"/>
        </w:numPr>
        <w:tabs>
          <w:tab w:pos="873" w:val="left" w:leader="none"/>
        </w:tabs>
        <w:spacing w:line="240" w:lineRule="auto" w:before="162" w:after="0"/>
        <w:ind w:left="872" w:right="0" w:hanging="770"/>
        <w:jc w:val="left"/>
        <w:rPr>
          <w:sz w:val="28"/>
        </w:rPr>
      </w:pPr>
      <w:r>
        <w:rPr>
          <w:sz w:val="28"/>
        </w:rPr>
        <w:t>Отдаленные результаты лечения больных раком</w:t>
      </w:r>
      <w:r>
        <w:rPr>
          <w:spacing w:val="-16"/>
          <w:sz w:val="28"/>
        </w:rPr>
        <w:t> </w:t>
      </w:r>
      <w:r>
        <w:rPr>
          <w:sz w:val="28"/>
        </w:rPr>
        <w:t>яичников</w:t>
      </w:r>
    </w:p>
    <w:p>
      <w:pPr>
        <w:spacing w:after="0" w:line="240" w:lineRule="auto"/>
        <w:jc w:val="left"/>
        <w:rPr>
          <w:sz w:val="28"/>
        </w:rPr>
        <w:sectPr>
          <w:type w:val="continuous"/>
          <w:pgSz w:w="11900" w:h="16850"/>
          <w:pgMar w:top="1020" w:bottom="280" w:left="1600" w:right="1220"/>
        </w:sectPr>
      </w:pPr>
    </w:p>
    <w:p>
      <w:pPr>
        <w:pStyle w:val="BodyText"/>
        <w:rPr>
          <w:sz w:val="20"/>
        </w:rPr>
      </w:pPr>
    </w:p>
    <w:p>
      <w:pPr>
        <w:pStyle w:val="BodyText"/>
        <w:tabs>
          <w:tab w:pos="1429" w:val="left" w:leader="none"/>
          <w:tab w:pos="7808" w:val="left" w:leader="none"/>
        </w:tabs>
        <w:spacing w:before="252"/>
        <w:ind w:left="241"/>
      </w:pPr>
      <w:r>
        <w:rPr/>
        <w:t>I</w:t>
      </w:r>
      <w:r>
        <w:rPr>
          <w:spacing w:val="-1"/>
        </w:rPr>
        <w:t> </w:t>
      </w:r>
      <w:r>
        <w:rPr/>
        <w:t>стадии</w:t>
        <w:tab/>
        <w:t>после</w:t>
      </w:r>
      <w:r>
        <w:rPr>
          <w:spacing w:val="-5"/>
        </w:rPr>
        <w:t> </w:t>
      </w:r>
      <w:r>
        <w:rPr/>
        <w:t>лапароскопических</w:t>
      </w:r>
      <w:r>
        <w:rPr>
          <w:spacing w:val="-2"/>
        </w:rPr>
        <w:t> </w:t>
      </w:r>
      <w:r>
        <w:rPr/>
        <w:t>операций</w:t>
      </w:r>
      <w:r>
        <w:rPr>
          <w:u w:val="single"/>
        </w:rPr>
        <w:t> </w:t>
        <w:tab/>
      </w:r>
      <w:r>
        <w:rPr/>
        <w:t>231</w:t>
      </w:r>
    </w:p>
    <w:p>
      <w:pPr>
        <w:pStyle w:val="ListParagraph"/>
        <w:numPr>
          <w:ilvl w:val="1"/>
          <w:numId w:val="5"/>
        </w:numPr>
        <w:tabs>
          <w:tab w:pos="802" w:val="left" w:leader="none"/>
          <w:tab w:pos="803" w:val="left" w:leader="none"/>
          <w:tab w:pos="8202" w:val="left" w:leader="none"/>
        </w:tabs>
        <w:spacing w:line="508" w:lineRule="auto" w:before="162" w:after="0"/>
        <w:ind w:left="800" w:right="100" w:hanging="698"/>
        <w:jc w:val="left"/>
        <w:rPr>
          <w:sz w:val="28"/>
        </w:rPr>
      </w:pPr>
      <w:r>
        <w:rPr>
          <w:sz w:val="28"/>
        </w:rPr>
        <w:t>Диагностическая лапароскопия в процессе лечения и наблюдения за больными</w:t>
      </w:r>
      <w:r>
        <w:rPr>
          <w:spacing w:val="-4"/>
          <w:sz w:val="28"/>
        </w:rPr>
        <w:t> </w:t>
      </w:r>
      <w:r>
        <w:rPr>
          <w:sz w:val="28"/>
        </w:rPr>
        <w:t>раком</w:t>
      </w:r>
      <w:r>
        <w:rPr>
          <w:spacing w:val="-1"/>
          <w:sz w:val="28"/>
        </w:rPr>
        <w:t> </w:t>
      </w:r>
      <w:r>
        <w:rPr>
          <w:sz w:val="28"/>
        </w:rPr>
        <w:t>яичников</w:t>
      </w:r>
      <w:r>
        <w:rPr>
          <w:sz w:val="28"/>
          <w:u w:val="single"/>
        </w:rPr>
        <w:t> </w:t>
        <w:tab/>
      </w:r>
      <w:r>
        <w:rPr>
          <w:sz w:val="28"/>
        </w:rPr>
        <w:t>236</w:t>
      </w:r>
    </w:p>
    <w:p>
      <w:pPr>
        <w:pStyle w:val="ListParagraph"/>
        <w:numPr>
          <w:ilvl w:val="2"/>
          <w:numId w:val="5"/>
        </w:numPr>
        <w:tabs>
          <w:tab w:pos="803" w:val="left" w:leader="none"/>
          <w:tab w:pos="8224" w:val="left" w:leader="none"/>
        </w:tabs>
        <w:spacing w:line="360" w:lineRule="auto" w:before="14" w:after="0"/>
        <w:ind w:left="800" w:right="453" w:hanging="698"/>
        <w:jc w:val="left"/>
        <w:rPr>
          <w:sz w:val="28"/>
        </w:rPr>
      </w:pPr>
      <w:r>
        <w:rPr>
          <w:sz w:val="28"/>
        </w:rPr>
        <w:t>Диагностическая лапароскопия как первый этап лечения больных</w:t>
      </w:r>
      <w:r>
        <w:rPr>
          <w:spacing w:val="67"/>
          <w:sz w:val="28"/>
        </w:rPr>
        <w:t> </w:t>
      </w:r>
      <w:r>
        <w:rPr>
          <w:sz w:val="28"/>
        </w:rPr>
        <w:t>раком</w:t>
      </w:r>
      <w:r>
        <w:rPr>
          <w:spacing w:val="-2"/>
          <w:sz w:val="28"/>
        </w:rPr>
        <w:t> </w:t>
      </w:r>
      <w:r>
        <w:rPr>
          <w:sz w:val="28"/>
        </w:rPr>
        <w:t>яичников</w:t>
      </w:r>
      <w:r>
        <w:rPr>
          <w:sz w:val="28"/>
          <w:u w:val="single"/>
        </w:rPr>
        <w:t> </w:t>
        <w:tab/>
      </w:r>
      <w:r>
        <w:rPr>
          <w:spacing w:val="-1"/>
          <w:sz w:val="28"/>
        </w:rPr>
        <w:t>237</w:t>
      </w:r>
    </w:p>
    <w:p>
      <w:pPr>
        <w:pStyle w:val="ListParagraph"/>
        <w:numPr>
          <w:ilvl w:val="2"/>
          <w:numId w:val="5"/>
        </w:numPr>
        <w:tabs>
          <w:tab w:pos="803" w:val="left" w:leader="none"/>
          <w:tab w:pos="8170" w:val="left" w:leader="none"/>
          <w:tab w:pos="8214" w:val="left" w:leader="none"/>
        </w:tabs>
        <w:spacing w:line="360" w:lineRule="auto" w:before="5" w:after="0"/>
        <w:ind w:left="102" w:right="463" w:firstLine="0"/>
        <w:jc w:val="left"/>
        <w:rPr>
          <w:sz w:val="28"/>
        </w:rPr>
      </w:pPr>
      <w:r>
        <w:rPr>
          <w:sz w:val="28"/>
        </w:rPr>
        <w:t>Интервальные</w:t>
      </w:r>
      <w:r>
        <w:rPr>
          <w:spacing w:val="-6"/>
          <w:sz w:val="28"/>
        </w:rPr>
        <w:t> </w:t>
      </w:r>
      <w:r>
        <w:rPr>
          <w:sz w:val="28"/>
        </w:rPr>
        <w:t>диагностические</w:t>
      </w:r>
      <w:r>
        <w:rPr>
          <w:spacing w:val="-3"/>
          <w:sz w:val="28"/>
        </w:rPr>
        <w:t> </w:t>
      </w:r>
      <w:r>
        <w:rPr>
          <w:sz w:val="28"/>
        </w:rPr>
        <w:t>лапароскопии</w:t>
      </w:r>
      <w:r>
        <w:rPr>
          <w:sz w:val="28"/>
          <w:u w:val="single"/>
        </w:rPr>
        <w:t> </w:t>
        <w:tab/>
      </w:r>
      <w:r>
        <w:rPr>
          <w:sz w:val="28"/>
        </w:rPr>
        <w:t>242 Резюме</w:t>
      </w:r>
      <w:r>
        <w:rPr>
          <w:sz w:val="28"/>
          <w:u w:val="single"/>
        </w:rPr>
        <w:t> </w:t>
        <w:tab/>
        <w:tab/>
      </w:r>
      <w:r>
        <w:rPr>
          <w:spacing w:val="-1"/>
          <w:sz w:val="28"/>
        </w:rPr>
        <w:t>252</w:t>
      </w:r>
    </w:p>
    <w:p>
      <w:pPr>
        <w:tabs>
          <w:tab w:pos="8214" w:val="left" w:leader="none"/>
          <w:tab w:pos="8257" w:val="left" w:leader="none"/>
          <w:tab w:pos="8287" w:val="left" w:leader="none"/>
          <w:tab w:pos="8337" w:val="left" w:leader="none"/>
        </w:tabs>
        <w:spacing w:line="388" w:lineRule="auto" w:before="206"/>
        <w:ind w:left="102" w:right="330" w:firstLine="0"/>
        <w:jc w:val="both"/>
        <w:rPr>
          <w:sz w:val="28"/>
        </w:rPr>
      </w:pPr>
      <w:r>
        <w:rPr>
          <w:b/>
          <w:sz w:val="28"/>
        </w:rPr>
        <w:t>ЗАКЛЮЧЕНИЕ</w:t>
      </w:r>
      <w:r>
        <w:rPr>
          <w:sz w:val="28"/>
          <w:u w:val="single"/>
        </w:rPr>
        <w:t> </w:t>
        <w:tab/>
      </w:r>
      <w:r>
        <w:rPr>
          <w:sz w:val="28"/>
        </w:rPr>
        <w:t>255 </w:t>
      </w:r>
      <w:r>
        <w:rPr>
          <w:b/>
          <w:sz w:val="28"/>
        </w:rPr>
        <w:t>ВЫВОДЫ</w:t>
      </w:r>
      <w:r>
        <w:rPr>
          <w:sz w:val="28"/>
          <w:u w:val="single"/>
        </w:rPr>
        <w:t> </w:t>
        <w:tab/>
      </w:r>
      <w:r>
        <w:rPr>
          <w:sz w:val="28"/>
        </w:rPr>
        <w:t>264 </w:t>
      </w:r>
      <w:r>
        <w:rPr>
          <w:b/>
          <w:sz w:val="28"/>
        </w:rPr>
        <w:t>ПРАКТИЧЕСКИЕ</w:t>
      </w:r>
      <w:r>
        <w:rPr>
          <w:b/>
          <w:spacing w:val="-4"/>
          <w:sz w:val="28"/>
        </w:rPr>
        <w:t> </w:t>
      </w:r>
      <w:r>
        <w:rPr>
          <w:b/>
          <w:sz w:val="28"/>
        </w:rPr>
        <w:t>РЕКОМЕНДАЦИИ</w:t>
      </w:r>
      <w:r>
        <w:rPr>
          <w:sz w:val="28"/>
          <w:u w:val="single"/>
        </w:rPr>
        <w:t> </w:t>
        <w:tab/>
        <w:tab/>
        <w:tab/>
      </w:r>
      <w:r>
        <w:rPr>
          <w:sz w:val="28"/>
        </w:rPr>
        <w:t>266 </w:t>
      </w:r>
      <w:r>
        <w:rPr>
          <w:b/>
          <w:sz w:val="28"/>
        </w:rPr>
        <w:t>ПРИЛОЖЕНИЯ</w:t>
      </w:r>
      <w:r>
        <w:rPr>
          <w:sz w:val="28"/>
          <w:u w:val="single"/>
        </w:rPr>
        <w:t> </w:t>
        <w:tab/>
        <w:tab/>
      </w:r>
      <w:r>
        <w:rPr>
          <w:sz w:val="28"/>
        </w:rPr>
        <w:t>268 </w:t>
      </w:r>
      <w:r>
        <w:rPr>
          <w:b/>
          <w:sz w:val="28"/>
        </w:rPr>
        <w:t>СПИСОК</w:t>
      </w:r>
      <w:r>
        <w:rPr>
          <w:b/>
          <w:spacing w:val="-1"/>
          <w:sz w:val="28"/>
        </w:rPr>
        <w:t> </w:t>
      </w:r>
      <w:r>
        <w:rPr>
          <w:b/>
          <w:sz w:val="28"/>
        </w:rPr>
        <w:t>СОКРАЩЕНИЙ</w:t>
      </w:r>
      <w:r>
        <w:rPr>
          <w:sz w:val="28"/>
          <w:u w:val="single"/>
        </w:rPr>
        <w:t> </w:t>
        <w:tab/>
        <w:tab/>
        <w:tab/>
        <w:tab/>
      </w:r>
      <w:r>
        <w:rPr>
          <w:sz w:val="28"/>
        </w:rPr>
        <w:t>287 </w:t>
      </w:r>
      <w:r>
        <w:rPr>
          <w:b/>
          <w:sz w:val="28"/>
        </w:rPr>
        <w:t>СПИСОК</w:t>
      </w:r>
      <w:r>
        <w:rPr>
          <w:b/>
          <w:spacing w:val="-1"/>
          <w:sz w:val="28"/>
        </w:rPr>
        <w:t> </w:t>
      </w:r>
      <w:r>
        <w:rPr>
          <w:b/>
          <w:sz w:val="28"/>
        </w:rPr>
        <w:t>ЛИТЕРАТУРЫ</w:t>
      </w:r>
      <w:r>
        <w:rPr>
          <w:sz w:val="28"/>
          <w:u w:val="single"/>
        </w:rPr>
        <w:t> </w:t>
        <w:tab/>
        <w:tab/>
        <w:tab/>
        <w:tab/>
      </w:r>
      <w:r>
        <w:rPr>
          <w:sz w:val="28"/>
        </w:rPr>
        <w:t>289</w:t>
      </w:r>
    </w:p>
    <w:p>
      <w:pPr>
        <w:spacing w:after="0" w:line="388" w:lineRule="auto"/>
        <w:jc w:val="both"/>
        <w:rPr>
          <w:sz w:val="28"/>
        </w:rPr>
        <w:sectPr>
          <w:pgSz w:w="11900" w:h="16850"/>
          <w:pgMar w:header="712" w:footer="0" w:top="1020" w:bottom="280" w:left="1600" w:right="1200"/>
        </w:sectPr>
      </w:pPr>
    </w:p>
    <w:p>
      <w:pPr>
        <w:pStyle w:val="BodyText"/>
        <w:rPr>
          <w:sz w:val="20"/>
        </w:rPr>
      </w:pPr>
    </w:p>
    <w:p>
      <w:pPr>
        <w:pStyle w:val="BodyText"/>
        <w:rPr>
          <w:sz w:val="20"/>
        </w:rPr>
      </w:pPr>
    </w:p>
    <w:p>
      <w:pPr>
        <w:pStyle w:val="Heading1"/>
        <w:spacing w:before="228"/>
        <w:ind w:left="3839" w:right="3898"/>
        <w:jc w:val="center"/>
      </w:pPr>
      <w:r>
        <w:rPr/>
        <w:t>ВВЕДЕНИЕ</w:t>
      </w:r>
    </w:p>
    <w:p>
      <w:pPr>
        <w:pStyle w:val="BodyText"/>
        <w:spacing w:before="9"/>
        <w:rPr>
          <w:b/>
          <w:sz w:val="30"/>
        </w:rPr>
      </w:pPr>
    </w:p>
    <w:p>
      <w:pPr>
        <w:pStyle w:val="BodyText"/>
        <w:spacing w:line="360" w:lineRule="auto"/>
        <w:ind w:left="102" w:right="103" w:firstLine="487"/>
      </w:pPr>
      <w:r>
        <w:rPr/>
        <w:t>Наибольший удельный вес в структуре онкологической заболеваемости женщин имеют злокачественные новообразования органов репродуктивной системы - 37,3%, причем, опухоли гениталий составляют 17,3% от всех злокачественных новообразований. По данным Международного агентства по изучению рака (МАИР), ежегодно в мире регистрируют около 500 тысяч новых случаев злокачественных новообразований шейки матки, почти 320 тысяч случаев рака эндометрия и 240 тысяч случаев рака яичников.</w:t>
      </w:r>
    </w:p>
    <w:p>
      <w:pPr>
        <w:pStyle w:val="BodyText"/>
        <w:spacing w:line="355" w:lineRule="auto" w:before="5"/>
        <w:ind w:left="102" w:right="159"/>
        <w:jc w:val="both"/>
      </w:pPr>
      <w:r>
        <w:rPr/>
        <w:t>В России самые высокие показатели заболеваемости регистрируются при раке эндометрия (20972 новых случаев в 2014 году). Рак шейки матки занимает второе место среди опухолей репродуктивной системы (15949 вновь выявленных случаев). Рак яичников стабильно занимает третье  место по заболеваемости среди опухолей органов репродуктивной системы (13373 новых случаев в 2014г.) и составляет 22,60</w:t>
      </w:r>
      <w:r>
        <w:rPr>
          <w:position w:val="13"/>
          <w:sz w:val="18"/>
        </w:rPr>
        <w:t>0</w:t>
      </w:r>
      <w:r>
        <w:rPr/>
        <w:t>/</w:t>
      </w:r>
      <w:r>
        <w:rPr>
          <w:position w:val="-3"/>
          <w:sz w:val="18"/>
        </w:rPr>
        <w:t>0000. </w:t>
      </w:r>
      <w:r>
        <w:rPr/>
        <w:t>Прирост заболеваемости раком яичников за последние 10 лет составил 13,2%. (Каприн А.Д., 2015, Мерабишвили В.М.,</w:t>
      </w:r>
      <w:r>
        <w:rPr>
          <w:spacing w:val="-10"/>
        </w:rPr>
        <w:t> </w:t>
      </w:r>
      <w:r>
        <w:rPr/>
        <w:t>2014).</w:t>
      </w:r>
    </w:p>
    <w:p>
      <w:pPr>
        <w:pStyle w:val="BodyText"/>
        <w:spacing w:line="360" w:lineRule="auto" w:before="210"/>
        <w:ind w:left="102" w:right="162" w:firstLine="347"/>
        <w:jc w:val="both"/>
      </w:pPr>
      <w:r>
        <w:rPr/>
        <w:t>В связи с отсутствием скрининга растет число больных, поступающих на лечение с местно – распространенными формами опухолей. Особенно отчетливо эта тенденция проявляется при раке шейки матки. Не изменилась за последние 30 лет и ситуация со злокачественными опухолями яичников. Ввиду крайне агрессивного течения этой опухоли, обнаружение начальных форм остаётся скорее исключением, чем правилом. По данным различных авторов, III – IV стадия заболевания устанавливается приблизительно у 60 – 70% первичных</w:t>
      </w:r>
      <w:r>
        <w:rPr>
          <w:spacing w:val="-12"/>
        </w:rPr>
        <w:t> </w:t>
      </w:r>
      <w:r>
        <w:rPr/>
        <w:t>больных.</w:t>
      </w:r>
    </w:p>
    <w:p>
      <w:pPr>
        <w:pStyle w:val="BodyText"/>
        <w:spacing w:line="360" w:lineRule="auto" w:before="204"/>
        <w:ind w:left="102" w:right="165" w:firstLine="69"/>
        <w:jc w:val="both"/>
      </w:pPr>
      <w:r>
        <w:rPr/>
        <w:t>Даже при раке эндометрия, отличающегося от других локализаций менее агрессивным течением, у каждой четвертой  больной  к  моменту выявления опухоли имеются регионарные или отдаленные метастазы.</w:t>
      </w:r>
    </w:p>
    <w:p>
      <w:pPr>
        <w:spacing w:after="0" w:line="360" w:lineRule="auto"/>
        <w:jc w:val="both"/>
        <w:sectPr>
          <w:pgSz w:w="11900" w:h="16850"/>
          <w:pgMar w:header="712" w:footer="0" w:top="1020" w:bottom="280" w:left="1600" w:right="960"/>
        </w:sectPr>
      </w:pPr>
    </w:p>
    <w:p>
      <w:pPr>
        <w:pStyle w:val="BodyText"/>
        <w:rPr>
          <w:sz w:val="20"/>
        </w:rPr>
      </w:pPr>
    </w:p>
    <w:p>
      <w:pPr>
        <w:pStyle w:val="BodyText"/>
        <w:rPr>
          <w:sz w:val="20"/>
        </w:rPr>
      </w:pPr>
    </w:p>
    <w:p>
      <w:pPr>
        <w:pStyle w:val="BodyText"/>
        <w:spacing w:line="360" w:lineRule="auto" w:before="224"/>
        <w:ind w:left="102" w:right="102" w:firstLine="208"/>
        <w:jc w:val="both"/>
      </w:pPr>
      <w:r>
        <w:rPr/>
        <w:t>Помимо роста заболеваемости и числа больных с распространенными формами злокачественных новообразований, наблюдается тенденция к смещению пика заболеваемости в сторону более молодого возраста.</w:t>
      </w:r>
    </w:p>
    <w:p>
      <w:pPr>
        <w:pStyle w:val="BodyText"/>
        <w:spacing w:line="360" w:lineRule="auto" w:before="207"/>
        <w:ind w:left="102" w:right="99" w:firstLine="139"/>
        <w:jc w:val="both"/>
      </w:pPr>
      <w:r>
        <w:rPr/>
        <w:t>Снизившаяся за последние 5 лет (по данным мировой статистики на 3- 4%) смертность от злокачественных новообразований трудно признать обнадеживающей.</w:t>
      </w:r>
    </w:p>
    <w:p>
      <w:pPr>
        <w:pStyle w:val="BodyText"/>
        <w:spacing w:line="360" w:lineRule="auto" w:before="207"/>
        <w:ind w:left="102" w:right="98" w:firstLine="208"/>
        <w:jc w:val="both"/>
      </w:pPr>
      <w:r>
        <w:rPr/>
        <w:t>Обращает на себя внимание и высокая частота диагностических ошибок при определении степени распространенности опухолевого процесса, ведущие к неадекватному планированию лечения.</w:t>
      </w:r>
    </w:p>
    <w:p>
      <w:pPr>
        <w:pStyle w:val="BodyText"/>
        <w:spacing w:line="360" w:lineRule="auto" w:before="206"/>
        <w:ind w:left="102" w:right="100"/>
        <w:jc w:val="both"/>
      </w:pPr>
      <w:r>
        <w:rPr/>
        <w:t>В этой связи все большее значение приобретает разработка новых путей раннего выявления злокачественных опухолей и совершенствование программ комбинированного и комплексного лечения местно – распространенных форм заболевания. Не менее важным представляется получение максимальной информации о состоянии опухолевого процесса на всех этапах лечения и как можно более раннее выявление рецидивов и метастазов опухоли, развивающихся у 30 – 70% онкологических больных.</w:t>
      </w:r>
    </w:p>
    <w:p>
      <w:pPr>
        <w:pStyle w:val="BodyText"/>
        <w:spacing w:line="360" w:lineRule="auto" w:before="206"/>
        <w:ind w:left="102" w:right="104" w:firstLine="278"/>
        <w:jc w:val="both"/>
      </w:pPr>
      <w:r>
        <w:rPr/>
        <w:t>С другой стороны, преобладание начальных стадий заболевания и относительно благоприятный прогноз у больных раком эндометрия, а также встречающиеся начальные стадии рака шейки матки и яичников позволяют искать пути применения щадящих и в некоторых случаях даже органосохраняющих методов лечения.</w:t>
      </w:r>
    </w:p>
    <w:p>
      <w:pPr>
        <w:pStyle w:val="BodyText"/>
        <w:spacing w:line="360" w:lineRule="auto" w:before="204"/>
        <w:ind w:left="102" w:right="99" w:firstLine="208"/>
        <w:jc w:val="both"/>
      </w:pPr>
      <w:r>
        <w:rPr/>
        <w:t>Лапароскопические методики, пройдя относительно короткий путь становления и развития, сегодня широко применяются во всех хирургических специальностях, в том числе и в онкогинекологии. Преодолев полное и безоговорочное отрицание онкологов в 90-х – начале 2000-х годов, лапароскопический доступ сегодня все чаще используется гинекологами и онкологами при операциях по поводу рака органов</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4"/>
        <w:jc w:val="both"/>
      </w:pPr>
      <w:r>
        <w:rPr/>
        <w:t>репродуктивной системы. При всех очевидных преимуществах лапароскопии, далеко не во всех клинических ситуациях применение ее представляется оправданным. Мало изучены и диагностические возможности лапароскопии на различных этапах комбинированного лечения онкогинекологических больных.</w:t>
      </w:r>
    </w:p>
    <w:p>
      <w:pPr>
        <w:pStyle w:val="BodyText"/>
        <w:spacing w:line="360" w:lineRule="auto" w:before="204"/>
        <w:ind w:left="102" w:right="100" w:firstLine="347"/>
        <w:jc w:val="both"/>
      </w:pPr>
      <w:r>
        <w:rPr/>
        <w:t>Несмотря на большое количество публикаций, посвященных лапароскопическим операциям в онкогинекологии, большинство из них носят описательный характер и сводятся к изложению техники операции и анализу их непосредственных результатов (длительность, объем кровопотери, течение послеоперационного периода). В доступной нам литературе практически не встретилось данных о радикальности, возможности соблюдения принципов абластики, футлярности и зональности, а также об отдаленных результатах лечения. Не проводился и анализ показаний и противопоказаний к выполнению лапароскопических вмешательств на диагностическом этапе.</w:t>
      </w:r>
    </w:p>
    <w:p>
      <w:pPr>
        <w:pStyle w:val="BodyText"/>
        <w:spacing w:line="360" w:lineRule="auto" w:before="206"/>
        <w:ind w:left="102" w:right="99"/>
        <w:jc w:val="both"/>
      </w:pPr>
      <w:r>
        <w:rPr/>
        <w:t>Опыт НИИ онкологии им. Н.Н.Петрова в выполнении лапароскопических операций у онкогинекологических больных на сегодняшний день является самым большим в России. Он насчитывает более 2000 лапароскопических операций у больных раком эндометрия, более 200 радикальных операций, выполненных больным по поводу рака шейки матки, около 100 операций больным раком яичников. Стремление обобщить накопленный опыт, сформулировать показания к лапароскопическим операциям, а также выявить ограничения к применению данной методики у больных раком органов репродуктивной системы послужило основанием для проведения настоящего исследования.</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1"/>
        <w:spacing w:before="89"/>
        <w:ind w:left="379" w:right="380"/>
        <w:jc w:val="center"/>
      </w:pPr>
      <w:r>
        <w:rPr/>
        <w:t>ЦЕЛЬ ИССЛЕДОВАНИЯ</w:t>
      </w:r>
    </w:p>
    <w:p>
      <w:pPr>
        <w:pStyle w:val="BodyText"/>
        <w:rPr>
          <w:b/>
          <w:sz w:val="30"/>
        </w:rPr>
      </w:pPr>
    </w:p>
    <w:p>
      <w:pPr>
        <w:pStyle w:val="BodyText"/>
        <w:spacing w:before="5"/>
        <w:rPr>
          <w:b/>
          <w:sz w:val="25"/>
        </w:rPr>
      </w:pPr>
    </w:p>
    <w:p>
      <w:pPr>
        <w:pStyle w:val="BodyText"/>
        <w:tabs>
          <w:tab w:pos="1860" w:val="left" w:leader="none"/>
        </w:tabs>
        <w:spacing w:line="360" w:lineRule="auto"/>
        <w:ind w:left="102" w:right="106"/>
        <w:jc w:val="both"/>
      </w:pPr>
      <w:r>
        <w:rPr/>
        <w:t>Целью</w:t>
        <w:tab/>
        <w:t>диссертационного    исследования   </w:t>
      </w:r>
      <w:r>
        <w:rPr>
          <w:spacing w:val="67"/>
        </w:rPr>
        <w:t> </w:t>
      </w:r>
      <w:r>
        <w:rPr/>
        <w:t>является   </w:t>
      </w:r>
      <w:r>
        <w:rPr>
          <w:spacing w:val="32"/>
        </w:rPr>
        <w:t> </w:t>
      </w:r>
      <w:r>
        <w:rPr/>
        <w:t>определение</w:t>
      </w:r>
      <w:r>
        <w:rPr>
          <w:w w:val="100"/>
        </w:rPr>
        <w:t> </w:t>
      </w:r>
      <w:r>
        <w:rPr/>
        <w:t>возможностей и ограничений применения эндовидеохирургии в онкогинекологической</w:t>
      </w:r>
      <w:r>
        <w:rPr>
          <w:spacing w:val="-13"/>
        </w:rPr>
        <w:t> </w:t>
      </w:r>
      <w:r>
        <w:rPr/>
        <w:t>практике.</w:t>
      </w:r>
    </w:p>
    <w:p>
      <w:pPr>
        <w:pStyle w:val="BodyText"/>
        <w:rPr>
          <w:sz w:val="30"/>
        </w:rPr>
      </w:pPr>
    </w:p>
    <w:p>
      <w:pPr>
        <w:pStyle w:val="BodyText"/>
        <w:rPr>
          <w:sz w:val="30"/>
        </w:rPr>
      </w:pPr>
    </w:p>
    <w:p>
      <w:pPr>
        <w:pStyle w:val="Heading1"/>
        <w:spacing w:before="204"/>
        <w:ind w:left="379" w:right="380"/>
        <w:jc w:val="center"/>
      </w:pPr>
      <w:r>
        <w:rPr/>
        <w:t>ЗАДАЧИ ИССЛЕДОВАНИЯ</w:t>
      </w:r>
    </w:p>
    <w:p>
      <w:pPr>
        <w:pStyle w:val="BodyText"/>
        <w:rPr>
          <w:b/>
          <w:sz w:val="30"/>
        </w:rPr>
      </w:pPr>
    </w:p>
    <w:p>
      <w:pPr>
        <w:pStyle w:val="BodyText"/>
        <w:spacing w:before="5"/>
        <w:rPr>
          <w:b/>
          <w:sz w:val="25"/>
        </w:rPr>
      </w:pPr>
    </w:p>
    <w:p>
      <w:pPr>
        <w:pStyle w:val="BodyText"/>
        <w:spacing w:line="362" w:lineRule="auto"/>
        <w:ind w:left="102" w:right="108"/>
        <w:jc w:val="both"/>
      </w:pPr>
      <w:r>
        <w:rPr/>
        <w:t>Для достижения поставленной цели сформулированы следующие конкретные задачи:</w:t>
      </w:r>
    </w:p>
    <w:p>
      <w:pPr>
        <w:pStyle w:val="ListParagraph"/>
        <w:numPr>
          <w:ilvl w:val="3"/>
          <w:numId w:val="5"/>
        </w:numPr>
        <w:tabs>
          <w:tab w:pos="822" w:val="left" w:leader="none"/>
        </w:tabs>
        <w:spacing w:line="360" w:lineRule="auto" w:before="200" w:after="0"/>
        <w:ind w:left="822" w:right="104" w:hanging="360"/>
        <w:jc w:val="both"/>
        <w:rPr>
          <w:sz w:val="28"/>
        </w:rPr>
      </w:pPr>
      <w:r>
        <w:rPr>
          <w:sz w:val="28"/>
        </w:rPr>
        <w:t>Проанализировать достоверность современных методов лучевой диагностики в оценке степени распространения  опухолевого процесса у больных основными локализациями рака органов репродуктивной</w:t>
      </w:r>
      <w:r>
        <w:rPr>
          <w:spacing w:val="-6"/>
          <w:sz w:val="28"/>
        </w:rPr>
        <w:t> </w:t>
      </w:r>
      <w:r>
        <w:rPr>
          <w:sz w:val="28"/>
        </w:rPr>
        <w:t>системы.</w:t>
      </w:r>
    </w:p>
    <w:p>
      <w:pPr>
        <w:pStyle w:val="ListParagraph"/>
        <w:numPr>
          <w:ilvl w:val="3"/>
          <w:numId w:val="5"/>
        </w:numPr>
        <w:tabs>
          <w:tab w:pos="822" w:val="left" w:leader="none"/>
        </w:tabs>
        <w:spacing w:line="360" w:lineRule="auto" w:before="4" w:after="0"/>
        <w:ind w:left="822" w:right="107" w:hanging="360"/>
        <w:jc w:val="both"/>
        <w:rPr>
          <w:sz w:val="28"/>
        </w:rPr>
      </w:pPr>
      <w:r>
        <w:rPr>
          <w:sz w:val="28"/>
        </w:rPr>
        <w:t>Сопоставить ближайшие и отдаленные результаты лапароскопических и традиционных хирургических вмешательств у больных раком</w:t>
      </w:r>
      <w:r>
        <w:rPr>
          <w:spacing w:val="-5"/>
          <w:sz w:val="28"/>
        </w:rPr>
        <w:t> </w:t>
      </w:r>
      <w:r>
        <w:rPr>
          <w:sz w:val="28"/>
        </w:rPr>
        <w:t>эндометрия.</w:t>
      </w:r>
    </w:p>
    <w:p>
      <w:pPr>
        <w:pStyle w:val="ListParagraph"/>
        <w:numPr>
          <w:ilvl w:val="3"/>
          <w:numId w:val="5"/>
        </w:numPr>
        <w:tabs>
          <w:tab w:pos="822" w:val="left" w:leader="none"/>
        </w:tabs>
        <w:spacing w:line="360" w:lineRule="auto" w:before="4" w:after="0"/>
        <w:ind w:left="822" w:right="107" w:hanging="360"/>
        <w:jc w:val="both"/>
        <w:rPr>
          <w:sz w:val="28"/>
        </w:rPr>
      </w:pPr>
      <w:r>
        <w:rPr>
          <w:sz w:val="28"/>
        </w:rPr>
        <w:t>Определить показания и противопоказания к лапароскопической экстирпации матки с придатками и тазовой лимфаденэктомией у больных раком</w:t>
      </w:r>
      <w:r>
        <w:rPr>
          <w:spacing w:val="-7"/>
          <w:sz w:val="28"/>
        </w:rPr>
        <w:t> </w:t>
      </w:r>
      <w:r>
        <w:rPr>
          <w:sz w:val="28"/>
        </w:rPr>
        <w:t>эндометрия.</w:t>
      </w:r>
    </w:p>
    <w:p>
      <w:pPr>
        <w:pStyle w:val="ListParagraph"/>
        <w:numPr>
          <w:ilvl w:val="3"/>
          <w:numId w:val="5"/>
        </w:numPr>
        <w:tabs>
          <w:tab w:pos="822" w:val="left" w:leader="none"/>
        </w:tabs>
        <w:spacing w:line="360" w:lineRule="auto" w:before="7" w:after="0"/>
        <w:ind w:left="822" w:right="99" w:hanging="360"/>
        <w:jc w:val="both"/>
        <w:rPr>
          <w:sz w:val="28"/>
        </w:rPr>
      </w:pPr>
      <w:r>
        <w:rPr>
          <w:sz w:val="28"/>
        </w:rPr>
        <w:t>Сформулировать показания к выполнению лапароскопической ревизии и парааортальной лимфаденэктомии на первом этапе комбинированного лечения больных местно- распространенным раком шейки</w:t>
      </w:r>
      <w:r>
        <w:rPr>
          <w:spacing w:val="-5"/>
          <w:sz w:val="28"/>
        </w:rPr>
        <w:t> </w:t>
      </w:r>
      <w:r>
        <w:rPr>
          <w:sz w:val="28"/>
        </w:rPr>
        <w:t>матки.</w:t>
      </w:r>
    </w:p>
    <w:p>
      <w:pPr>
        <w:spacing w:after="0" w:line="360" w:lineRule="auto"/>
        <w:jc w:val="both"/>
        <w:rPr>
          <w:sz w:val="28"/>
        </w:rPr>
        <w:sectPr>
          <w:pgSz w:w="11900" w:h="16850"/>
          <w:pgMar w:header="712" w:footer="0" w:top="1020" w:bottom="280" w:left="1600" w:right="1020"/>
        </w:sectPr>
      </w:pPr>
    </w:p>
    <w:p>
      <w:pPr>
        <w:pStyle w:val="ListParagraph"/>
        <w:numPr>
          <w:ilvl w:val="3"/>
          <w:numId w:val="5"/>
        </w:numPr>
        <w:tabs>
          <w:tab w:pos="822" w:val="left" w:leader="none"/>
        </w:tabs>
        <w:spacing w:line="360" w:lineRule="auto" w:before="0" w:after="0"/>
        <w:ind w:left="822" w:right="103" w:hanging="360"/>
        <w:jc w:val="both"/>
        <w:rPr>
          <w:sz w:val="28"/>
        </w:rPr>
      </w:pPr>
      <w:r>
        <w:rPr>
          <w:sz w:val="28"/>
        </w:rPr>
        <w:t>Сравнить   ближайшие   и  отдаленные   результаты   лечения больных раком шейки матки IA-IB стадий, подвергшихся операции Вертгейма традиционным и лапароскопическим</w:t>
      </w:r>
      <w:r>
        <w:rPr>
          <w:spacing w:val="-23"/>
          <w:sz w:val="28"/>
        </w:rPr>
        <w:t> </w:t>
      </w:r>
      <w:r>
        <w:rPr>
          <w:sz w:val="28"/>
        </w:rPr>
        <w:t>доступом.</w:t>
      </w:r>
    </w:p>
    <w:p>
      <w:pPr>
        <w:pStyle w:val="ListParagraph"/>
        <w:numPr>
          <w:ilvl w:val="3"/>
          <w:numId w:val="5"/>
        </w:numPr>
        <w:tabs>
          <w:tab w:pos="822" w:val="left" w:leader="none"/>
        </w:tabs>
        <w:spacing w:line="360" w:lineRule="auto" w:before="6" w:after="0"/>
        <w:ind w:left="822" w:right="106" w:hanging="360"/>
        <w:jc w:val="both"/>
        <w:rPr>
          <w:sz w:val="28"/>
        </w:rPr>
      </w:pPr>
      <w:r>
        <w:rPr>
          <w:sz w:val="28"/>
        </w:rPr>
        <w:t>Проанализировать результаты лапароскопических операций у больных с опухолями яичников, подозрительных на</w:t>
      </w:r>
      <w:r>
        <w:rPr>
          <w:spacing w:val="-18"/>
          <w:sz w:val="28"/>
        </w:rPr>
        <w:t> </w:t>
      </w:r>
      <w:r>
        <w:rPr>
          <w:sz w:val="28"/>
        </w:rPr>
        <w:t>малигнизацию.</w:t>
      </w:r>
    </w:p>
    <w:p>
      <w:pPr>
        <w:pStyle w:val="ListParagraph"/>
        <w:numPr>
          <w:ilvl w:val="3"/>
          <w:numId w:val="5"/>
        </w:numPr>
        <w:tabs>
          <w:tab w:pos="822" w:val="left" w:leader="none"/>
        </w:tabs>
        <w:spacing w:line="362" w:lineRule="auto" w:before="5" w:after="0"/>
        <w:ind w:left="822" w:right="109" w:hanging="360"/>
        <w:jc w:val="both"/>
        <w:rPr>
          <w:sz w:val="28"/>
        </w:rPr>
      </w:pPr>
      <w:r>
        <w:rPr>
          <w:sz w:val="28"/>
        </w:rPr>
        <w:t>Оценить радикальность и абластичность лапароскопических операций у больных начальным раком</w:t>
      </w:r>
      <w:r>
        <w:rPr>
          <w:spacing w:val="-17"/>
          <w:sz w:val="28"/>
        </w:rPr>
        <w:t> </w:t>
      </w:r>
      <w:r>
        <w:rPr>
          <w:sz w:val="28"/>
        </w:rPr>
        <w:t>яичников.</w:t>
      </w:r>
    </w:p>
    <w:p>
      <w:pPr>
        <w:pStyle w:val="ListParagraph"/>
        <w:numPr>
          <w:ilvl w:val="3"/>
          <w:numId w:val="5"/>
        </w:numPr>
        <w:tabs>
          <w:tab w:pos="822" w:val="left" w:leader="none"/>
        </w:tabs>
        <w:spacing w:line="360" w:lineRule="auto" w:before="2" w:after="0"/>
        <w:ind w:left="822" w:right="102" w:hanging="360"/>
        <w:jc w:val="both"/>
        <w:rPr>
          <w:sz w:val="28"/>
        </w:rPr>
      </w:pPr>
      <w:r>
        <w:rPr>
          <w:sz w:val="28"/>
        </w:rPr>
        <w:t>Уточнить показания и информативность диагностических лапароскопий у больных местно-распространенным раком яичников на различных этапах</w:t>
      </w:r>
      <w:r>
        <w:rPr>
          <w:spacing w:val="-8"/>
          <w:sz w:val="28"/>
        </w:rPr>
        <w:t> </w:t>
      </w:r>
      <w:r>
        <w:rPr>
          <w:sz w:val="28"/>
        </w:rPr>
        <w:t>лечения.</w:t>
      </w:r>
    </w:p>
    <w:p>
      <w:pPr>
        <w:pStyle w:val="ListParagraph"/>
        <w:numPr>
          <w:ilvl w:val="3"/>
          <w:numId w:val="5"/>
        </w:numPr>
        <w:tabs>
          <w:tab w:pos="822" w:val="left" w:leader="none"/>
        </w:tabs>
        <w:spacing w:line="362" w:lineRule="auto" w:before="5" w:after="0"/>
        <w:ind w:left="822" w:right="110" w:hanging="360"/>
        <w:jc w:val="both"/>
        <w:rPr>
          <w:sz w:val="28"/>
        </w:rPr>
      </w:pPr>
      <w:r>
        <w:rPr>
          <w:sz w:val="28"/>
        </w:rPr>
        <w:t>Предложить рекомендации по использованию лапароскопического доступа в хирургическом лечении онкогинекологических</w:t>
      </w:r>
      <w:r>
        <w:rPr>
          <w:spacing w:val="-23"/>
          <w:sz w:val="28"/>
        </w:rPr>
        <w:t> </w:t>
      </w:r>
      <w:r>
        <w:rPr>
          <w:sz w:val="28"/>
        </w:rPr>
        <w:t>больных.</w:t>
      </w:r>
    </w:p>
    <w:p>
      <w:pPr>
        <w:pStyle w:val="BodyText"/>
        <w:rPr>
          <w:sz w:val="30"/>
        </w:rPr>
      </w:pPr>
    </w:p>
    <w:p>
      <w:pPr>
        <w:pStyle w:val="BodyText"/>
        <w:rPr>
          <w:sz w:val="30"/>
        </w:rPr>
      </w:pPr>
    </w:p>
    <w:p>
      <w:pPr>
        <w:pStyle w:val="BodyText"/>
        <w:spacing w:before="5"/>
        <w:rPr>
          <w:sz w:val="24"/>
        </w:rPr>
      </w:pPr>
    </w:p>
    <w:p>
      <w:pPr>
        <w:pStyle w:val="Heading1"/>
        <w:ind w:right="380"/>
        <w:jc w:val="center"/>
      </w:pPr>
      <w:r>
        <w:rPr/>
        <w:t>НАУЧНАЯ НОВИЗНА</w:t>
      </w:r>
    </w:p>
    <w:p>
      <w:pPr>
        <w:pStyle w:val="BodyText"/>
        <w:rPr>
          <w:b/>
          <w:sz w:val="30"/>
        </w:rPr>
      </w:pPr>
    </w:p>
    <w:p>
      <w:pPr>
        <w:pStyle w:val="BodyText"/>
        <w:spacing w:before="7"/>
        <w:rPr>
          <w:b/>
          <w:sz w:val="25"/>
        </w:rPr>
      </w:pPr>
    </w:p>
    <w:p>
      <w:pPr>
        <w:pStyle w:val="ListParagraph"/>
        <w:numPr>
          <w:ilvl w:val="0"/>
          <w:numId w:val="6"/>
        </w:numPr>
        <w:tabs>
          <w:tab w:pos="836" w:val="left" w:leader="none"/>
          <w:tab w:pos="2104" w:val="left" w:leader="none"/>
        </w:tabs>
        <w:spacing w:line="360" w:lineRule="auto" w:before="1" w:after="0"/>
        <w:ind w:left="102" w:right="140" w:firstLine="208"/>
        <w:jc w:val="both"/>
        <w:rPr>
          <w:sz w:val="28"/>
        </w:rPr>
      </w:pPr>
      <w:r>
        <w:rPr>
          <w:sz w:val="28"/>
        </w:rPr>
        <w:t>На</w:t>
        <w:tab/>
        <w:t>репрезентативном         материале   </w:t>
      </w:r>
      <w:r>
        <w:rPr>
          <w:spacing w:val="22"/>
          <w:sz w:val="28"/>
        </w:rPr>
        <w:t> </w:t>
      </w:r>
      <w:r>
        <w:rPr>
          <w:sz w:val="28"/>
        </w:rPr>
        <w:t>оценены   </w:t>
      </w:r>
      <w:r>
        <w:rPr>
          <w:spacing w:val="31"/>
          <w:sz w:val="28"/>
        </w:rPr>
        <w:t> </w:t>
      </w:r>
      <w:r>
        <w:rPr>
          <w:sz w:val="28"/>
        </w:rPr>
        <w:t>результаты</w:t>
      </w:r>
      <w:r>
        <w:rPr>
          <w:w w:val="100"/>
          <w:sz w:val="28"/>
        </w:rPr>
        <w:t> </w:t>
      </w:r>
      <w:r>
        <w:rPr>
          <w:sz w:val="28"/>
        </w:rPr>
        <w:t>хирургического лечения рака эндометрия лапароскопическим и открытым доступом. Доказана эффективность и безопасность лапароскопии в хирургии начальных стадий рака</w:t>
      </w:r>
      <w:r>
        <w:rPr>
          <w:spacing w:val="-16"/>
          <w:sz w:val="28"/>
        </w:rPr>
        <w:t> </w:t>
      </w:r>
      <w:r>
        <w:rPr>
          <w:sz w:val="28"/>
        </w:rPr>
        <w:t>эндометрия.</w:t>
      </w:r>
    </w:p>
    <w:p>
      <w:pPr>
        <w:pStyle w:val="ListParagraph"/>
        <w:numPr>
          <w:ilvl w:val="0"/>
          <w:numId w:val="6"/>
        </w:numPr>
        <w:tabs>
          <w:tab w:pos="755" w:val="left" w:leader="none"/>
        </w:tabs>
        <w:spacing w:line="360" w:lineRule="auto" w:before="5" w:after="0"/>
        <w:ind w:left="102" w:right="139" w:firstLine="208"/>
        <w:jc w:val="both"/>
        <w:rPr>
          <w:sz w:val="28"/>
        </w:rPr>
      </w:pPr>
      <w:r>
        <w:rPr>
          <w:sz w:val="28"/>
        </w:rPr>
        <w:t>Установлено, что сопутствующая патология у больных раком эндометрия, в том числе ожирение, являются дополнительным основанием к выбору лапароскопического</w:t>
      </w:r>
      <w:r>
        <w:rPr>
          <w:spacing w:val="-12"/>
          <w:sz w:val="28"/>
        </w:rPr>
        <w:t> </w:t>
      </w:r>
      <w:r>
        <w:rPr>
          <w:sz w:val="28"/>
        </w:rPr>
        <w:t>доступа.</w:t>
      </w:r>
    </w:p>
    <w:p>
      <w:pPr>
        <w:pStyle w:val="ListParagraph"/>
        <w:numPr>
          <w:ilvl w:val="0"/>
          <w:numId w:val="6"/>
        </w:numPr>
        <w:tabs>
          <w:tab w:pos="714" w:val="left" w:leader="none"/>
        </w:tabs>
        <w:spacing w:line="360" w:lineRule="auto" w:before="7" w:after="0"/>
        <w:ind w:left="102" w:right="100" w:firstLine="278"/>
        <w:jc w:val="both"/>
        <w:rPr>
          <w:sz w:val="28"/>
        </w:rPr>
      </w:pPr>
      <w:r>
        <w:rPr>
          <w:sz w:val="28"/>
        </w:rPr>
        <w:t>Проанализированы чувствительность и специфичность доступных в практическом здравоохранении методов лучевой диагностики степени распространения рака шейки матки. Установлена низкая чувствительность УЗИ и МРТ при оценке инфильтрации параметриев (32,4% и 43,2% соответственно, тазовых и парааортальных лимфатических узлов – 77,8% и 83,3%</w:t>
      </w:r>
      <w:r>
        <w:rPr>
          <w:spacing w:val="-4"/>
          <w:sz w:val="28"/>
        </w:rPr>
        <w:t> </w:t>
      </w:r>
      <w:r>
        <w:rPr>
          <w:sz w:val="28"/>
        </w:rPr>
        <w:t>соответственно).</w:t>
      </w:r>
    </w:p>
    <w:p>
      <w:pPr>
        <w:spacing w:after="0" w:line="360" w:lineRule="auto"/>
        <w:jc w:val="both"/>
        <w:rPr>
          <w:sz w:val="28"/>
        </w:rPr>
        <w:sectPr>
          <w:pgSz w:w="11900" w:h="16850"/>
          <w:pgMar w:header="712" w:footer="0" w:top="1020" w:bottom="280" w:left="1600" w:right="1020"/>
        </w:sectPr>
      </w:pPr>
    </w:p>
    <w:p>
      <w:pPr>
        <w:pStyle w:val="BodyText"/>
        <w:rPr>
          <w:sz w:val="20"/>
        </w:rPr>
      </w:pPr>
    </w:p>
    <w:p>
      <w:pPr>
        <w:pStyle w:val="ListParagraph"/>
        <w:numPr>
          <w:ilvl w:val="0"/>
          <w:numId w:val="6"/>
        </w:numPr>
        <w:tabs>
          <w:tab w:pos="392" w:val="left" w:leader="none"/>
        </w:tabs>
        <w:spacing w:line="360" w:lineRule="auto" w:before="252" w:after="0"/>
        <w:ind w:left="102" w:right="99" w:firstLine="0"/>
        <w:jc w:val="both"/>
        <w:rPr>
          <w:sz w:val="28"/>
        </w:rPr>
      </w:pPr>
      <w:r>
        <w:rPr>
          <w:sz w:val="28"/>
        </w:rPr>
        <w:t>Обоснована целесообразность выполнения лапароскопических операций хирургического стадирования у больных раком шейки матки IB – IIIВ стадий при наличии подозрения на метастатическое поражение парааортальных  лимфатических</w:t>
      </w:r>
      <w:r>
        <w:rPr>
          <w:spacing w:val="-15"/>
          <w:sz w:val="28"/>
        </w:rPr>
        <w:t> </w:t>
      </w:r>
      <w:r>
        <w:rPr>
          <w:sz w:val="28"/>
        </w:rPr>
        <w:t>узлов.</w:t>
      </w:r>
    </w:p>
    <w:p>
      <w:pPr>
        <w:pStyle w:val="ListParagraph"/>
        <w:numPr>
          <w:ilvl w:val="0"/>
          <w:numId w:val="6"/>
        </w:numPr>
        <w:tabs>
          <w:tab w:pos="778" w:val="left" w:leader="none"/>
        </w:tabs>
        <w:spacing w:line="360" w:lineRule="auto" w:before="5" w:after="0"/>
        <w:ind w:left="102" w:right="107" w:firstLine="139"/>
        <w:jc w:val="both"/>
        <w:rPr>
          <w:sz w:val="28"/>
        </w:rPr>
      </w:pPr>
      <w:r>
        <w:rPr>
          <w:sz w:val="28"/>
        </w:rPr>
        <w:t>Подтверждена техническая возможность выполнения радикальной гистерэктомии при начальных стадиях рака шейки матки лапароскопическим доступом с соблюдением всех онкологических принципов.</w:t>
      </w:r>
    </w:p>
    <w:p>
      <w:pPr>
        <w:pStyle w:val="ListParagraph"/>
        <w:numPr>
          <w:ilvl w:val="0"/>
          <w:numId w:val="6"/>
        </w:numPr>
        <w:tabs>
          <w:tab w:pos="699" w:val="left" w:leader="none"/>
        </w:tabs>
        <w:spacing w:line="360" w:lineRule="auto" w:before="5" w:after="0"/>
        <w:ind w:left="102" w:right="106" w:firstLine="69"/>
        <w:jc w:val="both"/>
        <w:rPr>
          <w:sz w:val="28"/>
        </w:rPr>
      </w:pPr>
      <w:r>
        <w:rPr>
          <w:sz w:val="28"/>
        </w:rPr>
        <w:t>При раке яичников доказана целесообразность диагностических лапароскопий на различных этапах обследования и лечения. Продемонстрировано, что клинически установленный диагноз «рак яичников» подтверждается при морфологическом исследовании только в каждом третьем</w:t>
      </w:r>
      <w:r>
        <w:rPr>
          <w:spacing w:val="-10"/>
          <w:sz w:val="28"/>
        </w:rPr>
        <w:t> </w:t>
      </w:r>
      <w:r>
        <w:rPr>
          <w:sz w:val="28"/>
        </w:rPr>
        <w:t>наблюдении.</w:t>
      </w:r>
    </w:p>
    <w:p>
      <w:pPr>
        <w:pStyle w:val="ListParagraph"/>
        <w:numPr>
          <w:ilvl w:val="0"/>
          <w:numId w:val="6"/>
        </w:numPr>
        <w:tabs>
          <w:tab w:pos="637" w:val="left" w:leader="none"/>
        </w:tabs>
        <w:spacing w:line="360" w:lineRule="auto" w:before="206" w:after="0"/>
        <w:ind w:left="102" w:right="106" w:firstLine="0"/>
        <w:jc w:val="both"/>
        <w:rPr>
          <w:sz w:val="28"/>
        </w:rPr>
      </w:pPr>
      <w:r>
        <w:rPr>
          <w:sz w:val="28"/>
        </w:rPr>
        <w:t>Показана возможность лапароскопического доступа в хирургическом лечении только I стадии рака яичников при тщательном соблюдении всех правил абластики и</w:t>
      </w:r>
      <w:r>
        <w:rPr>
          <w:spacing w:val="-9"/>
          <w:sz w:val="28"/>
        </w:rPr>
        <w:t> </w:t>
      </w:r>
      <w:r>
        <w:rPr>
          <w:sz w:val="28"/>
        </w:rPr>
        <w:t>антибластики.</w:t>
      </w:r>
    </w:p>
    <w:p>
      <w:pPr>
        <w:pStyle w:val="BodyText"/>
        <w:rPr>
          <w:sz w:val="30"/>
        </w:rPr>
      </w:pPr>
    </w:p>
    <w:p>
      <w:pPr>
        <w:pStyle w:val="BodyText"/>
        <w:rPr>
          <w:sz w:val="30"/>
        </w:rPr>
      </w:pPr>
    </w:p>
    <w:p>
      <w:pPr>
        <w:pStyle w:val="BodyText"/>
        <w:spacing w:before="10"/>
        <w:rPr>
          <w:sz w:val="24"/>
        </w:rPr>
      </w:pPr>
    </w:p>
    <w:p>
      <w:pPr>
        <w:pStyle w:val="Heading1"/>
        <w:ind w:left="920"/>
      </w:pPr>
      <w:r>
        <w:rPr/>
        <w:t>ТЕОРЕТИЧЕСКАЯ И ПРАКТИЧЕСКАЯ ЗНАЧИМОСТЬ</w:t>
      </w:r>
    </w:p>
    <w:p>
      <w:pPr>
        <w:pStyle w:val="BodyText"/>
        <w:rPr>
          <w:b/>
          <w:sz w:val="30"/>
        </w:rPr>
      </w:pPr>
    </w:p>
    <w:p>
      <w:pPr>
        <w:pStyle w:val="BodyText"/>
        <w:spacing w:before="5"/>
        <w:rPr>
          <w:b/>
          <w:sz w:val="25"/>
        </w:rPr>
      </w:pPr>
    </w:p>
    <w:p>
      <w:pPr>
        <w:pStyle w:val="BodyText"/>
        <w:spacing w:line="360" w:lineRule="auto"/>
        <w:ind w:left="102" w:right="99" w:firstLine="417"/>
        <w:jc w:val="both"/>
      </w:pPr>
      <w:r>
        <w:rPr/>
        <w:t>Исследование содержит новое решение проблем, связанных с обследованием и планированием комбинированного и комплексного лечения больных раком шейки матки и яичников, а также позволяет предложить лапароскопический доступ как оптимальный вид хирургического вмешательства у больных раком эндометрия и у  тщательно отобранной группы больных начальным раком шейки матки и яичников.</w:t>
      </w:r>
    </w:p>
    <w:p>
      <w:pPr>
        <w:spacing w:after="0" w:line="360" w:lineRule="auto"/>
        <w:jc w:val="both"/>
        <w:sectPr>
          <w:pgSz w:w="11900" w:h="16850"/>
          <w:pgMar w:header="712" w:footer="0" w:top="1020" w:bottom="280" w:left="1600" w:right="1020"/>
        </w:sectPr>
      </w:pPr>
    </w:p>
    <w:p>
      <w:pPr>
        <w:pStyle w:val="BodyText"/>
        <w:spacing w:line="360" w:lineRule="auto"/>
        <w:ind w:left="102" w:right="99" w:firstLine="347"/>
        <w:jc w:val="both"/>
      </w:pPr>
      <w:r>
        <w:rPr/>
        <w:t>На  основании  тщательного  многофакторного анализа  , а также  оценки качества жизни больных раком тела матки после лапароскопических операций определены показания и противопоказания для их выполнения. Установлены преимущества </w:t>
      </w:r>
      <w:r>
        <w:rPr>
          <w:spacing w:val="-3"/>
        </w:rPr>
        <w:t>лапароскопического </w:t>
      </w:r>
      <w:r>
        <w:rPr/>
        <w:t>доступа у больных с</w:t>
      </w:r>
      <w:r>
        <w:rPr>
          <w:spacing w:val="-41"/>
        </w:rPr>
        <w:t> </w:t>
      </w:r>
      <w:r>
        <w:rPr/>
        <w:t>ожирением.</w:t>
      </w:r>
    </w:p>
    <w:p>
      <w:pPr>
        <w:pStyle w:val="BodyText"/>
        <w:tabs>
          <w:tab w:pos="3326" w:val="left" w:leader="none"/>
        </w:tabs>
        <w:spacing w:line="360" w:lineRule="auto" w:before="207"/>
        <w:ind w:left="102" w:right="103" w:firstLine="487"/>
        <w:jc w:val="both"/>
      </w:pPr>
      <w:r>
        <w:rPr/>
        <w:t>Даны рекомендации по показаниям и технике выполнения лапароскопической</w:t>
        <w:tab/>
        <w:t>парааортальной    лимфаденэктомии   </w:t>
      </w:r>
      <w:r>
        <w:rPr>
          <w:spacing w:val="21"/>
        </w:rPr>
        <w:t> </w:t>
      </w:r>
      <w:r>
        <w:rPr/>
        <w:t>с   </w:t>
      </w:r>
      <w:r>
        <w:rPr>
          <w:spacing w:val="11"/>
        </w:rPr>
        <w:t> </w:t>
      </w:r>
      <w:r>
        <w:rPr/>
        <w:t>целью</w:t>
      </w:r>
      <w:r>
        <w:rPr>
          <w:w w:val="100"/>
        </w:rPr>
        <w:t> </w:t>
      </w:r>
      <w:r>
        <w:rPr/>
        <w:t>хирургического стадирования, для дальнейшей оптимизации комбинированного лечения у больных с выявленным раком шейки матки IB – III стадий; также предложена одномоментная транспозиция яичников у пациенток репродуктивного</w:t>
      </w:r>
      <w:r>
        <w:rPr>
          <w:spacing w:val="-10"/>
        </w:rPr>
        <w:t> </w:t>
      </w:r>
      <w:r>
        <w:rPr/>
        <w:t>возраста.</w:t>
      </w:r>
    </w:p>
    <w:p>
      <w:pPr>
        <w:pStyle w:val="BodyText"/>
        <w:spacing w:line="360" w:lineRule="auto" w:before="5"/>
        <w:ind w:left="102" w:right="107" w:firstLine="417"/>
        <w:jc w:val="both"/>
      </w:pPr>
      <w:r>
        <w:rPr/>
        <w:t>Обоснована возможность и оправданность лапароскопического доступа при выполнении радикальных гистерэктомий по поводу рака шейки матки  I</w:t>
      </w:r>
      <w:r>
        <w:rPr>
          <w:spacing w:val="-1"/>
        </w:rPr>
        <w:t> </w:t>
      </w:r>
      <w:r>
        <w:rPr/>
        <w:t>стадии.</w:t>
      </w:r>
    </w:p>
    <w:p>
      <w:pPr>
        <w:pStyle w:val="BodyText"/>
        <w:spacing w:line="360" w:lineRule="auto" w:before="5"/>
        <w:ind w:left="102" w:right="106" w:firstLine="208"/>
        <w:jc w:val="both"/>
      </w:pPr>
      <w:r>
        <w:rPr/>
        <w:t>Доказана диагностическая ценность и безопасность ревизионных лапароскопий на различных этапах лечения рака яичников. Продемонстрирована возможность лапароскопического доступа в хирургическом лечении начального рака яичников.</w:t>
      </w:r>
    </w:p>
    <w:p>
      <w:pPr>
        <w:pStyle w:val="BodyText"/>
        <w:spacing w:line="360" w:lineRule="auto" w:before="7"/>
        <w:ind w:left="102" w:right="103" w:firstLine="707"/>
        <w:jc w:val="both"/>
      </w:pPr>
      <w:r>
        <w:rPr/>
        <w:t>На основании проведенного исследования сформулированы рекомендации по индивидуализации планирования лечения при наиболее частых локализациях опухолей органов репродуктивной системы.</w:t>
      </w:r>
    </w:p>
    <w:p>
      <w:pPr>
        <w:pStyle w:val="BodyText"/>
        <w:rPr>
          <w:sz w:val="30"/>
        </w:rPr>
      </w:pPr>
    </w:p>
    <w:p>
      <w:pPr>
        <w:pStyle w:val="BodyText"/>
        <w:spacing w:before="4"/>
        <w:rPr>
          <w:sz w:val="30"/>
        </w:rPr>
      </w:pPr>
    </w:p>
    <w:p>
      <w:pPr>
        <w:pStyle w:val="Heading1"/>
        <w:ind w:left="1650"/>
      </w:pPr>
      <w:r>
        <w:rPr/>
        <w:t>ПОЛОЖЕНИЯ, ВЫНОСИМЫЕ НА ЗАЩИТУ</w:t>
      </w:r>
    </w:p>
    <w:p>
      <w:pPr>
        <w:pStyle w:val="BodyText"/>
        <w:rPr>
          <w:b/>
          <w:sz w:val="30"/>
        </w:rPr>
      </w:pPr>
    </w:p>
    <w:p>
      <w:pPr>
        <w:pStyle w:val="BodyText"/>
        <w:spacing w:before="5"/>
        <w:rPr>
          <w:b/>
          <w:sz w:val="25"/>
        </w:rPr>
      </w:pPr>
    </w:p>
    <w:p>
      <w:pPr>
        <w:pStyle w:val="ListParagraph"/>
        <w:numPr>
          <w:ilvl w:val="1"/>
          <w:numId w:val="6"/>
        </w:numPr>
        <w:tabs>
          <w:tab w:pos="822" w:val="left" w:leader="none"/>
        </w:tabs>
        <w:spacing w:line="360" w:lineRule="auto" w:before="0" w:after="0"/>
        <w:ind w:left="822" w:right="99" w:hanging="360"/>
        <w:jc w:val="both"/>
        <w:rPr>
          <w:sz w:val="28"/>
        </w:rPr>
      </w:pPr>
      <w:r>
        <w:rPr>
          <w:sz w:val="28"/>
        </w:rPr>
        <w:t>Лапароскопический доступ является методом выбора в хирургическом лечении больных раком эндометрия I стадии, в том числе и при наличии сопутствующей</w:t>
      </w:r>
      <w:r>
        <w:rPr>
          <w:spacing w:val="-12"/>
          <w:sz w:val="28"/>
        </w:rPr>
        <w:t> </w:t>
      </w:r>
      <w:r>
        <w:rPr>
          <w:sz w:val="28"/>
        </w:rPr>
        <w:t>патологии.</w:t>
      </w:r>
    </w:p>
    <w:p>
      <w:pPr>
        <w:pStyle w:val="ListParagraph"/>
        <w:numPr>
          <w:ilvl w:val="1"/>
          <w:numId w:val="6"/>
        </w:numPr>
        <w:tabs>
          <w:tab w:pos="822" w:val="left" w:leader="none"/>
        </w:tabs>
        <w:spacing w:line="360" w:lineRule="auto" w:before="5" w:after="0"/>
        <w:ind w:left="822" w:right="100" w:hanging="360"/>
        <w:jc w:val="both"/>
        <w:rPr>
          <w:sz w:val="28"/>
        </w:rPr>
      </w:pPr>
      <w:r>
        <w:rPr>
          <w:sz w:val="28"/>
        </w:rPr>
        <w:t>В связи с установленной недостаточной информативностью УЗИ и МРТ в оценке степени распространения опухоли шейки матки,</w:t>
      </w:r>
      <w:r>
        <w:rPr>
          <w:spacing w:val="-23"/>
          <w:sz w:val="28"/>
        </w:rPr>
        <w:t> </w:t>
      </w:r>
      <w:r>
        <w:rPr>
          <w:sz w:val="28"/>
        </w:rPr>
        <w:t>в</w:t>
      </w:r>
    </w:p>
    <w:p>
      <w:pPr>
        <w:spacing w:after="0" w:line="360" w:lineRule="auto"/>
        <w:jc w:val="both"/>
        <w:rPr>
          <w:sz w:val="28"/>
        </w:rPr>
        <w:sectPr>
          <w:pgSz w:w="11900" w:h="16850"/>
          <w:pgMar w:header="712" w:footer="0" w:top="1020" w:bottom="280" w:left="1600" w:right="1020"/>
        </w:sectPr>
      </w:pPr>
    </w:p>
    <w:p>
      <w:pPr>
        <w:pStyle w:val="BodyText"/>
        <w:rPr>
          <w:sz w:val="20"/>
        </w:rPr>
      </w:pPr>
    </w:p>
    <w:p>
      <w:pPr>
        <w:pStyle w:val="BodyText"/>
        <w:spacing w:line="360" w:lineRule="auto" w:before="252"/>
        <w:ind w:left="821" w:right="121"/>
        <w:jc w:val="both"/>
      </w:pPr>
      <w:r>
        <w:rPr/>
        <w:t>ряде случаев, при подозрении на метастатическое поражение парааортальных лимфатических узлов, показано выполнение лапароскопических операций хирургического стадирования.</w:t>
      </w:r>
    </w:p>
    <w:p>
      <w:pPr>
        <w:pStyle w:val="ListParagraph"/>
        <w:numPr>
          <w:ilvl w:val="1"/>
          <w:numId w:val="6"/>
        </w:numPr>
        <w:tabs>
          <w:tab w:pos="822" w:val="left" w:leader="none"/>
        </w:tabs>
        <w:spacing w:line="360" w:lineRule="auto" w:before="5" w:after="0"/>
        <w:ind w:left="822" w:right="119" w:hanging="360"/>
        <w:jc w:val="both"/>
        <w:rPr>
          <w:sz w:val="28"/>
        </w:rPr>
      </w:pPr>
      <w:r>
        <w:rPr>
          <w:sz w:val="28"/>
        </w:rPr>
        <w:t>Выполнение радикальной гистерэктомии или трахелэктомии при I стадии рака шейки матки лапароскопическим доступом является технически возможным, оправданным и безопасным с онкологических</w:t>
      </w:r>
      <w:r>
        <w:rPr>
          <w:spacing w:val="-9"/>
          <w:sz w:val="28"/>
        </w:rPr>
        <w:t> </w:t>
      </w:r>
      <w:r>
        <w:rPr>
          <w:sz w:val="28"/>
        </w:rPr>
        <w:t>позиций.</w:t>
      </w:r>
    </w:p>
    <w:p>
      <w:pPr>
        <w:pStyle w:val="ListParagraph"/>
        <w:numPr>
          <w:ilvl w:val="1"/>
          <w:numId w:val="6"/>
        </w:numPr>
        <w:tabs>
          <w:tab w:pos="822" w:val="left" w:leader="none"/>
        </w:tabs>
        <w:spacing w:line="360" w:lineRule="auto" w:before="6" w:after="0"/>
        <w:ind w:left="822" w:right="125" w:hanging="360"/>
        <w:jc w:val="both"/>
        <w:rPr>
          <w:sz w:val="28"/>
        </w:rPr>
      </w:pPr>
      <w:r>
        <w:rPr>
          <w:sz w:val="28"/>
        </w:rPr>
        <w:t>Использование лапароскопии в хирургии рака яичников на сегодняшний день целесообразно ограничить диагностическими вмешательствами. У тщательно отобранных пациенток начальным раком яичников возможно использование в хирургическом лечении лапароскопического</w:t>
      </w:r>
      <w:r>
        <w:rPr>
          <w:spacing w:val="-8"/>
          <w:sz w:val="28"/>
        </w:rPr>
        <w:t> </w:t>
      </w:r>
      <w:r>
        <w:rPr>
          <w:sz w:val="28"/>
        </w:rPr>
        <w:t>доступа.</w:t>
      </w:r>
    </w:p>
    <w:p>
      <w:pPr>
        <w:pStyle w:val="BodyText"/>
        <w:rPr>
          <w:sz w:val="30"/>
        </w:rPr>
      </w:pPr>
    </w:p>
    <w:p>
      <w:pPr>
        <w:pStyle w:val="BodyText"/>
        <w:rPr>
          <w:sz w:val="30"/>
        </w:rPr>
      </w:pPr>
    </w:p>
    <w:p>
      <w:pPr>
        <w:pStyle w:val="BodyText"/>
        <w:rPr>
          <w:sz w:val="25"/>
        </w:rPr>
      </w:pPr>
    </w:p>
    <w:p>
      <w:pPr>
        <w:pStyle w:val="Heading1"/>
        <w:ind w:left="435"/>
      </w:pPr>
      <w:r>
        <w:rPr/>
        <w:t>СТЕПЕНЬ ДОСТОВЕРНОСТИ И АПРОБАЦИЯ РЕЗУЛЬТАТОВ</w:t>
      </w:r>
    </w:p>
    <w:p>
      <w:pPr>
        <w:pStyle w:val="BodyText"/>
        <w:rPr>
          <w:b/>
          <w:sz w:val="30"/>
        </w:rPr>
      </w:pPr>
    </w:p>
    <w:p>
      <w:pPr>
        <w:pStyle w:val="BodyText"/>
        <w:spacing w:before="5"/>
        <w:rPr>
          <w:b/>
          <w:sz w:val="25"/>
        </w:rPr>
      </w:pPr>
    </w:p>
    <w:p>
      <w:pPr>
        <w:pStyle w:val="BodyText"/>
        <w:spacing w:line="360" w:lineRule="auto"/>
        <w:ind w:left="102" w:right="116" w:firstLine="347"/>
        <w:jc w:val="both"/>
      </w:pPr>
      <w:r>
        <w:rPr/>
        <w:t>Материалы диссертации доложены на V Международном научном конгрессе «Оперативная гинекология – новые технологии» (Санкт- Петербург, 2011), на Российско-германском форуме «Женское здоровье» (Санкт-Петербург, 2012), на VII съезде онкологов и радиологов стран СНГ (Республика Казахстан, Астана, 2012), на научно-практической конференции «Эндоскопические технологии в онкогинекологии» (Москва, 2012), на XVI Российском онкологическом конгрессе (Москва, 2012), на VIII съезде онкологов России «Онкология XXI века – от научных исследований в клиническую практику» (Санкт – Петербург, 2013), на VIII съезде онкологов и радиологов стран СНГ (Казань,  2014г.), онкологическом форуме «Белые ночи» (Санкт – Петербург, 2016).</w:t>
      </w:r>
    </w:p>
    <w:p>
      <w:pPr>
        <w:spacing w:after="0" w:line="360" w:lineRule="auto"/>
        <w:jc w:val="both"/>
        <w:sectPr>
          <w:pgSz w:w="11900" w:h="16850"/>
          <w:pgMar w:header="712" w:footer="0" w:top="1020" w:bottom="280" w:left="1600" w:right="1000"/>
        </w:sectPr>
      </w:pPr>
    </w:p>
    <w:p>
      <w:pPr>
        <w:pStyle w:val="BodyText"/>
        <w:rPr>
          <w:sz w:val="20"/>
        </w:rPr>
      </w:pPr>
    </w:p>
    <w:p>
      <w:pPr>
        <w:pStyle w:val="BodyText"/>
        <w:spacing w:line="360" w:lineRule="auto" w:before="252"/>
        <w:ind w:left="102" w:right="99"/>
        <w:jc w:val="both"/>
      </w:pPr>
      <w:r>
        <w:rPr/>
        <w:t>Основные диссертационные разработки применяются при диагностике и лечении больных в ФГБУ «НИИ онкологии им. Н.Н.Петрова» МЗ России, ГБУЗ СПбКНПЦСВМП(о), Новосибирском онкологическом диспансере.</w:t>
      </w:r>
    </w:p>
    <w:p>
      <w:pPr>
        <w:pStyle w:val="BodyText"/>
        <w:spacing w:line="360" w:lineRule="auto" w:before="5"/>
        <w:ind w:left="102" w:right="101" w:firstLine="347"/>
        <w:jc w:val="both"/>
      </w:pPr>
      <w:r>
        <w:rPr/>
        <w:t>Результаты исследования используются при проведении лекций и практических занятий со слушателями, клиническими ординаторами, аспирантами НИИ онкологии им. Н.Н.Петрова, на кафедре онкологии СЗГМУ им. И.И.Мечникова, кафедре акушерства и гинекологии №2 СЗГМУ им. И.И.Мечникова, кафедре онкологии и радиологии СПб Педиатрической медицинской академии.</w:t>
      </w:r>
    </w:p>
    <w:p>
      <w:pPr>
        <w:pStyle w:val="BodyText"/>
        <w:spacing w:before="5"/>
        <w:ind w:left="450"/>
      </w:pPr>
      <w:r>
        <w:rPr/>
        <w:t>По теме диссертации опубликовано 34 научные работы, в том числе   18</w:t>
      </w:r>
    </w:p>
    <w:p>
      <w:pPr>
        <w:spacing w:line="360" w:lineRule="auto" w:before="162"/>
        <w:ind w:left="102" w:right="103" w:firstLine="0"/>
        <w:jc w:val="both"/>
        <w:rPr>
          <w:sz w:val="28"/>
        </w:rPr>
      </w:pPr>
      <w:r>
        <w:rPr>
          <w:sz w:val="28"/>
        </w:rPr>
        <w:t>– в реферируемых ВАК журналах. Получена приоритетная справка на изобретение </w:t>
      </w:r>
      <w:r>
        <w:rPr>
          <w:sz w:val="24"/>
        </w:rPr>
        <w:t>«СПОСОБ КОМБИНИРОВАННОГО ЛЕЧЕНИЯ РАКА ШЕЙКИ МАТКИ МЕСТНО – РАСПРОСТРАНЁННОЙ ФОРМЫ» </w:t>
      </w:r>
      <w:r>
        <w:rPr>
          <w:sz w:val="28"/>
        </w:rPr>
        <w:t>(Дата приоритета: 24.05.2013; № 2013123972).</w:t>
      </w:r>
    </w:p>
    <w:p>
      <w:pPr>
        <w:spacing w:after="0" w:line="360" w:lineRule="auto"/>
        <w:jc w:val="both"/>
        <w:rPr>
          <w:sz w:val="28"/>
        </w:rPr>
        <w:sectPr>
          <w:pgSz w:w="11900" w:h="16850"/>
          <w:pgMar w:header="712" w:footer="0" w:top="1020" w:bottom="280" w:left="1600" w:right="1020"/>
        </w:sectPr>
      </w:pPr>
    </w:p>
    <w:p>
      <w:pPr>
        <w:pStyle w:val="BodyText"/>
        <w:rPr>
          <w:sz w:val="20"/>
        </w:rPr>
      </w:pPr>
    </w:p>
    <w:p>
      <w:pPr>
        <w:pStyle w:val="BodyText"/>
        <w:rPr>
          <w:sz w:val="20"/>
        </w:rPr>
      </w:pPr>
    </w:p>
    <w:p>
      <w:pPr>
        <w:pStyle w:val="Heading1"/>
        <w:spacing w:before="228"/>
        <w:ind w:left="4043"/>
      </w:pPr>
      <w:r>
        <w:rPr/>
        <w:t>ГЛАВА 1</w:t>
      </w:r>
    </w:p>
    <w:p>
      <w:pPr>
        <w:pStyle w:val="BodyText"/>
        <w:rPr>
          <w:b/>
          <w:sz w:val="30"/>
        </w:rPr>
      </w:pPr>
    </w:p>
    <w:p>
      <w:pPr>
        <w:pStyle w:val="BodyText"/>
        <w:rPr>
          <w:b/>
          <w:sz w:val="30"/>
        </w:rPr>
      </w:pPr>
    </w:p>
    <w:p>
      <w:pPr>
        <w:pStyle w:val="BodyText"/>
        <w:spacing w:before="8"/>
        <w:rPr>
          <w:b/>
          <w:sz w:val="30"/>
        </w:rPr>
      </w:pPr>
    </w:p>
    <w:p>
      <w:pPr>
        <w:spacing w:before="0"/>
        <w:ind w:left="380" w:right="380" w:firstLine="0"/>
        <w:jc w:val="center"/>
        <w:rPr>
          <w:b/>
          <w:sz w:val="28"/>
        </w:rPr>
      </w:pPr>
      <w:r>
        <w:rPr>
          <w:b/>
          <w:sz w:val="28"/>
        </w:rPr>
        <w:t>ОБЗОР ЛИТЕРАТУРЫ</w:t>
      </w:r>
    </w:p>
    <w:p>
      <w:pPr>
        <w:pStyle w:val="BodyText"/>
        <w:spacing w:before="3"/>
        <w:rPr>
          <w:b/>
          <w:sz w:val="31"/>
        </w:rPr>
      </w:pPr>
    </w:p>
    <w:p>
      <w:pPr>
        <w:pStyle w:val="ListParagraph"/>
        <w:numPr>
          <w:ilvl w:val="1"/>
          <w:numId w:val="7"/>
        </w:numPr>
        <w:tabs>
          <w:tab w:pos="1238" w:val="left" w:leader="none"/>
        </w:tabs>
        <w:spacing w:line="362" w:lineRule="auto" w:before="0" w:after="0"/>
        <w:ind w:left="3016" w:right="747" w:hanging="2271"/>
        <w:jc w:val="left"/>
        <w:rPr>
          <w:b/>
          <w:sz w:val="28"/>
        </w:rPr>
      </w:pPr>
      <w:r>
        <w:rPr>
          <w:b/>
          <w:sz w:val="28"/>
        </w:rPr>
        <w:t>Тенденции заболеваемости и смертности от рака</w:t>
      </w:r>
      <w:r>
        <w:rPr>
          <w:b/>
          <w:spacing w:val="-21"/>
          <w:sz w:val="28"/>
        </w:rPr>
        <w:t> </w:t>
      </w:r>
      <w:r>
        <w:rPr>
          <w:b/>
          <w:sz w:val="28"/>
        </w:rPr>
        <w:t>органов репродуктивной</w:t>
      </w:r>
      <w:r>
        <w:rPr>
          <w:b/>
          <w:spacing w:val="-6"/>
          <w:sz w:val="28"/>
        </w:rPr>
        <w:t> </w:t>
      </w:r>
      <w:r>
        <w:rPr>
          <w:b/>
          <w:sz w:val="28"/>
        </w:rPr>
        <w:t>системы</w:t>
      </w:r>
    </w:p>
    <w:p>
      <w:pPr>
        <w:pStyle w:val="BodyText"/>
        <w:spacing w:line="360" w:lineRule="auto" w:before="197"/>
        <w:ind w:left="102" w:right="105"/>
        <w:jc w:val="both"/>
      </w:pPr>
      <w:r>
        <w:rPr/>
        <w:t>В России рак шейки матки (РШМ), эндометрия (РЭ) и яичников (РЯ) составляют 92-95% по отношению ко всем впервые выявленным больным гинекологическим раком [15].</w:t>
      </w:r>
    </w:p>
    <w:p>
      <w:pPr>
        <w:pStyle w:val="BodyText"/>
        <w:spacing w:line="333" w:lineRule="auto" w:before="204"/>
        <w:ind w:left="102" w:right="102" w:firstLine="628"/>
        <w:jc w:val="both"/>
      </w:pPr>
      <w:r>
        <w:rPr/>
        <w:t>Заболеваемость раком эндометрия в России за последние 30 лет увеличилась более чем в 4 раза (с 6,7</w:t>
      </w:r>
      <w:r>
        <w:rPr>
          <w:position w:val="13"/>
          <w:sz w:val="18"/>
        </w:rPr>
        <w:t>0</w:t>
      </w:r>
      <w:r>
        <w:rPr/>
        <w:t>/ </w:t>
      </w:r>
      <w:r>
        <w:rPr>
          <w:position w:val="-3"/>
          <w:sz w:val="18"/>
        </w:rPr>
        <w:t>0000 </w:t>
      </w:r>
      <w:r>
        <w:rPr/>
        <w:t>до 28,86</w:t>
      </w:r>
      <w:r>
        <w:rPr>
          <w:position w:val="13"/>
          <w:sz w:val="18"/>
        </w:rPr>
        <w:t>0</w:t>
      </w:r>
      <w:r>
        <w:rPr/>
        <w:t>/</w:t>
      </w:r>
      <w:r>
        <w:rPr>
          <w:position w:val="-3"/>
          <w:sz w:val="18"/>
        </w:rPr>
        <w:t>0000</w:t>
      </w:r>
      <w:r>
        <w:rPr/>
        <w:t>). С 19,1</w:t>
      </w:r>
      <w:r>
        <w:rPr>
          <w:position w:val="13"/>
          <w:sz w:val="18"/>
        </w:rPr>
        <w:t>0</w:t>
      </w:r>
      <w:r>
        <w:rPr/>
        <w:t>/</w:t>
      </w:r>
      <w:r>
        <w:rPr>
          <w:position w:val="-3"/>
          <w:sz w:val="18"/>
        </w:rPr>
        <w:t>0000 </w:t>
      </w:r>
      <w:r>
        <w:rPr/>
        <w:t>до 78,80</w:t>
      </w:r>
      <w:r>
        <w:rPr>
          <w:position w:val="13"/>
          <w:sz w:val="18"/>
        </w:rPr>
        <w:t>0</w:t>
      </w:r>
      <w:r>
        <w:rPr/>
        <w:t>/</w:t>
      </w:r>
      <w:r>
        <w:rPr>
          <w:position w:val="-3"/>
          <w:sz w:val="18"/>
        </w:rPr>
        <w:t>0000 </w:t>
      </w:r>
      <w:r>
        <w:rPr/>
        <w:t>увеличилась заболеваемость раком молочной железы (РМЖ). Стабильно высокой на протяжении последних лет остается заболеваемость раком яичников  (17,21</w:t>
      </w:r>
      <w:r>
        <w:rPr>
          <w:position w:val="13"/>
          <w:sz w:val="18"/>
        </w:rPr>
        <w:t>0</w:t>
      </w:r>
      <w:r>
        <w:rPr/>
        <w:t>/ </w:t>
      </w:r>
      <w:r>
        <w:rPr>
          <w:position w:val="-3"/>
          <w:sz w:val="18"/>
        </w:rPr>
        <w:t>0000</w:t>
      </w:r>
      <w:r>
        <w:rPr/>
        <w:t>) [40].</w:t>
      </w:r>
    </w:p>
    <w:p>
      <w:pPr>
        <w:pStyle w:val="BodyText"/>
        <w:spacing w:line="360" w:lineRule="auto" w:before="199"/>
        <w:ind w:left="102" w:right="100" w:firstLine="347"/>
        <w:jc w:val="both"/>
      </w:pPr>
      <w:r>
        <w:rPr/>
        <w:t>Наибольший удельный вес в структуре онкологической заболеваемости женщин имеют злокачественные новообразования  органов репродуктивной системы (37,3%), причем, опухоли гениталий составляют 17,3% от всех злокачественных новообразований у женщин. В женской популяционной группе 0 – 29 лет удельный вес в  структуре заболеваемости РШМ составляет – 11,8%; в группе до 30 лет – 6,5%; 30 – 59 лет – 9,1%.</w:t>
      </w:r>
    </w:p>
    <w:p>
      <w:pPr>
        <w:pStyle w:val="BodyText"/>
        <w:spacing w:line="355" w:lineRule="auto" w:before="207"/>
        <w:ind w:left="102" w:right="104" w:firstLine="417"/>
        <w:jc w:val="both"/>
      </w:pPr>
      <w:r>
        <w:rPr/>
        <w:t>Наметившаяся в начале 80-х годов тенденция к снижению выявления инвазивных форм РШМ, связанная с повсеместным внедрением в СССР цитологического скрининга была прервана в силу хорошо всем известных экономических и социальных причин. Сегодня мы вынуждены констатировать постепенный, но неуклонный рост заболеваемости раком шейки матки (до 20,02</w:t>
      </w:r>
      <w:r>
        <w:rPr>
          <w:position w:val="13"/>
          <w:sz w:val="18"/>
        </w:rPr>
        <w:t>0</w:t>
      </w:r>
      <w:r>
        <w:rPr/>
        <w:t>/ </w:t>
      </w:r>
      <w:r>
        <w:rPr>
          <w:position w:val="-3"/>
          <w:sz w:val="18"/>
        </w:rPr>
        <w:t>0000  </w:t>
      </w:r>
      <w:r>
        <w:rPr/>
        <w:t>в 2015 году).</w:t>
      </w:r>
    </w:p>
    <w:p>
      <w:pPr>
        <w:spacing w:after="0" w:line="355"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22" w:right="100" w:firstLine="719"/>
        <w:jc w:val="both"/>
      </w:pPr>
      <w:r>
        <w:rPr/>
        <w:t>Эта неутешительная тенденция подтверждается сводными данными, представленными А.Д.Каприным, В.В.Старинским, Г.В.Петровой в 2015 году о заболеваемости и смертности в России за период 2003 – 2014 годы. В соответствии с опубликованными материалами, в структуре онкологической заболеваемости женского населения нозологические формы распределились следующим образом: рак молочной железы -  20,9%, рак кожи – 14,3%, рак тела матки – 7,7%, желудка – 5,5%, ободочной кишки – 7,0%, шейки матки – 5,3%, яичников – 4,6%, прямой кишки – 4,7%, трахеи, бронхов, лёгкого – 3,8% [40]</w:t>
      </w:r>
      <w:r>
        <w:rPr>
          <w:spacing w:val="-21"/>
        </w:rPr>
        <w:t> </w:t>
      </w:r>
      <w:r>
        <w:rPr/>
        <w:t>(Рис.1.1).</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line="511" w:lineRule="auto" w:before="190"/>
        <w:ind w:left="1261" w:right="86" w:firstLine="6517"/>
      </w:pPr>
      <w:r>
        <w:rPr/>
        <w:t>Рисунок 1.1 Заболеваемость раком органов репродуктивной системы</w:t>
      </w:r>
    </w:p>
    <w:p>
      <w:pPr>
        <w:pStyle w:val="BodyText"/>
        <w:rPr>
          <w:sz w:val="20"/>
        </w:rPr>
      </w:pPr>
    </w:p>
    <w:p>
      <w:pPr>
        <w:pStyle w:val="BodyText"/>
        <w:rPr>
          <w:sz w:val="20"/>
        </w:rPr>
      </w:pPr>
    </w:p>
    <w:p>
      <w:pPr>
        <w:pStyle w:val="BodyText"/>
        <w:spacing w:before="1"/>
        <w:rPr>
          <w:sz w:val="20"/>
        </w:rPr>
      </w:pPr>
      <w:r>
        <w:rPr/>
        <w:pict>
          <v:group style="position:absolute;margin-left:84.675003pt;margin-top:13.5386pt;width:441.5pt;height:223.75pt;mso-position-horizontal-relative:page;mso-position-vertical-relative:paragraph;z-index:1120;mso-wrap-distance-left:0;mso-wrap-distance-right:0" coordorigin="1694,271" coordsize="8830,4475">
            <v:line style="position:absolute" from="2314,3769" to="7697,3769" stroked="true" strokeweight=".72pt" strokecolor="#858585">
              <v:stroke dashstyle="solid"/>
            </v:line>
            <v:line style="position:absolute" from="2314,3363" to="7697,3363" stroked="true" strokeweight=".72pt" strokecolor="#858585">
              <v:stroke dashstyle="solid"/>
            </v:line>
            <v:line style="position:absolute" from="2314,2958" to="7697,2958" stroked="true" strokeweight=".72pt" strokecolor="#858585">
              <v:stroke dashstyle="solid"/>
            </v:line>
            <v:line style="position:absolute" from="2314,2550" to="7697,2550" stroked="true" strokeweight=".72pt" strokecolor="#858585">
              <v:stroke dashstyle="solid"/>
            </v:line>
            <v:line style="position:absolute" from="2314,2144" to="7697,2144" stroked="true" strokeweight=".72pt" strokecolor="#858585">
              <v:stroke dashstyle="solid"/>
            </v:line>
            <v:line style="position:absolute" from="2314,1738" to="7697,1738" stroked="true" strokeweight=".72pt" strokecolor="#858585">
              <v:stroke dashstyle="solid"/>
            </v:line>
            <v:line style="position:absolute" from="2314,1333" to="7697,1333" stroked="true" strokeweight=".72pt" strokecolor="#858585">
              <v:stroke dashstyle="solid"/>
            </v:line>
            <v:line style="position:absolute" from="2314,927" to="7697,927" stroked="true" strokeweight=".72pt" strokecolor="#858585">
              <v:stroke dashstyle="solid"/>
            </v:line>
            <v:line style="position:absolute" from="2314,519" to="7697,519" stroked="true" strokeweight=".72pt" strokecolor="#858585">
              <v:stroke dashstyle="solid"/>
            </v:line>
            <v:line style="position:absolute" from="2314,4174" to="2314,519" stroked="true" strokeweight=".72pt" strokecolor="#858585">
              <v:stroke dashstyle="solid"/>
            </v:line>
            <v:line style="position:absolute" from="2239,4174" to="2314,4174" stroked="true" strokeweight=".72pt" strokecolor="#858585">
              <v:stroke dashstyle="solid"/>
            </v:line>
            <v:line style="position:absolute" from="2239,3769" to="2314,3769" stroked="true" strokeweight=".72pt" strokecolor="#858585">
              <v:stroke dashstyle="solid"/>
            </v:line>
            <v:line style="position:absolute" from="2239,3363" to="2314,3363" stroked="true" strokeweight=".72pt" strokecolor="#858585">
              <v:stroke dashstyle="solid"/>
            </v:line>
            <v:line style="position:absolute" from="2239,2958" to="2314,2958" stroked="true" strokeweight=".72pt" strokecolor="#858585">
              <v:stroke dashstyle="solid"/>
            </v:line>
            <v:line style="position:absolute" from="2239,2550" to="2314,2550" stroked="true" strokeweight=".72pt" strokecolor="#858585">
              <v:stroke dashstyle="solid"/>
            </v:line>
            <v:line style="position:absolute" from="2239,2144" to="2314,2144" stroked="true" strokeweight=".72pt" strokecolor="#858585">
              <v:stroke dashstyle="solid"/>
            </v:line>
            <v:line style="position:absolute" from="2239,1738" to="2314,1738" stroked="true" strokeweight=".72pt" strokecolor="#858585">
              <v:stroke dashstyle="solid"/>
            </v:line>
            <v:line style="position:absolute" from="2239,1333" to="2314,1333" stroked="true" strokeweight=".72pt" strokecolor="#858585">
              <v:stroke dashstyle="solid"/>
            </v:line>
            <v:line style="position:absolute" from="2239,927" to="2314,927" stroked="true" strokeweight=".72pt" strokecolor="#858585">
              <v:stroke dashstyle="solid"/>
            </v:line>
            <v:line style="position:absolute" from="2239,519" to="2314,519" stroked="true" strokeweight=".72pt" strokecolor="#858585">
              <v:stroke dashstyle="solid"/>
            </v:line>
            <v:line style="position:absolute" from="2314,4174" to="7697,4174" stroked="true" strokeweight=".72pt" strokecolor="#858585">
              <v:stroke dashstyle="solid"/>
            </v:line>
            <v:line style="position:absolute" from="2314,4174" to="2314,4251" stroked="true" strokeweight=".72pt" strokecolor="#858585">
              <v:stroke dashstyle="solid"/>
            </v:line>
            <v:line style="position:absolute" from="3660,4174" to="3660,4251" stroked="true" strokeweight=".72pt" strokecolor="#858585">
              <v:stroke dashstyle="solid"/>
            </v:line>
            <v:line style="position:absolute" from="5004,4174" to="5004,4251" stroked="true" strokeweight=".72pt" strokecolor="#858585">
              <v:stroke dashstyle="solid"/>
            </v:line>
            <v:line style="position:absolute" from="6350,4174" to="6350,4251" stroked="true" strokeweight=".72pt" strokecolor="#858585">
              <v:stroke dashstyle="solid"/>
            </v:line>
            <v:line style="position:absolute" from="7697,4174" to="7697,4251" stroked="true" strokeweight=".72pt" strokecolor="#858585">
              <v:stroke dashstyle="solid"/>
            </v:line>
            <v:shape style="position:absolute;left:2987;top:784;width:4037;height:1097" coordorigin="2987,784" coordsize="4037,1097" path="m2987,1881l4333,1231,5677,844,7024,784e" filled="false" stroked="true" strokeweight="3.72pt" strokecolor="#497dba">
              <v:path arrowok="t"/>
              <v:stroke dashstyle="solid"/>
            </v:shape>
            <v:shape style="position:absolute;left:2987;top:1291;width:4037;height:591" coordorigin="2987,1291" coordsize="4037,591" path="m2987,1881l4333,1860,5677,1576,7024,1291e" filled="false" stroked="true" strokeweight="3.72pt" strokecolor="#bd4a47">
              <v:path arrowok="t"/>
              <v:stroke dashstyle="solid"/>
            </v:shape>
            <v:shape style="position:absolute;left:2987;top:1963;width:4037;height:406" coordorigin="2987,1963" coordsize="4037,406" path="m2987,2368l4333,2246,5677,2227,7024,1963e" filled="false" stroked="true" strokeweight="3.72pt" strokecolor="#97b853">
              <v:path arrowok="t"/>
              <v:stroke dashstyle="solid"/>
            </v:shape>
            <v:line style="position:absolute" from="8008,2112" to="8392,2112" stroked="true" strokeweight="3.72pt" strokecolor="#497dba">
              <v:stroke dashstyle="solid"/>
            </v:line>
            <v:line style="position:absolute" from="8008,2510" to="8392,2510" stroked="true" strokeweight="3.72pt" strokecolor="#bd4a47">
              <v:stroke dashstyle="solid"/>
            </v:line>
            <v:line style="position:absolute" from="8008,2908" to="8392,2908" stroked="true" strokeweight="3.72pt" strokecolor="#97b853">
              <v:stroke dashstyle="solid"/>
            </v:line>
            <v:rect style="position:absolute;left:1701;top:278;width:8815;height:4460" filled="false" stroked="true" strokeweight=".75pt" strokecolor="#858585">
              <v:stroke dashstyle="solid"/>
            </v:rect>
            <v:shape style="position:absolute;left:1831;top:369;width:287;height:3938" type="#_x0000_t202" filled="false" stroked="false">
              <v:textbox inset="0,0,0,0">
                <w:txbxContent>
                  <w:p>
                    <w:pPr>
                      <w:spacing w:before="0"/>
                      <w:ind w:left="0" w:right="20" w:firstLine="0"/>
                      <w:jc w:val="center"/>
                      <w:rPr>
                        <w:rFonts w:ascii="Cambria"/>
                        <w:sz w:val="24"/>
                      </w:rPr>
                    </w:pPr>
                    <w:r>
                      <w:rPr>
                        <w:rFonts w:ascii="Cambria"/>
                        <w:sz w:val="24"/>
                      </w:rPr>
                      <w:t>18</w:t>
                    </w:r>
                  </w:p>
                  <w:p>
                    <w:pPr>
                      <w:spacing w:before="125"/>
                      <w:ind w:left="0" w:right="20" w:firstLine="0"/>
                      <w:jc w:val="center"/>
                      <w:rPr>
                        <w:rFonts w:ascii="Cambria"/>
                        <w:sz w:val="24"/>
                      </w:rPr>
                    </w:pPr>
                    <w:r>
                      <w:rPr>
                        <w:rFonts w:ascii="Cambria"/>
                        <w:sz w:val="24"/>
                      </w:rPr>
                      <w:t>16</w:t>
                    </w:r>
                  </w:p>
                  <w:p>
                    <w:pPr>
                      <w:spacing w:before="125"/>
                      <w:ind w:left="0" w:right="20" w:firstLine="0"/>
                      <w:jc w:val="center"/>
                      <w:rPr>
                        <w:rFonts w:ascii="Cambria"/>
                        <w:sz w:val="24"/>
                      </w:rPr>
                    </w:pPr>
                    <w:r>
                      <w:rPr>
                        <w:rFonts w:ascii="Cambria"/>
                        <w:sz w:val="24"/>
                      </w:rPr>
                      <w:t>14</w:t>
                    </w:r>
                  </w:p>
                  <w:p>
                    <w:pPr>
                      <w:spacing w:before="124"/>
                      <w:ind w:left="0" w:right="20" w:firstLine="0"/>
                      <w:jc w:val="center"/>
                      <w:rPr>
                        <w:rFonts w:ascii="Cambria"/>
                        <w:sz w:val="24"/>
                      </w:rPr>
                    </w:pPr>
                    <w:r>
                      <w:rPr>
                        <w:rFonts w:ascii="Cambria"/>
                        <w:sz w:val="24"/>
                      </w:rPr>
                      <w:t>12</w:t>
                    </w:r>
                  </w:p>
                  <w:p>
                    <w:pPr>
                      <w:spacing w:before="124"/>
                      <w:ind w:left="0" w:right="20" w:firstLine="0"/>
                      <w:jc w:val="center"/>
                      <w:rPr>
                        <w:rFonts w:ascii="Cambria"/>
                        <w:sz w:val="24"/>
                      </w:rPr>
                    </w:pPr>
                    <w:r>
                      <w:rPr>
                        <w:rFonts w:ascii="Cambria"/>
                        <w:sz w:val="24"/>
                      </w:rPr>
                      <w:t>10</w:t>
                    </w:r>
                  </w:p>
                  <w:p>
                    <w:pPr>
                      <w:spacing w:before="125"/>
                      <w:ind w:left="113" w:right="0" w:firstLine="0"/>
                      <w:jc w:val="center"/>
                      <w:rPr>
                        <w:rFonts w:ascii="Cambria"/>
                        <w:sz w:val="24"/>
                      </w:rPr>
                    </w:pPr>
                    <w:r>
                      <w:rPr>
                        <w:rFonts w:ascii="Cambria"/>
                        <w:sz w:val="24"/>
                      </w:rPr>
                      <w:t>8</w:t>
                    </w:r>
                  </w:p>
                  <w:p>
                    <w:pPr>
                      <w:spacing w:before="124"/>
                      <w:ind w:left="113" w:right="0" w:firstLine="0"/>
                      <w:jc w:val="center"/>
                      <w:rPr>
                        <w:rFonts w:ascii="Cambria"/>
                        <w:sz w:val="24"/>
                      </w:rPr>
                    </w:pPr>
                    <w:r>
                      <w:rPr>
                        <w:rFonts w:ascii="Cambria"/>
                        <w:sz w:val="24"/>
                      </w:rPr>
                      <w:t>6</w:t>
                    </w:r>
                  </w:p>
                  <w:p>
                    <w:pPr>
                      <w:spacing w:before="124"/>
                      <w:ind w:left="113" w:right="0" w:firstLine="0"/>
                      <w:jc w:val="center"/>
                      <w:rPr>
                        <w:rFonts w:ascii="Cambria"/>
                        <w:sz w:val="24"/>
                      </w:rPr>
                    </w:pPr>
                    <w:r>
                      <w:rPr>
                        <w:rFonts w:ascii="Cambria"/>
                        <w:sz w:val="24"/>
                      </w:rPr>
                      <w:t>4</w:t>
                    </w:r>
                  </w:p>
                  <w:p>
                    <w:pPr>
                      <w:spacing w:before="125"/>
                      <w:ind w:left="113" w:right="0" w:firstLine="0"/>
                      <w:jc w:val="center"/>
                      <w:rPr>
                        <w:rFonts w:ascii="Cambria"/>
                        <w:sz w:val="24"/>
                      </w:rPr>
                    </w:pPr>
                    <w:r>
                      <w:rPr>
                        <w:rFonts w:ascii="Cambria"/>
                        <w:sz w:val="24"/>
                      </w:rPr>
                      <w:t>2</w:t>
                    </w:r>
                  </w:p>
                  <w:p>
                    <w:pPr>
                      <w:spacing w:before="125"/>
                      <w:ind w:left="113" w:right="0" w:firstLine="0"/>
                      <w:jc w:val="center"/>
                      <w:rPr>
                        <w:rFonts w:ascii="Cambria"/>
                        <w:sz w:val="24"/>
                      </w:rPr>
                    </w:pPr>
                    <w:r>
                      <w:rPr>
                        <w:rFonts w:ascii="Cambria"/>
                        <w:sz w:val="24"/>
                      </w:rPr>
                      <w:t>0</w:t>
                    </w:r>
                  </w:p>
                </w:txbxContent>
              </v:textbox>
              <w10:wrap type="none"/>
            </v:shape>
            <v:shape style="position:absolute;left:8434;top:1960;width:1898;height:1079" type="#_x0000_t202" filled="false" stroked="false">
              <v:textbox inset="0,0,0,0">
                <w:txbxContent>
                  <w:p>
                    <w:pPr>
                      <w:spacing w:before="0"/>
                      <w:ind w:left="0" w:right="0" w:firstLine="0"/>
                      <w:jc w:val="left"/>
                      <w:rPr>
                        <w:rFonts w:ascii="Cambria" w:hAnsi="Cambria"/>
                        <w:sz w:val="24"/>
                      </w:rPr>
                    </w:pPr>
                    <w:r>
                      <w:rPr>
                        <w:rFonts w:ascii="Cambria" w:hAnsi="Cambria"/>
                        <w:sz w:val="24"/>
                      </w:rPr>
                      <w:t>рак тела матки</w:t>
                    </w:r>
                  </w:p>
                  <w:p>
                    <w:pPr>
                      <w:spacing w:line="400" w:lineRule="atLeast" w:before="0"/>
                      <w:ind w:left="0" w:right="-3" w:firstLine="0"/>
                      <w:jc w:val="left"/>
                      <w:rPr>
                        <w:rFonts w:ascii="Cambria" w:hAnsi="Cambria"/>
                        <w:sz w:val="24"/>
                      </w:rPr>
                    </w:pPr>
                    <w:r>
                      <w:rPr>
                        <w:rFonts w:ascii="Cambria" w:hAnsi="Cambria"/>
                        <w:sz w:val="24"/>
                      </w:rPr>
                      <w:t>рак шейки матки рак яичников</w:t>
                    </w:r>
                  </w:p>
                </w:txbxContent>
              </v:textbox>
              <w10:wrap type="none"/>
            </v:shape>
            <v:shape style="position:absolute;left:2722;top:4328;width:4585;height:282" type="#_x0000_t202" filled="false" stroked="false">
              <v:textbox inset="0,0,0,0">
                <w:txbxContent>
                  <w:p>
                    <w:pPr>
                      <w:tabs>
                        <w:tab w:pos="1345" w:val="left" w:leader="none"/>
                        <w:tab w:pos="2691" w:val="left" w:leader="none"/>
                        <w:tab w:pos="4036" w:val="left" w:leader="none"/>
                      </w:tabs>
                      <w:spacing w:before="0"/>
                      <w:ind w:left="0" w:right="0" w:firstLine="0"/>
                      <w:jc w:val="left"/>
                      <w:rPr>
                        <w:rFonts w:ascii="Cambria"/>
                        <w:sz w:val="24"/>
                      </w:rPr>
                    </w:pPr>
                    <w:r>
                      <w:rPr>
                        <w:rFonts w:ascii="Cambria"/>
                        <w:sz w:val="24"/>
                      </w:rPr>
                      <w:t>1987</w:t>
                      <w:tab/>
                      <w:t>1997</w:t>
                      <w:tab/>
                      <w:t>2007</w:t>
                      <w:tab/>
                      <w:t>2015</w:t>
                    </w:r>
                  </w:p>
                </w:txbxContent>
              </v:textbox>
              <w10:wrap type="none"/>
            </v:shape>
            <w10:wrap type="topAndBottom"/>
          </v:group>
        </w:pict>
      </w:r>
    </w:p>
    <w:p>
      <w:pPr>
        <w:spacing w:after="0"/>
        <w:rPr>
          <w:sz w:val="20"/>
        </w:rPr>
        <w:sectPr>
          <w:pgSz w:w="11900" w:h="16850"/>
          <w:pgMar w:header="712" w:footer="0" w:top="1020" w:bottom="280" w:left="1580" w:right="1020"/>
        </w:sectPr>
      </w:pPr>
    </w:p>
    <w:p>
      <w:pPr>
        <w:pStyle w:val="BodyText"/>
        <w:rPr>
          <w:sz w:val="20"/>
        </w:rPr>
      </w:pPr>
    </w:p>
    <w:p>
      <w:pPr>
        <w:pStyle w:val="BodyText"/>
        <w:rPr>
          <w:sz w:val="20"/>
        </w:rPr>
      </w:pPr>
    </w:p>
    <w:p>
      <w:pPr>
        <w:pStyle w:val="BodyText"/>
        <w:spacing w:line="360" w:lineRule="auto" w:before="224"/>
        <w:ind w:left="102" w:right="102" w:firstLine="719"/>
        <w:jc w:val="both"/>
      </w:pPr>
      <w:r>
        <w:rPr/>
        <w:t>В Санкт-Петербурге в 1970 г. число больных с впервые в жизни установленным диагнозом злокачественного новообразования составило 10574 чел., а к 2012 г. этот показатель увеличился до 18026 человек. Среднегодовой процент прироста заболеваемости в абсолютных числах за указанный период времени составил 2,6% [53].</w:t>
      </w:r>
    </w:p>
    <w:p>
      <w:pPr>
        <w:pStyle w:val="BodyText"/>
        <w:spacing w:line="360" w:lineRule="auto" w:before="204"/>
        <w:ind w:left="102" w:right="102" w:firstLine="719"/>
        <w:jc w:val="both"/>
      </w:pPr>
      <w:r>
        <w:rPr/>
        <w:t>Ежегодно в городе регистрируются более 1700 вновь выявленных случаев злокачественных опухолей органов женской репродуктивной системы. Онкогинекологическая заболеваемость составляет 15,8% в общей структуре заболеваемости женщин злокачественными новообразованиями в Санкт-Петербурге. Ведущее место в онкогинекологической заболеваемости занимают три опухоли: рак тела матки (40,9%), рак шейки матки (29,7%) и рак яичников (22,9%). Доля других злокачественных опухолей женских гениталий (рака вульвы, влагалища, маточной трубы, сарком) колеблется от 5 до 7%. В течение года регистрируются единичные случаи хорионкарциномы (от 3 до</w:t>
      </w:r>
      <w:r>
        <w:rPr>
          <w:spacing w:val="-14"/>
        </w:rPr>
        <w:t> </w:t>
      </w:r>
      <w:r>
        <w:rPr/>
        <w:t>7).</w:t>
      </w:r>
    </w:p>
    <w:p>
      <w:pPr>
        <w:pStyle w:val="BodyText"/>
        <w:spacing w:line="360" w:lineRule="auto" w:before="206"/>
        <w:ind w:left="102" w:right="102" w:firstLine="556"/>
        <w:jc w:val="both"/>
      </w:pPr>
      <w:r>
        <w:rPr/>
        <w:t>Злокачественные новообразования стабильно занимают второе место  в структуре смертности населения России (15,4%) после болезней системы кровообращения (53,5%). В </w:t>
      </w:r>
      <w:r>
        <w:rPr>
          <w:spacing w:val="-3"/>
        </w:rPr>
        <w:t>структуре </w:t>
      </w:r>
      <w:r>
        <w:rPr/>
        <w:t>смертности женщин наибольший </w:t>
      </w:r>
      <w:r>
        <w:rPr>
          <w:spacing w:val="-3"/>
        </w:rPr>
        <w:t>удельный </w:t>
      </w:r>
      <w:r>
        <w:rPr/>
        <w:t>вес имеют злокачественные новообразования </w:t>
      </w:r>
      <w:r>
        <w:rPr>
          <w:spacing w:val="-3"/>
        </w:rPr>
        <w:t>молочной </w:t>
      </w:r>
      <w:r>
        <w:rPr/>
        <w:t>железы (17,0%). Смертность от онкогинекологических заболеваний занимают 6-8 места (рак </w:t>
      </w:r>
      <w:r>
        <w:rPr>
          <w:spacing w:val="-3"/>
        </w:rPr>
        <w:t>яичников </w:t>
      </w:r>
      <w:r>
        <w:rPr/>
        <w:t>-5,7%, тела </w:t>
      </w:r>
      <w:r>
        <w:rPr>
          <w:spacing w:val="-3"/>
        </w:rPr>
        <w:t>матки </w:t>
      </w:r>
      <w:r>
        <w:rPr/>
        <w:t>-  4,9%,  шейки </w:t>
      </w:r>
      <w:r>
        <w:rPr>
          <w:spacing w:val="-3"/>
        </w:rPr>
        <w:t>матки </w:t>
      </w:r>
      <w:r>
        <w:rPr/>
        <w:t>-</w:t>
      </w:r>
      <w:r>
        <w:rPr>
          <w:spacing w:val="24"/>
        </w:rPr>
        <w:t> </w:t>
      </w:r>
      <w:r>
        <w:rPr/>
        <w:t>4,8%).</w:t>
      </w:r>
    </w:p>
    <w:p>
      <w:pPr>
        <w:pStyle w:val="BodyText"/>
        <w:spacing w:line="360" w:lineRule="auto" w:before="245"/>
        <w:ind w:left="102" w:right="99" w:firstLine="556"/>
        <w:jc w:val="both"/>
      </w:pPr>
      <w:r>
        <w:rPr/>
        <w:t>Как показали исследования Д.И.Каприна с соавторами, структура смертности от злокачественных новообразований существенно  различается в различных возрастных группах. Так, в возрасте до 30 лет смертность </w:t>
      </w:r>
      <w:r>
        <w:rPr>
          <w:spacing w:val="-3"/>
        </w:rPr>
        <w:t>от </w:t>
      </w:r>
      <w:r>
        <w:rPr/>
        <w:t>рака шейки </w:t>
      </w:r>
      <w:r>
        <w:rPr>
          <w:spacing w:val="-3"/>
        </w:rPr>
        <w:t>матки </w:t>
      </w:r>
      <w:r>
        <w:rPr/>
        <w:t>и </w:t>
      </w:r>
      <w:r>
        <w:rPr>
          <w:spacing w:val="-3"/>
        </w:rPr>
        <w:t>яичников </w:t>
      </w:r>
      <w:r>
        <w:rPr/>
        <w:t>занимает 6-7 место среди всех злокачественных новообразований (8,8 и 4,0% соответственно). В возрастной группе 30-39 лет основными причинами смерти у </w:t>
      </w:r>
      <w:r>
        <w:rPr>
          <w:spacing w:val="45"/>
        </w:rPr>
        <w:t> </w:t>
      </w:r>
      <w:r>
        <w:rPr/>
        <w:t>женщин</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62"/>
        <w:ind w:left="102" w:right="98"/>
        <w:jc w:val="both"/>
      </w:pPr>
      <w:r>
        <w:rPr/>
        <w:t>оказались рак шейки матки (24,4%), молочной железы (17,3%), лимфатической и кроветворной ткани (9,9%), желудка (6,7%). </w:t>
      </w:r>
      <w:r>
        <w:rPr>
          <w:spacing w:val="-3"/>
        </w:rPr>
        <w:t>Начиная </w:t>
      </w:r>
      <w:r>
        <w:rPr/>
        <w:t>с 40-летнего возраста основной причиной </w:t>
      </w:r>
      <w:r>
        <w:rPr>
          <w:spacing w:val="-4"/>
        </w:rPr>
        <w:t>женской</w:t>
      </w:r>
      <w:r>
        <w:rPr>
          <w:spacing w:val="62"/>
        </w:rPr>
        <w:t> </w:t>
      </w:r>
      <w:r>
        <w:rPr/>
        <w:t>смертности от злокачественных новообразований становятся опухоли органов репродуктивной системы: молочной железы (22,6%), шейки матки (14,8%) и яичников (8,6%) [40].</w:t>
      </w:r>
    </w:p>
    <w:p>
      <w:pPr>
        <w:pStyle w:val="BodyText"/>
        <w:rPr>
          <w:sz w:val="30"/>
        </w:rPr>
      </w:pPr>
    </w:p>
    <w:p>
      <w:pPr>
        <w:pStyle w:val="BodyText"/>
        <w:rPr>
          <w:sz w:val="30"/>
        </w:rPr>
      </w:pPr>
    </w:p>
    <w:p>
      <w:pPr>
        <w:pStyle w:val="BodyText"/>
        <w:spacing w:before="237"/>
        <w:ind w:left="722" w:right="4"/>
        <w:jc w:val="center"/>
      </w:pPr>
      <w:r>
        <w:rPr/>
        <w:t>Рак эндометрия</w:t>
      </w:r>
    </w:p>
    <w:p>
      <w:pPr>
        <w:pStyle w:val="BodyText"/>
        <w:spacing w:before="5"/>
        <w:rPr>
          <w:sz w:val="31"/>
        </w:rPr>
      </w:pPr>
    </w:p>
    <w:p>
      <w:pPr>
        <w:pStyle w:val="BodyText"/>
        <w:spacing w:line="355" w:lineRule="auto"/>
        <w:ind w:left="102" w:right="101" w:firstLine="719"/>
        <w:jc w:val="both"/>
      </w:pPr>
      <w:r>
        <w:rPr/>
        <w:t>С 1980 по 2015 годы заболеваемость раком тела матки возросла более чем в три раза (с 8,1 до 28,8</w:t>
      </w:r>
      <w:r>
        <w:rPr>
          <w:position w:val="13"/>
          <w:sz w:val="18"/>
        </w:rPr>
        <w:t>0</w:t>
      </w:r>
      <w:r>
        <w:rPr/>
        <w:t>/</w:t>
      </w:r>
      <w:r>
        <w:rPr>
          <w:position w:val="-3"/>
          <w:sz w:val="18"/>
        </w:rPr>
        <w:t>0000 </w:t>
      </w:r>
      <w:r>
        <w:rPr/>
        <w:t>- стандартизованные показатели). Динамика заболеваемости раком тела матки отражает общую тенденцию роста заболеваемости гормонозависимыми опухолями (раком молочной железы, раком тела матки) у женщин развитых стран. Рост заболеваемости отмечается во всех возрастных группах, кроме возраста до 30 лет. Средний возраст больных – 60 лет. Наиболее значительный рост заболеваемости зарегистрирован в группе старше 70</w:t>
      </w:r>
      <w:r>
        <w:rPr>
          <w:spacing w:val="-15"/>
        </w:rPr>
        <w:t> </w:t>
      </w:r>
      <w:r>
        <w:rPr/>
        <w:t>лет.</w:t>
      </w:r>
    </w:p>
    <w:p>
      <w:pPr>
        <w:pStyle w:val="BodyText"/>
        <w:spacing w:line="360" w:lineRule="auto" w:before="11"/>
        <w:ind w:left="102" w:right="99" w:firstLine="837"/>
        <w:jc w:val="both"/>
      </w:pPr>
      <w:r>
        <w:rPr/>
        <w:t>Начальные формы опухоли составляют более 70% случаев, благодаря наличию специфических симптомов заболевания (маточные кровотечения в пре- и постменопаузе ), особенностям опухолевого процесса (относительно медленное развитие заболевания при I патогенетическом варианте), а также возможностям современных методов диагностики (эхографии, гистероскопии с прицельной биопсией). Однако, в течение последних лет отмечается некоторое снижение доли локализованных форм рака тела матки с 78,5% в 1986г. до 73,4% в 2011г. У каждой четвертой больной к моменту выявления опухоли имеются регионарные или отдаленные</w:t>
      </w:r>
      <w:r>
        <w:rPr>
          <w:spacing w:val="-13"/>
        </w:rPr>
        <w:t> </w:t>
      </w:r>
      <w:r>
        <w:rPr/>
        <w:t>метастазы.</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5" w:firstLine="208"/>
        <w:jc w:val="both"/>
      </w:pPr>
      <w:r>
        <w:rPr/>
        <w:t>5-летняя выживаемость больных РТМ для всех стадий составляет около 80%. Снижение выживаемости происходит, в основном, за счет автономных форм рака эндометрия, отличающихся длительным бессимптомным течением и высокими потенциями к инвазивному росту и метастазированию. Именно эта группа опухолей, на наш взгляд, нуждается в дальнейшем углубленном изучении. Преобладание начальных стадий заболевания и относительно благоприятный прогноз позволяют искать пути применения щадящих и в некоторых случаях даже органосохраняющих методов лечения</w:t>
      </w:r>
      <w:r>
        <w:rPr>
          <w:spacing w:val="-18"/>
        </w:rPr>
        <w:t> </w:t>
      </w:r>
      <w:r>
        <w:rPr/>
        <w:t>[221].</w:t>
      </w:r>
    </w:p>
    <w:p>
      <w:pPr>
        <w:pStyle w:val="BodyText"/>
        <w:rPr>
          <w:sz w:val="30"/>
        </w:rPr>
      </w:pPr>
    </w:p>
    <w:p>
      <w:pPr>
        <w:pStyle w:val="BodyText"/>
        <w:rPr>
          <w:sz w:val="30"/>
        </w:rPr>
      </w:pPr>
    </w:p>
    <w:p>
      <w:pPr>
        <w:pStyle w:val="BodyText"/>
        <w:spacing w:before="198"/>
        <w:ind w:left="379" w:right="380"/>
        <w:jc w:val="center"/>
      </w:pPr>
      <w:r>
        <w:rPr/>
        <w:t>Рак шейки матки</w:t>
      </w:r>
    </w:p>
    <w:p>
      <w:pPr>
        <w:pStyle w:val="BodyText"/>
        <w:spacing w:before="2"/>
        <w:rPr>
          <w:sz w:val="31"/>
        </w:rPr>
      </w:pPr>
    </w:p>
    <w:p>
      <w:pPr>
        <w:pStyle w:val="BodyText"/>
        <w:spacing w:line="360" w:lineRule="auto"/>
        <w:ind w:left="102" w:right="99" w:firstLine="278"/>
        <w:jc w:val="both"/>
      </w:pPr>
      <w:r>
        <w:rPr/>
        <w:t>Как уже упоминалось, надежды на массовый скрининг рака шейки матки, который должен был привести к снижению заболеваемости не оправдались. На сегодняшний день он занимает </w:t>
      </w:r>
      <w:r>
        <w:rPr>
          <w:spacing w:val="2"/>
        </w:rPr>
        <w:t>7-е </w:t>
      </w:r>
      <w:r>
        <w:rPr/>
        <w:t>место среди всех злокачественных опухолей и 2-е место (9,8%) среди злокачественных новообразований у женщин [60, 90]. По данным МАИР 78% рака шейки матки встречается в развивающихся странах (преимущественно в странах Латинской Америки и Карибского бассейна, Восточной и Южной Африки, Южной и Юго-Восточной Азии) и составляют 15% от всех злокачественных новообразований у женщин, являясь второй наиболее частой причиной смерти. В развитых же странах фиксируется лишь 4,4% новых случаев рака шейки матки. В Европе и Северной Америке стандартизированные  показатели  заболеваемости  РШМ  менее  14   на 100 000 женского населения, В Финляндии – 4,2, в Сирии – 3, в Китае –  5,2, в России – 11,1. В Санкт-Петербурге ежегодно регистрируется около 400 новых случаев рака шейки матки. Заболеваемость раком шейки матки за период с 2000 по 2014 годы в возрастной группе 0 -29 лет выросла</w:t>
      </w:r>
      <w:r>
        <w:rPr>
          <w:spacing w:val="-24"/>
        </w:rPr>
        <w:t> </w:t>
      </w:r>
      <w:r>
        <w:rPr/>
        <w:t>на</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22"/>
        <w:jc w:val="both"/>
      </w:pPr>
      <w:r>
        <w:rPr/>
        <w:t>16,1%, в группе от 30 до 59 лет – на 24,6% [53]. Схожие тенденции отмечены и в ряде других стран [282].</w:t>
      </w:r>
    </w:p>
    <w:p>
      <w:pPr>
        <w:pStyle w:val="BodyText"/>
        <w:spacing w:line="360" w:lineRule="auto" w:before="207"/>
        <w:ind w:left="102" w:right="116" w:firstLine="67"/>
        <w:jc w:val="both"/>
      </w:pPr>
      <w:r>
        <w:rPr/>
        <w:t>В проблеме заболеваемости раком шейки матки наблюдается постепенный рост показателей запущенности. Удельный вес III-IV стадии рака шейки матки в 1990 г. составил 34,2%, в 1992 – 37,1, в 1995 – 38,8% [74]. В 2011г.</w:t>
      </w:r>
    </w:p>
    <w:p>
      <w:pPr>
        <w:pStyle w:val="BodyText"/>
        <w:spacing w:line="360" w:lineRule="auto" w:before="207"/>
        <w:ind w:left="102" w:right="116"/>
        <w:jc w:val="both"/>
      </w:pPr>
      <w:r>
        <w:rPr/>
        <w:t>на долю местно-распространенных форм рака шейки матки пришлось уже больше половины всех впервые выявленных случаев заболевания [51, 129].</w:t>
      </w:r>
    </w:p>
    <w:p>
      <w:pPr>
        <w:pStyle w:val="BodyText"/>
        <w:spacing w:line="360" w:lineRule="auto" w:before="204"/>
        <w:ind w:left="102" w:right="118" w:firstLine="508"/>
        <w:jc w:val="both"/>
      </w:pPr>
      <w:r>
        <w:rPr/>
        <w:t>У </w:t>
      </w:r>
      <w:r>
        <w:rPr>
          <w:spacing w:val="-3"/>
        </w:rPr>
        <w:t>70% </w:t>
      </w:r>
      <w:r>
        <w:rPr>
          <w:spacing w:val="-4"/>
        </w:rPr>
        <w:t>больных</w:t>
      </w:r>
      <w:r>
        <w:rPr>
          <w:spacing w:val="62"/>
        </w:rPr>
        <w:t> </w:t>
      </w:r>
      <w:r>
        <w:rPr/>
        <w:t>с </w:t>
      </w:r>
      <w:r>
        <w:rPr>
          <w:spacing w:val="-3"/>
        </w:rPr>
        <w:t>III </w:t>
      </w:r>
      <w:r>
        <w:rPr>
          <w:spacing w:val="-4"/>
        </w:rPr>
        <w:t>стадией,</w:t>
      </w:r>
      <w:r>
        <w:rPr>
          <w:spacing w:val="62"/>
        </w:rPr>
        <w:t> </w:t>
      </w:r>
      <w:r>
        <w:rPr/>
        <w:t>у </w:t>
      </w:r>
      <w:r>
        <w:rPr>
          <w:spacing w:val="-3"/>
        </w:rPr>
        <w:t>45% со </w:t>
      </w:r>
      <w:r>
        <w:rPr>
          <w:spacing w:val="-4"/>
        </w:rPr>
        <w:t>II,</w:t>
      </w:r>
      <w:r>
        <w:rPr>
          <w:spacing w:val="62"/>
        </w:rPr>
        <w:t> </w:t>
      </w:r>
      <w:r>
        <w:rPr/>
        <w:t>у </w:t>
      </w:r>
      <w:r>
        <w:rPr>
          <w:spacing w:val="-2"/>
        </w:rPr>
        <w:t>24% </w:t>
      </w:r>
      <w:r>
        <w:rPr/>
        <w:t>с I </w:t>
      </w:r>
      <w:r>
        <w:rPr>
          <w:spacing w:val="-5"/>
        </w:rPr>
        <w:t>стадией регистрируется прогрессирование опухолевого </w:t>
      </w:r>
      <w:r>
        <w:rPr>
          <w:spacing w:val="-4"/>
        </w:rPr>
        <w:t>процесса </w:t>
      </w:r>
      <w:r>
        <w:rPr/>
        <w:t>в </w:t>
      </w:r>
      <w:r>
        <w:rPr>
          <w:spacing w:val="-4"/>
        </w:rPr>
        <w:t>первые </w:t>
      </w:r>
      <w:r>
        <w:rPr/>
        <w:t>5 </w:t>
      </w:r>
      <w:r>
        <w:rPr>
          <w:spacing w:val="-4"/>
        </w:rPr>
        <w:t>лет после </w:t>
      </w:r>
      <w:r>
        <w:rPr>
          <w:spacing w:val="-5"/>
        </w:rPr>
        <w:t>радикального </w:t>
      </w:r>
      <w:r>
        <w:rPr>
          <w:spacing w:val="-4"/>
        </w:rPr>
        <w:t>лечения </w:t>
      </w:r>
      <w:r>
        <w:rPr/>
        <w:t>[23]. </w:t>
      </w:r>
      <w:r>
        <w:rPr>
          <w:spacing w:val="-3"/>
        </w:rPr>
        <w:t>По </w:t>
      </w:r>
      <w:r>
        <w:rPr>
          <w:spacing w:val="-4"/>
        </w:rPr>
        <w:t>данным</w:t>
      </w:r>
      <w:r>
        <w:rPr>
          <w:spacing w:val="62"/>
        </w:rPr>
        <w:t> </w:t>
      </w:r>
      <w:r>
        <w:rPr>
          <w:spacing w:val="-5"/>
        </w:rPr>
        <w:t>Международной  Федерации акушеров </w:t>
      </w:r>
      <w:r>
        <w:rPr/>
        <w:t>и </w:t>
      </w:r>
      <w:r>
        <w:rPr>
          <w:spacing w:val="-4"/>
        </w:rPr>
        <w:t>гинекологов более </w:t>
      </w:r>
      <w:r>
        <w:rPr>
          <w:spacing w:val="-3"/>
        </w:rPr>
        <w:t>25% </w:t>
      </w:r>
      <w:r>
        <w:rPr>
          <w:spacing w:val="-4"/>
        </w:rPr>
        <w:t>женщин </w:t>
      </w:r>
      <w:r>
        <w:rPr>
          <w:spacing w:val="-5"/>
        </w:rPr>
        <w:t>умирают </w:t>
      </w:r>
      <w:r>
        <w:rPr/>
        <w:t>от </w:t>
      </w:r>
      <w:r>
        <w:rPr>
          <w:spacing w:val="-5"/>
        </w:rPr>
        <w:t>прогрессирования заболевания </w:t>
      </w:r>
      <w:r>
        <w:rPr/>
        <w:t>на </w:t>
      </w:r>
      <w:r>
        <w:rPr>
          <w:spacing w:val="-4"/>
        </w:rPr>
        <w:t>первом </w:t>
      </w:r>
      <w:r>
        <w:rPr>
          <w:spacing w:val="-3"/>
        </w:rPr>
        <w:t>году </w:t>
      </w:r>
      <w:r>
        <w:rPr>
          <w:spacing w:val="-4"/>
        </w:rPr>
        <w:t>после лечения, что связано </w:t>
      </w:r>
      <w:r>
        <w:rPr/>
        <w:t>с </w:t>
      </w:r>
      <w:r>
        <w:rPr>
          <w:spacing w:val="-5"/>
        </w:rPr>
        <w:t>неизлеченностью </w:t>
      </w:r>
      <w:r>
        <w:rPr>
          <w:spacing w:val="-4"/>
        </w:rPr>
        <w:t>первичной </w:t>
      </w:r>
      <w:r>
        <w:rPr>
          <w:spacing w:val="-5"/>
        </w:rPr>
        <w:t>опухоли </w:t>
      </w:r>
      <w:r>
        <w:rPr/>
        <w:t>и </w:t>
      </w:r>
      <w:r>
        <w:rPr>
          <w:spacing w:val="-5"/>
        </w:rPr>
        <w:t>проявлением </w:t>
      </w:r>
      <w:r>
        <w:rPr>
          <w:spacing w:val="-4"/>
        </w:rPr>
        <w:t>регионарных </w:t>
      </w:r>
      <w:r>
        <w:rPr/>
        <w:t>и </w:t>
      </w:r>
      <w:r>
        <w:rPr>
          <w:spacing w:val="-5"/>
        </w:rPr>
        <w:t>отдаленных метастазов </w:t>
      </w:r>
      <w:r>
        <w:rPr/>
        <w:t>[35, 200]. </w:t>
      </w:r>
      <w:r>
        <w:rPr>
          <w:spacing w:val="-5"/>
        </w:rPr>
        <w:t>Рецидивы </w:t>
      </w:r>
      <w:r>
        <w:rPr/>
        <w:t>в </w:t>
      </w:r>
      <w:r>
        <w:rPr>
          <w:spacing w:val="-4"/>
        </w:rPr>
        <w:t>зоне </w:t>
      </w:r>
      <w:r>
        <w:rPr>
          <w:spacing w:val="-5"/>
        </w:rPr>
        <w:t>облучения возникают </w:t>
      </w:r>
      <w:r>
        <w:rPr/>
        <w:t>у </w:t>
      </w:r>
      <w:r>
        <w:rPr>
          <w:spacing w:val="-4"/>
        </w:rPr>
        <w:t>10-40%, </w:t>
      </w:r>
      <w:r>
        <w:rPr>
          <w:spacing w:val="-5"/>
        </w:rPr>
        <w:t>отдаленные метастазы </w:t>
      </w:r>
      <w:r>
        <w:rPr/>
        <w:t>у </w:t>
      </w:r>
      <w:r>
        <w:rPr>
          <w:spacing w:val="-3"/>
        </w:rPr>
        <w:t>35%    </w:t>
      </w:r>
      <w:r>
        <w:rPr>
          <w:spacing w:val="-4"/>
        </w:rPr>
        <w:t>больных </w:t>
      </w:r>
      <w:r>
        <w:rPr/>
        <w:t>[22,</w:t>
      </w:r>
      <w:r>
        <w:rPr>
          <w:spacing w:val="-16"/>
        </w:rPr>
        <w:t> </w:t>
      </w:r>
      <w:r>
        <w:rPr/>
        <w:t>33].</w:t>
      </w:r>
    </w:p>
    <w:p>
      <w:pPr>
        <w:pStyle w:val="BodyText"/>
        <w:spacing w:line="360" w:lineRule="auto" w:before="206"/>
        <w:ind w:left="102" w:right="120"/>
        <w:jc w:val="both"/>
      </w:pPr>
      <w:r>
        <w:rPr/>
        <w:t>Современный прогноз Всемирной Организации Здравоохранения дальнейшего развития ситуации в отношении злокачественных опухолей шейки матки разительно отличается от прогнозов  90-х  годов:  при условии непринятия неотложных мер  в  течение  ближайших  10  лет  число женщин, ежегодно умирающих от РШМ увеличится на 25%</w:t>
      </w:r>
      <w:r>
        <w:rPr>
          <w:spacing w:val="-12"/>
        </w:rPr>
        <w:t> </w:t>
      </w:r>
      <w:r>
        <w:rPr/>
        <w:t>[32].</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92"/>
        <w:ind w:left="223" w:right="240"/>
        <w:jc w:val="center"/>
      </w:pPr>
      <w:r>
        <w:rPr/>
        <w:t>Рак яичников</w:t>
      </w:r>
    </w:p>
    <w:p>
      <w:pPr>
        <w:pStyle w:val="BodyText"/>
        <w:spacing w:before="5"/>
        <w:rPr>
          <w:sz w:val="31"/>
        </w:rPr>
      </w:pPr>
    </w:p>
    <w:p>
      <w:pPr>
        <w:pStyle w:val="BodyText"/>
        <w:spacing w:line="360" w:lineRule="auto"/>
        <w:ind w:left="102" w:firstLine="278"/>
      </w:pPr>
      <w:r>
        <w:rPr/>
        <w:t>Рак яичников является третьей по частоте опухолью органов женской репродуктивной системы.  В то же время, смертность от этого заболевания</w:t>
      </w:r>
    </w:p>
    <w:p>
      <w:pPr>
        <w:spacing w:after="0" w:line="360" w:lineRule="auto"/>
        <w:sectPr>
          <w:pgSz w:w="11900" w:h="16850"/>
          <w:pgMar w:header="712" w:footer="0" w:top="1020" w:bottom="280" w:left="1600" w:right="1000"/>
        </w:sectPr>
      </w:pPr>
    </w:p>
    <w:p>
      <w:pPr>
        <w:pStyle w:val="BodyText"/>
        <w:rPr>
          <w:sz w:val="20"/>
        </w:rPr>
      </w:pPr>
    </w:p>
    <w:p>
      <w:pPr>
        <w:pStyle w:val="BodyText"/>
        <w:rPr>
          <w:sz w:val="20"/>
        </w:rPr>
      </w:pPr>
    </w:p>
    <w:p>
      <w:pPr>
        <w:pStyle w:val="BodyText"/>
        <w:spacing w:line="355" w:lineRule="auto" w:before="224"/>
        <w:ind w:left="102" w:right="101"/>
        <w:jc w:val="both"/>
      </w:pPr>
      <w:r>
        <w:rPr/>
        <w:t>превышает смертность от рака шейки матки и эндометрия вместе взятых. Так, по данным Всемирной Организации Здравоохранения, в 2013 году в мире зарегистрировано 238719 новых случаев заболевания раком  яичников. Больше половины этих больных умерли в течение первого года наблюдения (151905) [138]. Схожая ситуация с заболеваемостью и смертностью от рака яичников наблюдается и в Российской Федерации: 13373 заболевших (22,60</w:t>
      </w:r>
      <w:r>
        <w:rPr>
          <w:position w:val="13"/>
          <w:sz w:val="18"/>
        </w:rPr>
        <w:t>0</w:t>
      </w:r>
      <w:r>
        <w:rPr/>
        <w:t>/</w:t>
      </w:r>
      <w:r>
        <w:rPr>
          <w:position w:val="-3"/>
          <w:sz w:val="18"/>
        </w:rPr>
        <w:t>0000</w:t>
      </w:r>
      <w:r>
        <w:rPr/>
        <w:t>) и 7971(60%) умерших в 2013 году. </w:t>
      </w:r>
      <w:r>
        <w:rPr>
          <w:spacing w:val="-3"/>
        </w:rPr>
        <w:t>Прирост </w:t>
      </w:r>
      <w:r>
        <w:rPr/>
        <w:t>заболеваемости раком яичников за последние 10 лет составил 13,2%</w:t>
      </w:r>
      <w:r>
        <w:rPr>
          <w:spacing w:val="-21"/>
        </w:rPr>
        <w:t> </w:t>
      </w:r>
      <w:r>
        <w:rPr/>
        <w:t>[51].</w:t>
      </w:r>
    </w:p>
    <w:p>
      <w:pPr>
        <w:pStyle w:val="BodyText"/>
        <w:spacing w:line="360" w:lineRule="auto" w:before="213"/>
        <w:ind w:left="102" w:right="102"/>
        <w:jc w:val="both"/>
      </w:pPr>
      <w:r>
        <w:rPr/>
        <w:t>Ввиду крайне агрессивного течения рака яичников, обнаружение начальных форм остаётся скорее исключением, чем правилом. По данным большинства авторов III – IV стадия заболевания устанавливается приблизительно у 60 – 70 % больных [15, 40, 54].</w:t>
      </w:r>
    </w:p>
    <w:p>
      <w:pPr>
        <w:pStyle w:val="BodyText"/>
        <w:spacing w:line="360" w:lineRule="auto" w:before="204"/>
        <w:ind w:left="102" w:right="99" w:firstLine="707"/>
        <w:jc w:val="both"/>
      </w:pPr>
      <w:r>
        <w:rPr/>
        <w:t>Рак яичников в структуре причин смертности от злокачественных новообразований занимает одно из ведущих мест [37, 121]. Летальность больных раком яичников на первом году после установления диагноза составляет 35%. По сводным данным популяционных раковых регистров стран Европы, 1-летняя выживаемость больных раком яичников составляет 63%, 3-летняя – 41%, 5-летняя – 35% [211]. За последние десятилетия отмеченное в Европе увеличение 5-летней выживаемости больных злокачественными опухолями яичников на 3% (с 32 до 35%), а в США – на 4% (с 35 до 39%) объясняется не столько улучшением диагностики, сколько эффективным применением платиновой химиотерапии в лечении диссеминированных форм рака яичников и герминогенных опухолей [121, 158, 223, 252]. Снижение заболеваемости и смертности от рака яичников считается одним из приоритетных направлений клинических исследований в</w:t>
      </w:r>
      <w:r>
        <w:rPr>
          <w:spacing w:val="-9"/>
        </w:rPr>
        <w:t> </w:t>
      </w:r>
      <w:r>
        <w:rPr/>
        <w:t>онкогинекологии.</w:t>
      </w:r>
    </w:p>
    <w:p>
      <w:pPr>
        <w:spacing w:after="0" w:line="360" w:lineRule="auto"/>
        <w:jc w:val="both"/>
        <w:sectPr>
          <w:pgSz w:w="11900" w:h="16850"/>
          <w:pgMar w:header="712" w:footer="0" w:top="1020" w:bottom="280" w:left="1600" w:right="1020"/>
        </w:sectPr>
      </w:pPr>
    </w:p>
    <w:p>
      <w:pPr>
        <w:pStyle w:val="BodyText"/>
        <w:rPr>
          <w:sz w:val="20"/>
        </w:rPr>
      </w:pPr>
    </w:p>
    <w:p>
      <w:pPr>
        <w:pStyle w:val="Heading1"/>
        <w:numPr>
          <w:ilvl w:val="1"/>
          <w:numId w:val="7"/>
        </w:numPr>
        <w:tabs>
          <w:tab w:pos="1574" w:val="left" w:leader="none"/>
        </w:tabs>
        <w:spacing w:line="240" w:lineRule="auto" w:before="257" w:after="0"/>
        <w:ind w:left="1573" w:right="0" w:hanging="492"/>
        <w:jc w:val="left"/>
      </w:pPr>
      <w:r>
        <w:rPr/>
        <w:t>Современные методы диагностики в</w:t>
      </w:r>
      <w:r>
        <w:rPr>
          <w:spacing w:val="-16"/>
        </w:rPr>
        <w:t> </w:t>
      </w:r>
      <w:r>
        <w:rPr/>
        <w:t>онкогинекологии</w:t>
      </w:r>
    </w:p>
    <w:p>
      <w:pPr>
        <w:pStyle w:val="BodyText"/>
        <w:rPr>
          <w:b/>
          <w:sz w:val="30"/>
        </w:rPr>
      </w:pPr>
    </w:p>
    <w:p>
      <w:pPr>
        <w:pStyle w:val="BodyText"/>
        <w:spacing w:before="7"/>
        <w:rPr>
          <w:b/>
          <w:sz w:val="25"/>
        </w:rPr>
      </w:pPr>
    </w:p>
    <w:p>
      <w:pPr>
        <w:pStyle w:val="BodyText"/>
        <w:tabs>
          <w:tab w:pos="6734" w:val="left" w:leader="none"/>
        </w:tabs>
        <w:spacing w:line="360" w:lineRule="auto" w:before="1"/>
        <w:ind w:left="102" w:right="100" w:firstLine="417"/>
        <w:jc w:val="both"/>
      </w:pPr>
      <w:r>
        <w:rPr/>
        <w:t>В задачи нашего исследования входило изучение информативности современных     методов    </w:t>
      </w:r>
      <w:r>
        <w:rPr>
          <w:spacing w:val="41"/>
        </w:rPr>
        <w:t> </w:t>
      </w:r>
      <w:r>
        <w:rPr/>
        <w:t>уточнения    </w:t>
      </w:r>
      <w:r>
        <w:rPr>
          <w:spacing w:val="19"/>
        </w:rPr>
        <w:t> </w:t>
      </w:r>
      <w:r>
        <w:rPr/>
        <w:t>степени</w:t>
        <w:tab/>
      </w:r>
      <w:r>
        <w:rPr>
          <w:spacing w:val="-1"/>
        </w:rPr>
        <w:t>распространенности </w:t>
      </w:r>
      <w:r>
        <w:rPr/>
        <w:t>опухолевого процесса при различной онкогинекологической патологии. В связи с этим в обзоре литературы мы не стали подробно останавливаться  на стандартных методах обследования, а уделили внимание современным способам так называемой «уточняющей</w:t>
      </w:r>
      <w:r>
        <w:rPr>
          <w:spacing w:val="-15"/>
        </w:rPr>
        <w:t> </w:t>
      </w:r>
      <w:r>
        <w:rPr/>
        <w:t>диагностики».</w:t>
      </w:r>
    </w:p>
    <w:p>
      <w:pPr>
        <w:pStyle w:val="BodyText"/>
        <w:spacing w:line="360" w:lineRule="auto" w:before="207"/>
        <w:ind w:left="102" w:right="98" w:firstLine="278"/>
        <w:jc w:val="both"/>
      </w:pPr>
      <w:r>
        <w:rPr/>
        <w:t>Методы лучевой диагностики, применяемые с целью клинического стадирования рака органов репродуктивной системы с течением времени претерпели значительное технологическое развитие. Сегодня сложно уже представить врача, устанавливающего диагноз и показания к операции на основании только ректо-вагинального исследования. В арсенале современной медицины имеются современное высокотехнологичное оборудование, которое продолжает совершенствоваться и модернизироваться. Во всех крупных клиниках сегодня доступны не только рентгенологические и ультразвуковые (УЗИ) методы диагностики, но также и компьютерная томография (КТ), ядерно-магнитно-резонансное исследование (МРТ). При необходимости возможно выполнение ПЭТ-КТ, ОФЭКТ и целого ряда других</w:t>
      </w:r>
      <w:r>
        <w:rPr>
          <w:spacing w:val="-13"/>
        </w:rPr>
        <w:t> </w:t>
      </w:r>
      <w:r>
        <w:rPr/>
        <w:t>исследований.</w:t>
      </w:r>
    </w:p>
    <w:p>
      <w:pPr>
        <w:pStyle w:val="BodyText"/>
        <w:spacing w:line="360" w:lineRule="auto" w:before="207"/>
        <w:ind w:left="102" w:right="102" w:firstLine="208"/>
        <w:jc w:val="both"/>
      </w:pPr>
      <w:r>
        <w:rPr/>
        <w:t>В этом разделе обзора литературы мы коротко остановимся на возможностях УЗИ и МРТ исследований, доступных в большинстве онкологических учреждений страны. Широкое применение указанных методик в обследовании онкологических больных и включение их в перечень обязательных диагностических процедур позволило проанализировать значительный опыт их использования и в итоге попытаться оценить их возможности в различных клинических ситуациях.</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26"/>
        <w:jc w:val="both"/>
      </w:pPr>
      <w:r>
        <w:rPr/>
        <w:t>Одним из выводов многочисленных исследований, посвященных  изучению информативности современных методов лучевой диагностики явилась их недостаточная чувствительность. Частота ошибочных заключений достигает 20 – 45% [72, 95, 148, 159, 191, 267, 234,</w:t>
      </w:r>
      <w:r>
        <w:rPr>
          <w:spacing w:val="-33"/>
        </w:rPr>
        <w:t> </w:t>
      </w:r>
      <w:r>
        <w:rPr/>
        <w:t>229].</w:t>
      </w:r>
    </w:p>
    <w:p>
      <w:pPr>
        <w:pStyle w:val="BodyText"/>
        <w:spacing w:line="360" w:lineRule="auto" w:before="207"/>
        <w:ind w:left="102" w:right="119" w:firstLine="139"/>
        <w:jc w:val="both"/>
      </w:pPr>
      <w:r>
        <w:rPr/>
        <w:t>Наибольшие сложности в диагностике возникают у больных местно- распространенным раком шейки матки. В исследовании GOG 63 сопоставлены результаты КТ, лимфографии и УЗИ парааортальных лимфатических узлов с  результатами гистологического исследования.</w:t>
      </w:r>
    </w:p>
    <w:p>
      <w:pPr>
        <w:pStyle w:val="BodyText"/>
        <w:spacing w:line="360" w:lineRule="auto" w:before="204"/>
        <w:ind w:left="102" w:right="120"/>
        <w:jc w:val="both"/>
      </w:pPr>
      <w:r>
        <w:rPr/>
        <w:t>Чувствительность КТ составила 34%, УЗИ - 19%, лимфографии - 79%, а специфичность – 96%, 99% и 73% соответственно [167].</w:t>
      </w:r>
    </w:p>
    <w:p>
      <w:pPr>
        <w:pStyle w:val="BodyText"/>
        <w:spacing w:line="360" w:lineRule="auto" w:before="206"/>
        <w:ind w:left="102" w:right="120"/>
        <w:jc w:val="both"/>
      </w:pPr>
      <w:r>
        <w:rPr/>
        <w:t>Чувствительность и специфичность МРТ оказалась несколько выше КТ и УЗИ, но также была далека от ожидаемой клиницистами – онкологами [91,102,160,166]. Повысить информативность МРТ удалось путем использования контрастных веществ [73, 161].</w:t>
      </w:r>
    </w:p>
    <w:p>
      <w:pPr>
        <w:pStyle w:val="BodyText"/>
        <w:spacing w:line="360" w:lineRule="auto" w:before="204"/>
        <w:ind w:left="102" w:right="122" w:firstLine="278"/>
        <w:jc w:val="both"/>
      </w:pPr>
      <w:r>
        <w:rPr/>
        <w:t>Невысокая информативность существующих методов лучевой диагностики послужила основанием для изучения целесообразности выполнения операций хирургического стадирования. Применяться подобные операции начали с середины 1990-х годов, а первые публикации основывались на выполнении небольшого их числа  [128, 150].</w:t>
      </w:r>
    </w:p>
    <w:p>
      <w:pPr>
        <w:pStyle w:val="BodyText"/>
        <w:spacing w:line="360" w:lineRule="auto" w:before="207"/>
        <w:ind w:left="102" w:right="116" w:firstLine="347"/>
        <w:jc w:val="both"/>
      </w:pPr>
      <w:r>
        <w:rPr/>
        <w:t>Наиболее значимым исследованием целесообразности выполнения лапароскопических операций хирургического стадирования у больных раком шейки матки, бесспорно, следует считать работу Köhler C., опубликованную в 2004 году. Автор описал результаты более 650 подобных операций и на сегодняшний день обладает самым большим опытом выполнения лапароскопических тазовых и поясничных лимфодиссекций. Диагностическую ценность подобных вмешательств сложно переоценить [184].</w:t>
      </w:r>
    </w:p>
    <w:p>
      <w:pPr>
        <w:spacing w:after="0" w:line="360" w:lineRule="auto"/>
        <w:jc w:val="both"/>
        <w:sectPr>
          <w:pgSz w:w="11900" w:h="16850"/>
          <w:pgMar w:header="712" w:footer="0" w:top="1020" w:bottom="280" w:left="1600" w:right="1000"/>
        </w:sectPr>
      </w:pPr>
    </w:p>
    <w:p>
      <w:pPr>
        <w:pStyle w:val="BodyText"/>
        <w:rPr>
          <w:sz w:val="20"/>
        </w:rPr>
      </w:pPr>
    </w:p>
    <w:p>
      <w:pPr>
        <w:pStyle w:val="BodyText"/>
        <w:rPr>
          <w:sz w:val="20"/>
        </w:rPr>
      </w:pPr>
    </w:p>
    <w:p>
      <w:pPr>
        <w:pStyle w:val="BodyText"/>
        <w:spacing w:line="360" w:lineRule="auto" w:before="224"/>
        <w:ind w:left="102" w:right="116" w:firstLine="278"/>
        <w:jc w:val="both"/>
      </w:pPr>
      <w:r>
        <w:rPr/>
        <w:t>И все же, операции хирургического стадирования у больных местно- распространенным раком шейки матки сопряжены с большими техническими сложностями и высоким риском интра- и послеоперационных осложнений. Один из разделов диссертационного исследования будет посвящен обоснованию показаний к выполнению подобных вмешательств.</w:t>
      </w:r>
    </w:p>
    <w:p>
      <w:pPr>
        <w:pStyle w:val="BodyText"/>
        <w:spacing w:line="360" w:lineRule="auto" w:before="205"/>
        <w:ind w:left="102" w:right="119" w:firstLine="278"/>
        <w:jc w:val="both"/>
      </w:pPr>
      <w:r>
        <w:rPr/>
        <w:t>В плане диагностики рака яичников, наиболее  высокой чувствительность обладает ультразвуковое исследование [46,163]. УЗИ с цветным допплеровским картированием позволяет повысить информативность исследования [46]. Но возможности этого метода не безграничны, и выявление небольших поверхностно расположенных папиллярных разрастаний чаще всего происходит только при эндовидеохирургическом вмешательстве. Частота ложноположительных результатов при ультразвуковом исследовании достигает 27%, а ложноотрицательных - 9%   [2, 84].</w:t>
      </w:r>
    </w:p>
    <w:p>
      <w:pPr>
        <w:pStyle w:val="BodyText"/>
        <w:spacing w:line="360" w:lineRule="auto" w:before="206"/>
        <w:ind w:left="102" w:right="118" w:firstLine="417"/>
        <w:jc w:val="both"/>
      </w:pPr>
      <w:r>
        <w:rPr/>
        <w:t>Определение опухолевых маркеров (СА-125, НЕ-4 и др.) с целью ранней диагностики рака яичников некоторыми авторами предлагается в качестве программ скрининга. Однако, при начальном раке их показатели могут не отличаться от нормы, а повышение встречается и при доброкачественных опухолях яичников. Повышенные уровни СА-125 определяются приблизительно у 80% больных распространенным раком яичников, и только у 50% пациенток с I стадией. Чувствительность СА-  125 при ранних стадиях рака яичника составляет 36,7–50%, а при III–IV стадиях достигает 96%. Наибольшее значение приобретает определение уровня СА-125 у больных раком яичников в мониторинге эффективности лечения и в процессе наблюдения за больными </w:t>
      </w:r>
      <w:r>
        <w:rPr>
          <w:spacing w:val="48"/>
        </w:rPr>
        <w:t> </w:t>
      </w:r>
      <w:r>
        <w:rPr/>
        <w:t>[1,2,27,76,82,125].</w:t>
      </w:r>
    </w:p>
    <w:p>
      <w:pPr>
        <w:pStyle w:val="BodyText"/>
        <w:tabs>
          <w:tab w:pos="2335" w:val="left" w:leader="none"/>
          <w:tab w:pos="4316" w:val="left" w:leader="none"/>
          <w:tab w:pos="5630" w:val="left" w:leader="none"/>
          <w:tab w:pos="7470" w:val="left" w:leader="none"/>
          <w:tab w:pos="7828" w:val="left" w:leader="none"/>
        </w:tabs>
        <w:spacing w:line="360" w:lineRule="auto" w:before="206"/>
        <w:ind w:left="102" w:right="127" w:firstLine="859"/>
      </w:pPr>
      <w:r>
        <w:rPr/>
        <w:t>Наиболее</w:t>
        <w:tab/>
        <w:t>благоприятная</w:t>
        <w:tab/>
        <w:t>ситуация</w:t>
        <w:tab/>
        <w:t>складывается</w:t>
        <w:tab/>
        <w:t>в</w:t>
        <w:tab/>
      </w:r>
      <w:r>
        <w:rPr>
          <w:spacing w:val="-1"/>
        </w:rPr>
        <w:t>отношении </w:t>
      </w:r>
      <w:r>
        <w:rPr/>
        <w:t>больных раком тела матки. Связано это с</w:t>
      </w:r>
      <w:r>
        <w:rPr>
          <w:spacing w:val="-13"/>
        </w:rPr>
        <w:t> </w:t>
      </w:r>
      <w:r>
        <w:rPr/>
        <w:t>незамедлительным</w:t>
      </w:r>
    </w:p>
    <w:p>
      <w:pPr>
        <w:spacing w:after="0" w:line="360" w:lineRule="auto"/>
        <w:sectPr>
          <w:pgSz w:w="11900" w:h="16850"/>
          <w:pgMar w:header="712" w:footer="0" w:top="1020" w:bottom="280" w:left="1600" w:right="1000"/>
        </w:sectPr>
      </w:pPr>
    </w:p>
    <w:p>
      <w:pPr>
        <w:pStyle w:val="BodyText"/>
        <w:rPr>
          <w:sz w:val="20"/>
        </w:rPr>
      </w:pPr>
    </w:p>
    <w:p>
      <w:pPr>
        <w:pStyle w:val="BodyText"/>
        <w:rPr>
          <w:sz w:val="20"/>
        </w:rPr>
      </w:pPr>
    </w:p>
    <w:p>
      <w:pPr>
        <w:pStyle w:val="BodyText"/>
        <w:spacing w:line="360" w:lineRule="auto" w:before="224"/>
        <w:ind w:left="102" w:right="100"/>
        <w:jc w:val="both"/>
      </w:pPr>
      <w:r>
        <w:rPr/>
        <w:t>обследованием женщин с аномальными маточными кровотечениями, появляющимися уже на начальных этапах развития опухолевого процесса. В отношении уточнения степени местного распространения опухолей эндометрия УЗИ и МРТ обладают достаточно высокой чувствительностью и специфичностью, за исключением оценки состояния регионарных лимфатических узлов.</w:t>
      </w:r>
    </w:p>
    <w:p>
      <w:pPr>
        <w:pStyle w:val="BodyText"/>
        <w:spacing w:line="360" w:lineRule="auto" w:before="205"/>
        <w:ind w:left="102" w:right="105" w:firstLine="347"/>
        <w:jc w:val="both"/>
      </w:pPr>
      <w:r>
        <w:rPr/>
        <w:t>Информативность УЗИ у больных раком эндометрия, находящихся в постменопаузе оказывается выше, чем у больных репродуктивного  периода (86,0% и 57,9%). За злокачественную опухоль часто принимаются гиперпластические процессы, атрофия эндометрия, аденомиоз.  Выявляемая патология эндометрия служит основанием для углубленной диагностики, выполнения гистероскопии и прицельной биопсии. При постановке диагноза у больных раком эндометрия решающее значение имеет морфологическое исследование</w:t>
      </w:r>
      <w:r>
        <w:rPr>
          <w:spacing w:val="54"/>
        </w:rPr>
        <w:t> </w:t>
      </w:r>
      <w:r>
        <w:rPr/>
        <w:t>[5].</w:t>
      </w:r>
    </w:p>
    <w:p>
      <w:pPr>
        <w:pStyle w:val="BodyText"/>
        <w:rPr>
          <w:sz w:val="30"/>
        </w:rPr>
      </w:pPr>
    </w:p>
    <w:p>
      <w:pPr>
        <w:pStyle w:val="BodyText"/>
        <w:rPr>
          <w:sz w:val="30"/>
        </w:rPr>
      </w:pPr>
    </w:p>
    <w:p>
      <w:pPr>
        <w:pStyle w:val="BodyText"/>
        <w:rPr>
          <w:sz w:val="30"/>
        </w:rPr>
      </w:pPr>
    </w:p>
    <w:p>
      <w:pPr>
        <w:pStyle w:val="BodyText"/>
        <w:spacing w:before="7"/>
        <w:rPr>
          <w:sz w:val="29"/>
        </w:rPr>
      </w:pPr>
    </w:p>
    <w:p>
      <w:pPr>
        <w:pStyle w:val="Heading1"/>
        <w:numPr>
          <w:ilvl w:val="1"/>
          <w:numId w:val="7"/>
        </w:numPr>
        <w:tabs>
          <w:tab w:pos="1729" w:val="left" w:leader="none"/>
        </w:tabs>
        <w:spacing w:line="362" w:lineRule="auto" w:before="0" w:after="0"/>
        <w:ind w:left="1712" w:right="812" w:hanging="545"/>
        <w:jc w:val="left"/>
      </w:pPr>
      <w:r>
        <w:rPr/>
        <w:t>Особенности прогрессирования, метастазирования и современные подходы  к планированию</w:t>
      </w:r>
      <w:r>
        <w:rPr>
          <w:spacing w:val="-15"/>
        </w:rPr>
        <w:t> </w:t>
      </w:r>
      <w:r>
        <w:rPr/>
        <w:t>лечения</w:t>
      </w:r>
    </w:p>
    <w:p>
      <w:pPr>
        <w:spacing w:before="2"/>
        <w:ind w:left="2764" w:right="0" w:firstLine="0"/>
        <w:jc w:val="left"/>
        <w:rPr>
          <w:b/>
          <w:sz w:val="28"/>
        </w:rPr>
      </w:pPr>
      <w:r>
        <w:rPr>
          <w:b/>
          <w:sz w:val="28"/>
        </w:rPr>
        <w:t>онкогинекологических больных</w:t>
      </w:r>
    </w:p>
    <w:p>
      <w:pPr>
        <w:pStyle w:val="BodyText"/>
        <w:rPr>
          <w:b/>
          <w:sz w:val="30"/>
        </w:rPr>
      </w:pPr>
    </w:p>
    <w:p>
      <w:pPr>
        <w:pStyle w:val="BodyText"/>
        <w:rPr>
          <w:b/>
          <w:sz w:val="43"/>
        </w:rPr>
      </w:pPr>
    </w:p>
    <w:p>
      <w:pPr>
        <w:pStyle w:val="BodyText"/>
        <w:spacing w:line="360" w:lineRule="auto"/>
        <w:ind w:left="102" w:right="102" w:firstLine="278"/>
        <w:jc w:val="both"/>
      </w:pPr>
      <w:r>
        <w:rPr/>
        <w:t>В доступной нам литературе нет недостатка в публикациях, посвященных анализу частоты и основных путей метастазирования рака органов репродуктивной системы. Сохраняющаяся высокая частота рецидивов рака шейки матки и рака яичников также привлекает внимание многих исследователей. Наиболее подробно в отечественной и зарубежной литературе освещены вопросы прогрессирования и метастазирования</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7"/>
        <w:jc w:val="both"/>
      </w:pPr>
      <w:r>
        <w:rPr/>
        <w:t>самой благоприятной по клиническому течению из рассматриваемых в настоящей работе опухолей  - рака эндометрия.</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93"/>
        <w:ind w:left="446" w:right="380"/>
        <w:jc w:val="center"/>
      </w:pPr>
      <w:r>
        <w:rPr/>
        <w:t>Рак эндометрия</w:t>
      </w:r>
    </w:p>
    <w:p>
      <w:pPr>
        <w:pStyle w:val="BodyText"/>
        <w:spacing w:before="3"/>
        <w:rPr>
          <w:sz w:val="31"/>
        </w:rPr>
      </w:pPr>
    </w:p>
    <w:p>
      <w:pPr>
        <w:pStyle w:val="BodyText"/>
        <w:spacing w:line="360" w:lineRule="auto" w:before="1"/>
        <w:ind w:left="102" w:right="98" w:firstLine="487"/>
        <w:jc w:val="both"/>
      </w:pPr>
      <w:r>
        <w:rPr/>
        <w:t>Можно без преувеличения сказать, что в отечественной литературе основной вклад в изучение процессов местного и регионарного распространения рака эндометрия внес основатель Ленинградской школы онкогинекологии профессор Я.В.Бохман. В его классических монографиях, посвященных раку тела матки подробно описаны этиология, патогенетические особенности, закономерности роста и инвазии опухоли, ее распространения за пределы органа, подробнейшим образом освещены показания к выбору различных видов лечебной тактики, начиная с органосохраняющего лечения и заканчивая применением расширенных и комбинированных операций и комплексного лечения [21].</w:t>
      </w:r>
    </w:p>
    <w:p>
      <w:pPr>
        <w:pStyle w:val="BodyText"/>
        <w:tabs>
          <w:tab w:pos="1495" w:val="left" w:leader="none"/>
          <w:tab w:pos="2623" w:val="left" w:leader="none"/>
          <w:tab w:pos="3042" w:val="left" w:leader="none"/>
          <w:tab w:pos="4438" w:val="left" w:leader="none"/>
          <w:tab w:pos="5969" w:val="left" w:leader="none"/>
          <w:tab w:pos="6331" w:val="left" w:leader="none"/>
          <w:tab w:pos="8211" w:val="left" w:leader="none"/>
        </w:tabs>
        <w:spacing w:line="360" w:lineRule="auto" w:before="207"/>
        <w:ind w:left="102" w:right="107" w:firstLine="347"/>
      </w:pPr>
      <w:r>
        <w:rPr/>
        <w:t>Общая</w:t>
        <w:tab/>
        <w:t>частота</w:t>
        <w:tab/>
        <w:t>обнаружения</w:t>
        <w:tab/>
        <w:t>метастазов</w:t>
        <w:tab/>
        <w:t>в</w:t>
        <w:tab/>
        <w:t>подвздошных</w:t>
        <w:tab/>
      </w:r>
      <w:r>
        <w:rPr>
          <w:spacing w:val="-1"/>
        </w:rPr>
        <w:t>группах </w:t>
      </w:r>
      <w:r>
        <w:rPr/>
        <w:t>лимфатических</w:t>
      </w:r>
      <w:r>
        <w:rPr>
          <w:spacing w:val="-1"/>
        </w:rPr>
        <w:t> </w:t>
      </w:r>
      <w:r>
        <w:rPr/>
        <w:t>узлов</w:t>
        <w:tab/>
        <w:t>составляет 10%. Эта цифра, однако, сама по</w:t>
      </w:r>
      <w:r>
        <w:rPr>
          <w:spacing w:val="-6"/>
        </w:rPr>
        <w:t> </w:t>
      </w:r>
      <w:r>
        <w:rPr/>
        <w:t>себе</w:t>
      </w:r>
    </w:p>
    <w:p>
      <w:pPr>
        <w:pStyle w:val="BodyText"/>
        <w:spacing w:line="360" w:lineRule="auto" w:before="207"/>
        <w:ind w:left="102" w:right="100"/>
        <w:jc w:val="both"/>
      </w:pPr>
      <w:r>
        <w:rPr/>
        <w:t>еще мало о чем говорит, т.к. в ряде клинических ситуаций потенции к лимфогенному метастазированию не реализуется, тогда как при сочетании ряда неблагоприятных прогностических факторов указанная вероятность достигает 30-40%.</w:t>
      </w:r>
    </w:p>
    <w:p>
      <w:pPr>
        <w:pStyle w:val="BodyText"/>
        <w:spacing w:line="360" w:lineRule="auto" w:before="207"/>
        <w:ind w:left="102" w:right="101"/>
        <w:jc w:val="both"/>
      </w:pPr>
      <w:r>
        <w:rPr/>
        <w:t>При I патогенетическом типе частота лимфогенного метастазирования составила 8,9%, а при II-13,6% (р&lt;0,05), т.е. в полтора раза чаще. Увеличение потенций к лимфогенному метастазированию характерно для</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3"/>
        <w:jc w:val="both"/>
      </w:pPr>
      <w:r>
        <w:rPr/>
        <w:t>редких форм рака эндометрия: папиллярной аденокарциномы (20,0%) и мезонефроидной светлоклеточной аденокарциномы (18,2%), в два раза чаще, чем при аденокарциноме (9,9%, р&lt;0,05). Еще более выражено влияние степени дифференцировки опухоли на лимфогенное метастазирование. Если при высокодифференцированном раке его частота составляет лишь 4,5%, то при умеренно дифференцированном более чем в два раза выше (10,1%, р&lt;0,05), а при низкодиффeренцированном достигает 16,1% (р&lt;0,001) [16].</w:t>
      </w:r>
    </w:p>
    <w:p>
      <w:pPr>
        <w:pStyle w:val="BodyText"/>
        <w:spacing w:line="360" w:lineRule="auto" w:before="207"/>
        <w:ind w:left="102" w:right="101" w:firstLine="278"/>
        <w:jc w:val="both"/>
      </w:pPr>
      <w:r>
        <w:rPr/>
        <w:t>Относительный риск метастазирования в яичники при местно- распространенном РЭ в 17,3 выше, чем при минимальном, при котором указанная частота менее 1% [48].</w:t>
      </w:r>
    </w:p>
    <w:p>
      <w:pPr>
        <w:pStyle w:val="BodyText"/>
        <w:spacing w:line="360" w:lineRule="auto" w:before="207"/>
        <w:ind w:left="102" w:right="100" w:firstLine="278"/>
        <w:jc w:val="both"/>
      </w:pPr>
      <w:r>
        <w:rPr/>
        <w:t>Ключевой вопрос хирургического лечения больных РЭ - о показаниях к удалению лимфатических узлов таза имеет два аспекта: целесообразность расширения объема операции с точки зрения особенностей лимфогенного метастазирования и возможность ее осуществления у пожилых больных, нередко страдающих выраженными эндокринно-обменными нарушениями и сопутствующими терапевтическими заболеваниями [100,118,124,145].</w:t>
      </w:r>
    </w:p>
    <w:p>
      <w:pPr>
        <w:pStyle w:val="BodyText"/>
        <w:spacing w:line="360" w:lineRule="auto" w:before="125"/>
        <w:ind w:left="102" w:right="101" w:firstLine="698"/>
        <w:jc w:val="both"/>
      </w:pPr>
      <w:r>
        <w:rPr/>
        <w:t>В 1964-1972 гг. Я.В.Бохман представил систему доказательств, подтвердивших концепцию о локализации первичных ортоградных метастазов РЭ в регионарных лимфатических узлах таза, а не в поясничных, как это считалось ранее и описывается в некоторых работах до последнего времени [153].</w:t>
      </w:r>
    </w:p>
    <w:p>
      <w:pPr>
        <w:pStyle w:val="BodyText"/>
        <w:spacing w:line="360" w:lineRule="auto" w:before="127"/>
        <w:ind w:left="102" w:right="105" w:firstLine="707"/>
        <w:jc w:val="both"/>
      </w:pPr>
      <w:r>
        <w:rPr/>
        <w:t>Многие авторы полагают, что объем хирургического вмешательства у больных РЭ должен определяться во время операции. В начале выполняется простая экстирпация матки с придатками. Если после осмотра удаленного препарата и срочного гистологического исследования определяется глубокая инвазия в миометрий, которая сочетается</w:t>
      </w:r>
      <w:r>
        <w:rPr>
          <w:spacing w:val="-23"/>
        </w:rPr>
        <w:t> </w:t>
      </w:r>
      <w:r>
        <w:rPr/>
        <w:t>со</w:t>
      </w:r>
    </w:p>
    <w:p>
      <w:pPr>
        <w:spacing w:after="0" w:line="360" w:lineRule="auto"/>
        <w:jc w:val="both"/>
        <w:sectPr>
          <w:pgSz w:w="11900" w:h="16850"/>
          <w:pgMar w:header="712" w:footer="0" w:top="1020" w:bottom="280" w:left="1600" w:right="1020"/>
        </w:sectPr>
      </w:pPr>
    </w:p>
    <w:p>
      <w:pPr>
        <w:pStyle w:val="BodyText"/>
        <w:rPr>
          <w:sz w:val="20"/>
        </w:rPr>
      </w:pPr>
    </w:p>
    <w:p>
      <w:pPr>
        <w:pStyle w:val="BodyText"/>
        <w:spacing w:before="7"/>
        <w:rPr>
          <w:sz w:val="24"/>
        </w:rPr>
      </w:pPr>
    </w:p>
    <w:p>
      <w:pPr>
        <w:pStyle w:val="BodyText"/>
        <w:tabs>
          <w:tab w:pos="2443" w:val="left" w:leader="none"/>
          <w:tab w:pos="5053" w:val="left" w:leader="none"/>
          <w:tab w:pos="8089" w:val="left" w:leader="none"/>
        </w:tabs>
        <w:spacing w:line="360" w:lineRule="auto" w:before="89"/>
        <w:ind w:left="102" w:right="101"/>
        <w:jc w:val="both"/>
      </w:pPr>
      <w:r>
        <w:rPr/>
        <w:t>снижением степени дифференцировки, операция дополняется  подвздошной лимфаденэктомией. В клинических ситуациях, где вероятность</w:t>
        <w:tab/>
        <w:t>лимфогенного</w:t>
        <w:tab/>
        <w:t>метастазирования</w:t>
        <w:tab/>
        <w:t>невелика (высокодифференцированный или умереннодифференцированный рак, ограниченный верхней половиной полости матки, первый (гормонозависимый) патогенетический тип) адекватным лечением  является простая экстирпация матки с придатками. Среди женщин, страдающих эндокринно-обменными нарушениями, чаще всего выявляются минимальные формы высокодифференцированной аденокарциномы. При этих ситуациях нет необходимости расширения объема операции  </w:t>
      </w:r>
      <w:r>
        <w:rPr>
          <w:spacing w:val="62"/>
        </w:rPr>
        <w:t> </w:t>
      </w:r>
      <w:r>
        <w:rPr/>
        <w:t>[47].</w:t>
      </w:r>
    </w:p>
    <w:p>
      <w:pPr>
        <w:pStyle w:val="BodyText"/>
        <w:spacing w:line="360" w:lineRule="auto" w:before="125"/>
        <w:ind w:left="102" w:right="104" w:firstLine="719"/>
        <w:jc w:val="both"/>
      </w:pPr>
      <w:r>
        <w:rPr/>
        <w:t>В современной литературе выделяют группы высокого, умеренного  и низкого риска метастазирования в регионарные лимфатические узлы [58]. Для решения вопроса о показаниях к тазовой лимфодиссекции в группе умеренного риска (умереннодифференцированная аденокарцинома, ограниченная полостью матки с инвазией до ½ толщины миометрия) предпринимаются попытки определения сигнальных лимфатических  узлов. Однако, эти исследования немногочисленны, а их результаты в сочетании с высокой стоимости предлагаемых методик не позволяют пока рекомендовать биопсию сигнальных лимфатических узлов при раке эндометрия к широкому применению [11]. Следует упомянуть о результатах еще одного рандомизированного исследования SEPAL study (2010), показавшем, что тазовая лимфаденэктомия в комбинации с парааортальной увеличивает продолжительность жизни больных из группы высокого риска развития рецидива в тех случаях, когда в тазовых лимфатических узлах обнаруживаются метастазы [259]. К аналогичным выводам пришел в своих исследованиях Toptas Y.</w:t>
      </w:r>
      <w:r>
        <w:rPr>
          <w:spacing w:val="-16"/>
        </w:rPr>
        <w:t> </w:t>
      </w:r>
      <w:r>
        <w:rPr/>
        <w:t>[260].</w:t>
      </w:r>
    </w:p>
    <w:p>
      <w:pPr>
        <w:spacing w:after="0" w:line="360" w:lineRule="auto"/>
        <w:jc w:val="both"/>
        <w:sectPr>
          <w:pgSz w:w="11900" w:h="16850"/>
          <w:pgMar w:header="712" w:footer="0" w:top="1020" w:bottom="280" w:left="1600" w:right="1020"/>
        </w:sectPr>
      </w:pPr>
    </w:p>
    <w:p>
      <w:pPr>
        <w:pStyle w:val="BodyText"/>
        <w:rPr>
          <w:sz w:val="20"/>
        </w:rPr>
      </w:pPr>
    </w:p>
    <w:p>
      <w:pPr>
        <w:pStyle w:val="BodyText"/>
        <w:spacing w:before="7"/>
        <w:rPr>
          <w:sz w:val="24"/>
        </w:rPr>
      </w:pPr>
    </w:p>
    <w:p>
      <w:pPr>
        <w:pStyle w:val="BodyText"/>
        <w:spacing w:line="360" w:lineRule="auto" w:before="89"/>
        <w:ind w:left="102" w:right="99"/>
        <w:jc w:val="both"/>
      </w:pPr>
      <w:r>
        <w:rPr/>
        <w:t>Представляет большой интерес сопоставление 5-летней выживаемости больных I стадии в зависимости от дифференцировки опухоли и метода лечения. При высокодифференцированной аденокарциноме 5-летняя выживаемость после хирургического лечения (90,7%) несколько уступает группе “операция + эндовагинальное облучение” (98,4%), но лучше, чем в группе “операция + сочетанная лучевая терапия” (89,1%). Указанные различия статистически недостоверны. При умеренно дифференцированной аденокарциноме актуариальная 5-летняя выживаемость в группе “операция” составила 80,5%; она повышается при сочетании с эндовагинальным (90%) и сочетанным лучевым лечением (95,3%, р&lt;0,05). В то же время, комбинация “операция и дистанционное облучение” не улучшает 5-летней выживаемости (80,1%) по сравнению с хирургическим методом. При низкодифференцированной аденокарциноме в группе “операция” 5-летняя выживаемость равна 68,1%, причем она повышается до 75% при различных сочетаниях с облучением: 75,3%,  69,9% и 75,8%, соответственно [48]. Представленные данные позволяют подвести итог многолетней дискуссии о роли пред- и послеоперационного облучения при планировании лечения больных РЭ I стадии. Во многих клиниках Западной Европы и США широко применяется предоперационное внутриполостное облучение. Предполагается, что введение в полость матки радиоактивных препаратов снижает потенции опухоли к имплантации опухолевых клеток во время операции [130, 131, 270].</w:t>
      </w:r>
    </w:p>
    <w:p>
      <w:pPr>
        <w:pStyle w:val="BodyText"/>
        <w:spacing w:line="360" w:lineRule="auto" w:before="125"/>
        <w:ind w:left="102" w:right="102" w:firstLine="278"/>
        <w:jc w:val="both"/>
      </w:pPr>
      <w:r>
        <w:rPr/>
        <w:t>В настоящее время становится очевидным, что лучевая терапия в виде профилактического эндовагинального облучения  оказывает положительное влияние на прогноз только при значительном объеме опухоли, ее переходе на эндоцервикс и, особенно, при снижении степени дифференцировки [174,188]. Лучевая терапия в качестве самостоятельного метода применяется только при абсолютных противопоказаниях к</w:t>
      </w:r>
    </w:p>
    <w:p>
      <w:pPr>
        <w:spacing w:after="0" w:line="360" w:lineRule="auto"/>
        <w:jc w:val="both"/>
        <w:sectPr>
          <w:pgSz w:w="11900" w:h="16850"/>
          <w:pgMar w:header="712" w:footer="0" w:top="1020" w:bottom="280" w:left="1600" w:right="1020"/>
        </w:sectPr>
      </w:pPr>
    </w:p>
    <w:p>
      <w:pPr>
        <w:pStyle w:val="BodyText"/>
        <w:rPr>
          <w:sz w:val="20"/>
        </w:rPr>
      </w:pPr>
    </w:p>
    <w:p>
      <w:pPr>
        <w:pStyle w:val="BodyText"/>
        <w:spacing w:before="7"/>
        <w:rPr>
          <w:sz w:val="24"/>
        </w:rPr>
      </w:pPr>
    </w:p>
    <w:p>
      <w:pPr>
        <w:pStyle w:val="BodyText"/>
        <w:spacing w:line="360" w:lineRule="auto" w:before="89"/>
        <w:ind w:left="102" w:right="103"/>
        <w:jc w:val="both"/>
      </w:pPr>
      <w:r>
        <w:rPr/>
        <w:t>операции. Они чаще всего обусловлены тяжелыми, некомпенсированными сопутствующими заболеваниями или распространением опухоли на параметральную клетчатку и влагалище [136]. По данным литературы, хирургическое и комбинированное лечение имеет несомненные преимущества перед сочетанным лучевым, причем различие показателей 5-летней выживаемости достигает 20-25%. Это объясняется недостаточной эффективностью лучевой терапии при глубокой инвазии в миометрий, а также относительной резистентностью к облучению метастазов в яичниках и регионарных лимфатических узлах [19].</w:t>
      </w:r>
    </w:p>
    <w:p>
      <w:pPr>
        <w:pStyle w:val="BodyText"/>
        <w:spacing w:line="360" w:lineRule="auto" w:before="125"/>
        <w:ind w:left="102" w:right="99" w:firstLine="487"/>
        <w:jc w:val="both"/>
      </w:pPr>
      <w:r>
        <w:rPr/>
        <w:t>Нередко считается, что возможности улучшения отдаленных результатов лечения РЭ с помощью усовершенствования хирургического и лучевого методов в значительной мере уже исчерпаны [29]. По мнению авторов, это утверждение нуждается в уточнении, так как строго индивидуализированный выбор сочетаний указанных методов при местно- распространенном и метастатическом раке эндометрия сохраняет большое значение.</w:t>
      </w:r>
    </w:p>
    <w:p>
      <w:pPr>
        <w:pStyle w:val="BodyText"/>
        <w:spacing w:line="360" w:lineRule="auto" w:before="204"/>
        <w:ind w:left="102" w:right="103" w:firstLine="487"/>
        <w:jc w:val="both"/>
      </w:pPr>
      <w:r>
        <w:rPr/>
        <w:t>Вместе с тем, нельзя не признать перспективным дополнение операций адьювантной гормонотерапией. Для клинического обоснования применения адьювантной гормонотерапии у больных аденокарциномой эндометрия необходимо было получить объективные данные о ее положительном влиянии на 5-летнюю выживаемость, снижении частоты рецидивов и метастазов [31,216].</w:t>
      </w:r>
    </w:p>
    <w:p>
      <w:pPr>
        <w:pStyle w:val="BodyText"/>
        <w:spacing w:line="360" w:lineRule="auto" w:before="204"/>
        <w:ind w:left="102" w:right="104" w:firstLine="707"/>
        <w:jc w:val="both"/>
      </w:pPr>
      <w:r>
        <w:rPr/>
        <w:t>Исследования по оптимизации адьювантной гормонотерапии одновременно с </w:t>
      </w:r>
      <w:r>
        <w:rPr>
          <w:spacing w:val="-2"/>
        </w:rPr>
        <w:t>НИИ </w:t>
      </w:r>
      <w:r>
        <w:rPr/>
        <w:t>онкологии им. проф. Н.Н.Петрова были начаты 30 лет назад в Католическом Университете города Левен (Бельгия) [106,107]. В представленных рекомендациях подчеркнута необходимость дифференцированного подхода к назначению гормональных препаратов. Их эффективность повышается при эстрогенном</w:t>
      </w:r>
      <w:r>
        <w:rPr>
          <w:spacing w:val="-22"/>
        </w:rPr>
        <w:t> </w:t>
      </w:r>
      <w:r>
        <w:rPr/>
        <w:t>типе</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1"/>
        <w:jc w:val="both"/>
      </w:pPr>
      <w:r>
        <w:rPr/>
        <w:t>кольпоцитологической реакции в постменопаузе, ожирении, высоком содержании рецепторов прогестерона и эстрадиола. Применение медоксипрогестерона ацетата (МПА) в средних дозах, приводящее, по данным радиоиммунного анализа, к концентрации МПА в плазме более 90 нг/мл, позволяет достигнуть высокой частоты ремиссий после операции у больных РЭ с сочетанием неблагоприятных прогностических факторов. Результаты лечения улучшаются, если суточная доза МПА повышается  до</w:t>
      </w:r>
    </w:p>
    <w:p>
      <w:pPr>
        <w:pStyle w:val="BodyText"/>
        <w:spacing w:line="360" w:lineRule="auto" w:before="6"/>
        <w:ind w:left="102" w:right="100"/>
        <w:jc w:val="both"/>
      </w:pPr>
      <w:r>
        <w:rPr/>
        <w:t>500 мг в сутки. В результате концентрация МПА в сыворотке крови достигает 1000 нг/мл и может проявиться в цитотоксическом действии препарата Провера не только при гормонозависимых, но и при автономных опухолях. По данным Я. Бонтэ, среди больных аденокарциномой эндометрия, подвергшихся гистерэктомии и имеющих 2-3 неблагоприятных прогностических признака, 2-летняя безрецидивная выживаемость составляет 70%, а в аналогичной группе больных, получавших Провера  по 500 мг ежедневно после операции - 83%.</w:t>
      </w:r>
    </w:p>
    <w:p>
      <w:pPr>
        <w:pStyle w:val="BodyText"/>
        <w:tabs>
          <w:tab w:pos="2671" w:val="left" w:leader="none"/>
          <w:tab w:pos="4118" w:val="left" w:leader="none"/>
          <w:tab w:pos="6020" w:val="left" w:leader="none"/>
          <w:tab w:pos="7200" w:val="left" w:leader="none"/>
          <w:tab w:pos="8452" w:val="left" w:leader="none"/>
        </w:tabs>
        <w:spacing w:line="360" w:lineRule="auto" w:before="207"/>
        <w:ind w:left="810" w:right="107"/>
      </w:pPr>
      <w:r>
        <w:rPr/>
        <w:t>Современные</w:t>
        <w:tab/>
        <w:t>принципы</w:t>
        <w:tab/>
        <w:t>планирования</w:t>
        <w:tab/>
        <w:t>лечения</w:t>
        <w:tab/>
        <w:t>больных</w:t>
        <w:tab/>
      </w:r>
      <w:r>
        <w:rPr>
          <w:spacing w:val="-1"/>
        </w:rPr>
        <w:t>раком </w:t>
      </w:r>
      <w:r>
        <w:rPr/>
        <w:t>эндометрия сводятся к следующим</w:t>
      </w:r>
      <w:r>
        <w:rPr>
          <w:spacing w:val="-11"/>
        </w:rPr>
        <w:t> </w:t>
      </w:r>
      <w:r>
        <w:rPr/>
        <w:t>положениям:</w:t>
      </w:r>
    </w:p>
    <w:p>
      <w:pPr>
        <w:pStyle w:val="BodyText"/>
        <w:spacing w:line="360" w:lineRule="auto" w:before="204"/>
        <w:ind w:left="102" w:right="105" w:firstLine="847"/>
        <w:jc w:val="both"/>
      </w:pPr>
      <w:r>
        <w:rPr/>
        <w:t>У больных высокодифференцированной аденокарциномой, ограниченной телом матки (что устанавливается трнсвагинальной эхографией или гистероцервикографией), вероятность лимфогенного метастазирования мала, а результаты простой и расширенной экстирпации матки одинаково высоки. В этих случаях простая экстирпация матки является адекватным методом лечения.</w:t>
      </w:r>
    </w:p>
    <w:p>
      <w:pPr>
        <w:pStyle w:val="BodyText"/>
        <w:spacing w:line="360" w:lineRule="auto" w:before="204"/>
        <w:ind w:left="102" w:right="101" w:firstLine="707"/>
        <w:jc w:val="both"/>
      </w:pPr>
      <w:r>
        <w:rPr/>
        <w:t>При умеренно - и низкодифференцированных опухолях, не переходящих на эндоцервикс показана модификация расширенной операции по Я.В.Бохману - экстирпация матки с придатками и удаление лимфатических узлов таза. У больных с переходом опухоли на шейку</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320"/>
      </w:pPr>
      <w:r>
        <w:rPr/>
        <w:t>матки адекватна операция такого же объема, как и при раке шейки матки (по методу Вертгейма).</w:t>
      </w:r>
    </w:p>
    <w:p>
      <w:pPr>
        <w:pStyle w:val="BodyText"/>
        <w:spacing w:line="360" w:lineRule="auto" w:before="207"/>
        <w:ind w:left="102" w:right="100" w:firstLine="347"/>
        <w:jc w:val="both"/>
      </w:pPr>
      <w:r>
        <w:rPr/>
        <w:t>Вопрос о послеоперационном облучении решается индивидуально, с учетом данных гистологического исследования операционного препарата. При высокодифференцированной аденокарциноме, отсутствии глубокого прорастания опухоли в миометрий и метастазов в удаленных лимфатических узлах послеоперационное облучение не показано. </w:t>
      </w:r>
      <w:r>
        <w:rPr>
          <w:spacing w:val="-2"/>
        </w:rPr>
        <w:t>Оно </w:t>
      </w:r>
      <w:r>
        <w:rPr/>
        <w:t>необходимо при распространении опухоли на нижние отделы матки и эндоцервикс (Т2), глубокой ( более 1 см) инвазии в миометрий, метастазах в лимфатических узлах таза. Таким образом, при условии адекватной диагностики при высокодифференцированной аденокарциноме эндометрия I стадии имеются основания отказаться от применения послеоперационного облучения. У больных умеренно- и низкодифференцированным раком с глубокой инвазией в миометрий, у которых после расширенной экстирпации матки не выявляются метастазы в удаленных регионарных лимфатических узлах, проводится только эндовагинальное облучение. У больных II стадией необходимо стремиться к выполнению радикальной программы хирургического и лучевого лечения, дополненного адъювантной</w:t>
      </w:r>
      <w:r>
        <w:rPr>
          <w:spacing w:val="-21"/>
        </w:rPr>
        <w:t> </w:t>
      </w:r>
      <w:r>
        <w:rPr/>
        <w:t>гормонотерапией.</w:t>
      </w:r>
    </w:p>
    <w:p>
      <w:pPr>
        <w:pStyle w:val="BodyText"/>
        <w:spacing w:line="360" w:lineRule="auto" w:before="207"/>
        <w:ind w:left="102" w:right="100" w:firstLine="707"/>
        <w:jc w:val="both"/>
      </w:pPr>
      <w:r>
        <w:rPr/>
        <w:t>При лечении больных III стадией РТМ выбор метода лечения основывается на индивидуальных особенностях местно-регионарного распространения. При метастазах в придатках матки предпочтительно начать лечение с расширенной экстирпации. Это в равной мере относится  и к больным с выявленными регионарными метастазами в лимфатических узлах таза, так как установлена их относительная резистентность к облучению. Если III стадия характеризуется параметральными инфильтратами или метастазами во влагалище, то методом выбора является сочетанное лучевое лечение</w:t>
      </w:r>
      <w:r>
        <w:rPr>
          <w:spacing w:val="-13"/>
        </w:rPr>
        <w:t> </w:t>
      </w:r>
      <w:r>
        <w:rPr/>
        <w:t>[114].</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before="224"/>
        <w:ind w:left="356" w:right="240"/>
        <w:jc w:val="center"/>
      </w:pPr>
      <w:r>
        <w:rPr/>
        <w:t>Рак шейки матки</w:t>
      </w:r>
    </w:p>
    <w:p>
      <w:pPr>
        <w:pStyle w:val="BodyText"/>
        <w:spacing w:before="3"/>
        <w:rPr>
          <w:sz w:val="31"/>
        </w:rPr>
      </w:pPr>
    </w:p>
    <w:p>
      <w:pPr>
        <w:pStyle w:val="BodyText"/>
        <w:spacing w:line="360" w:lineRule="auto"/>
        <w:ind w:left="102" w:right="119" w:firstLine="719"/>
        <w:jc w:val="both"/>
      </w:pPr>
      <w:r>
        <w:rPr/>
        <w:t>По принятой международной классификации ВОЗ стадия злокачественного поражения шейки матки клинически определяется, в основном, по степени вовлечения в процесс вагинальной и параметральной клетчатки, предполагающей поражение регионарного лимфатического бассейна.</w:t>
      </w:r>
    </w:p>
    <w:p>
      <w:pPr>
        <w:pStyle w:val="BodyText"/>
        <w:spacing w:line="360" w:lineRule="auto" w:before="5"/>
        <w:ind w:left="102" w:right="119" w:firstLine="719"/>
        <w:jc w:val="both"/>
      </w:pPr>
      <w:r>
        <w:rPr/>
        <w:t>Регионарными для шейки матки являются лимфатические узлы, расположенные около шейки и тела матки – запирательные, наружные и общие подвздошные, прекрестцовые и боковые крестцовые. Метастатическое поражение лимфатических узлов установлено при I стадии рака шейки матки в 6-17% случаях, при II – в 18-34%, а при III стадии метастазы выявляются у 50 – 58% больных [15].</w:t>
      </w:r>
    </w:p>
    <w:p>
      <w:pPr>
        <w:pStyle w:val="BodyText"/>
        <w:spacing w:line="360" w:lineRule="auto" w:before="4"/>
        <w:ind w:left="102" w:right="116" w:firstLine="719"/>
        <w:jc w:val="both"/>
      </w:pPr>
      <w:r>
        <w:rPr/>
        <w:t>Частота регионарного метастазирования коррелирует с прорастанием кровеносных и/или лимфатических сосудов, объемом первичной опухоли и степенью её злокачественности [44].</w:t>
      </w:r>
    </w:p>
    <w:p>
      <w:pPr>
        <w:pStyle w:val="BodyText"/>
        <w:spacing w:line="360" w:lineRule="auto" w:before="206"/>
        <w:ind w:left="102" w:right="122" w:firstLine="719"/>
        <w:jc w:val="both"/>
      </w:pPr>
      <w:r>
        <w:rPr/>
        <w:t>Fioretti P. et al (1990) показали, что при размере опухоли до 4 см метастазы были выявлены у 6% больных, а при размере более 4 см в 35,1% случаев [149]. Тело матки вовлекается в процесс примерно в 48% случаев. Примерно у 4,4% больных распространенным раком шейки матки определяются метастазы в кости, скрыто текущие солитарные метастазы в легких, селезенке, мозге [86].</w:t>
      </w:r>
    </w:p>
    <w:p>
      <w:pPr>
        <w:pStyle w:val="BodyText"/>
        <w:spacing w:line="360" w:lineRule="auto" w:before="206"/>
        <w:ind w:left="102" w:right="127" w:firstLine="719"/>
        <w:jc w:val="both"/>
      </w:pPr>
      <w:r>
        <w:rPr/>
        <w:t>Даже при I стадии рака шейки матки у 5% больных при цитологическом исследовании смывов с брюшины выявили метастатические клетки при отсутствии клинической симптоматики [262]. При урологическом обследовании у 42% больных III стадией процесса была выявлена инфильтрация и буллезный отек стенки мочевого пузыря, развитие гидронефроза за счет обструкции и стеноза мочеточников [87]. Мы видим, что для больных раком шейки матки первостепенное значение</w:t>
      </w:r>
    </w:p>
    <w:p>
      <w:pPr>
        <w:spacing w:after="0" w:line="360" w:lineRule="auto"/>
        <w:jc w:val="both"/>
        <w:sectPr>
          <w:pgSz w:w="11900" w:h="16850"/>
          <w:pgMar w:header="712" w:footer="0" w:top="1020" w:bottom="280" w:left="1600" w:right="1000"/>
        </w:sectPr>
      </w:pPr>
    </w:p>
    <w:p>
      <w:pPr>
        <w:pStyle w:val="BodyText"/>
        <w:rPr>
          <w:sz w:val="20"/>
        </w:rPr>
      </w:pPr>
    </w:p>
    <w:p>
      <w:pPr>
        <w:pStyle w:val="BodyText"/>
        <w:rPr>
          <w:sz w:val="20"/>
        </w:rPr>
      </w:pPr>
    </w:p>
    <w:p>
      <w:pPr>
        <w:pStyle w:val="BodyText"/>
        <w:spacing w:line="360" w:lineRule="auto" w:before="224"/>
        <w:ind w:left="102" w:right="100"/>
        <w:jc w:val="both"/>
      </w:pPr>
      <w:r>
        <w:rPr/>
        <w:t>имеет максимальное полное представление о степени распространения опухоли при планировании программ комбинированного и комплексного лечения.</w:t>
      </w:r>
    </w:p>
    <w:p>
      <w:pPr>
        <w:pStyle w:val="BodyText"/>
        <w:spacing w:line="360" w:lineRule="auto" w:before="207"/>
        <w:ind w:left="102" w:right="98" w:firstLine="347"/>
        <w:jc w:val="both"/>
      </w:pPr>
      <w:r>
        <w:rPr/>
        <w:t>Вопрос о лечении рака шейки матки в зависимости от стадии в настоящее время не вызывает существенных разногласий среди исследователей и клиницистов в различных клиниках. В связи с более молодым возрастом этих больных по сравнению с другими локализациями гинекологического рака, остро стоит вопрос об органосохраняющем лечении. С другой стороны, учитывая более автономное и агрессивное течение по сравнению с гормонозависимыми опухолями, необходимость применения максимально радикальных лечебных программ также ни у кого не вызывает сомнений [45]. В отчете Международной Федерации гинекологов и акушеров (FIGO) приведены данные о лечении 32052 больных инвазивным РШМ, проходивших лечение в 125 ведущих мировых гинекологических и онкологических клиниках. При этом на I клиническую стадию приходилось 37,9% больных, на II – 32,1%, III стадия составила 25,6% и IV – 4,3% от общего числа больных РШМ. Использовались три основных метода лечения: хирургический, комбинированный  и сочетанный лучевой. При I стадии 39,4% лечились только хирургически; 37,7% получали комбинированное лечение и 22,9% - сочетанное лучевое.</w:t>
      </w:r>
      <w:r>
        <w:rPr>
          <w:spacing w:val="17"/>
        </w:rPr>
        <w:t> </w:t>
      </w:r>
      <w:r>
        <w:rPr/>
        <w:t>5</w:t>
      </w:r>
    </w:p>
    <w:p>
      <w:pPr>
        <w:pStyle w:val="BodyText"/>
        <w:spacing w:line="360" w:lineRule="auto" w:before="8"/>
        <w:ind w:left="102" w:right="99"/>
        <w:jc w:val="both"/>
      </w:pPr>
      <w:r>
        <w:rPr/>
        <w:t>– летняя выживаемость у больных плоскоклеточным раком, получавшим только хирургическое лечение составила 92,2%, у больных аденокарциномой – 90,9%. После сочетанного лучевого лечения больных РШМ I стадии 5 – летняя выживаемость составила 69,4% для плоскоклеточного рака и 61,8% для аденокарциномы. При комбинированном лечении РШМ I стадии выживаемость составила 78,8% при использовании операции с последующей лучевой терапией и 82,9% в случае назначения предоперационной химио-лучевой терапии. В лечении</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62" w:right="159"/>
        <w:jc w:val="both"/>
      </w:pPr>
      <w:r>
        <w:rPr/>
        <w:t>II стадии РШМ 69,5% приходилось на долю сочетанной лучевой терапии, 4,8% больных получали только хирургическое лечение и 25,7% - комбинированное. При сочетанном лучевом лечении 5 - летняя выживаемость составила около 60%. По мере нарастания степени распространенности опухолевого процесс доля больных, получивших только сочетанную лучевую терапию постепенно возрастает и при III стадии составляет уже более 96%. 5 – летняя выживаемость при этом не превысила 38%.</w:t>
      </w:r>
    </w:p>
    <w:p>
      <w:pPr>
        <w:pStyle w:val="BodyText"/>
        <w:tabs>
          <w:tab w:pos="1223" w:val="left" w:leader="none"/>
          <w:tab w:pos="1414" w:val="left" w:leader="none"/>
          <w:tab w:pos="1739" w:val="left" w:leader="none"/>
          <w:tab w:pos="1784" w:val="left" w:leader="none"/>
          <w:tab w:pos="2153" w:val="left" w:leader="none"/>
          <w:tab w:pos="2773" w:val="left" w:leader="none"/>
          <w:tab w:pos="3175" w:val="left" w:leader="none"/>
          <w:tab w:pos="4972" w:val="left" w:leader="none"/>
          <w:tab w:pos="5135" w:val="left" w:leader="none"/>
          <w:tab w:pos="5803" w:val="left" w:leader="none"/>
          <w:tab w:pos="5895" w:val="left" w:leader="none"/>
          <w:tab w:pos="6725" w:val="left" w:leader="none"/>
          <w:tab w:pos="7028" w:val="left" w:leader="none"/>
          <w:tab w:pos="8286" w:val="left" w:leader="none"/>
          <w:tab w:pos="8437" w:val="left" w:leader="none"/>
        </w:tabs>
        <w:spacing w:line="360" w:lineRule="auto" w:before="207" w:after="16"/>
        <w:ind w:left="162" w:right="158" w:firstLine="347"/>
        <w:jc w:val="right"/>
      </w:pPr>
      <w:r>
        <w:rPr/>
        <w:t>При</w:t>
        <w:tab/>
        <w:t>IV</w:t>
        <w:tab/>
        <w:t>стадии</w:t>
        <w:tab/>
        <w:t>преобладающим</w:t>
        <w:tab/>
        <w:t>также</w:t>
        <w:tab/>
        <w:tab/>
        <w:t>было</w:t>
        <w:tab/>
        <w:t>сочетанное</w:t>
        <w:tab/>
      </w:r>
      <w:r>
        <w:rPr>
          <w:spacing w:val="-1"/>
        </w:rPr>
        <w:t>лучевое </w:t>
      </w:r>
      <w:r>
        <w:rPr/>
        <w:t>лечение,</w:t>
        <w:tab/>
        <w:tab/>
        <w:t>5</w:t>
        <w:tab/>
        <w:tab/>
        <w:t>–</w:t>
        <w:tab/>
        <w:t>летняя</w:t>
        <w:tab/>
        <w:t>выживаемость</w:t>
        <w:tab/>
        <w:tab/>
        <w:t>при</w:t>
        <w:tab/>
        <w:t>котором</w:t>
        <w:tab/>
        <w:t>составила</w:t>
        <w:tab/>
        <w:tab/>
        <w:t>12,5%.</w:t>
      </w: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00"/>
        <w:gridCol w:w="1750"/>
        <w:gridCol w:w="1489"/>
        <w:gridCol w:w="2534"/>
      </w:tblGrid>
      <w:tr>
        <w:trPr>
          <w:trHeight w:val="398" w:hRule="exact"/>
        </w:trPr>
        <w:tc>
          <w:tcPr>
            <w:tcW w:w="3400" w:type="dxa"/>
          </w:tcPr>
          <w:p>
            <w:pPr>
              <w:pStyle w:val="TableParagraph"/>
              <w:tabs>
                <w:tab w:pos="2383" w:val="left" w:leader="none"/>
              </w:tabs>
              <w:spacing w:line="311" w:lineRule="exact"/>
              <w:ind w:left="50"/>
              <w:rPr>
                <w:sz w:val="28"/>
              </w:rPr>
            </w:pPr>
            <w:r>
              <w:rPr>
                <w:sz w:val="28"/>
              </w:rPr>
              <w:t>Незначительное</w:t>
              <w:tab/>
              <w:t>число</w:t>
            </w:r>
          </w:p>
        </w:tc>
        <w:tc>
          <w:tcPr>
            <w:tcW w:w="1750" w:type="dxa"/>
          </w:tcPr>
          <w:p>
            <w:pPr>
              <w:pStyle w:val="TableParagraph"/>
              <w:spacing w:line="311" w:lineRule="exact"/>
              <w:ind w:left="493"/>
              <w:rPr>
                <w:sz w:val="28"/>
              </w:rPr>
            </w:pPr>
            <w:r>
              <w:rPr>
                <w:sz w:val="28"/>
              </w:rPr>
              <w:t>больных</w:t>
            </w:r>
          </w:p>
        </w:tc>
        <w:tc>
          <w:tcPr>
            <w:tcW w:w="1489" w:type="dxa"/>
          </w:tcPr>
          <w:p>
            <w:pPr>
              <w:pStyle w:val="TableParagraph"/>
              <w:spacing w:line="311" w:lineRule="exact"/>
              <w:ind w:left="45" w:right="81"/>
              <w:jc w:val="center"/>
              <w:rPr>
                <w:sz w:val="28"/>
              </w:rPr>
            </w:pPr>
            <w:r>
              <w:rPr>
                <w:sz w:val="28"/>
              </w:rPr>
              <w:t>получала</w:t>
            </w:r>
          </w:p>
        </w:tc>
        <w:tc>
          <w:tcPr>
            <w:tcW w:w="2534" w:type="dxa"/>
          </w:tcPr>
          <w:p>
            <w:pPr>
              <w:pStyle w:val="TableParagraph"/>
              <w:spacing w:line="311" w:lineRule="exact"/>
              <w:ind w:right="49"/>
              <w:jc w:val="right"/>
              <w:rPr>
                <w:sz w:val="28"/>
              </w:rPr>
            </w:pPr>
            <w:r>
              <w:rPr>
                <w:sz w:val="28"/>
              </w:rPr>
              <w:t>ультрарадикальное</w:t>
            </w:r>
          </w:p>
        </w:tc>
      </w:tr>
      <w:tr>
        <w:trPr>
          <w:trHeight w:val="484" w:hRule="exact"/>
        </w:trPr>
        <w:tc>
          <w:tcPr>
            <w:tcW w:w="3400" w:type="dxa"/>
          </w:tcPr>
          <w:p>
            <w:pPr>
              <w:pStyle w:val="TableParagraph"/>
              <w:tabs>
                <w:tab w:pos="3168" w:val="left" w:leader="none"/>
              </w:tabs>
              <w:spacing w:before="75"/>
              <w:ind w:left="50"/>
              <w:rPr>
                <w:sz w:val="28"/>
              </w:rPr>
            </w:pPr>
            <w:r>
              <w:rPr>
                <w:sz w:val="28"/>
              </w:rPr>
              <w:t>хирургическое </w:t>
            </w:r>
            <w:r>
              <w:rPr>
                <w:spacing w:val="55"/>
                <w:sz w:val="28"/>
              </w:rPr>
              <w:t> </w:t>
            </w:r>
            <w:r>
              <w:rPr>
                <w:sz w:val="28"/>
              </w:rPr>
              <w:t>лечение</w:t>
              <w:tab/>
              <w:t>в</w:t>
            </w:r>
          </w:p>
        </w:tc>
        <w:tc>
          <w:tcPr>
            <w:tcW w:w="1750" w:type="dxa"/>
          </w:tcPr>
          <w:p>
            <w:pPr>
              <w:pStyle w:val="TableParagraph"/>
              <w:spacing w:before="75"/>
              <w:ind w:left="99"/>
              <w:rPr>
                <w:sz w:val="28"/>
              </w:rPr>
            </w:pPr>
            <w:r>
              <w:rPr>
                <w:sz w:val="28"/>
              </w:rPr>
              <w:t>сочетании </w:t>
            </w:r>
            <w:r>
              <w:rPr>
                <w:spacing w:val="58"/>
                <w:sz w:val="28"/>
              </w:rPr>
              <w:t> </w:t>
            </w:r>
            <w:r>
              <w:rPr>
                <w:sz w:val="28"/>
              </w:rPr>
              <w:t>с</w:t>
            </w:r>
          </w:p>
        </w:tc>
        <w:tc>
          <w:tcPr>
            <w:tcW w:w="1489" w:type="dxa"/>
          </w:tcPr>
          <w:p>
            <w:pPr>
              <w:pStyle w:val="TableParagraph"/>
              <w:spacing w:before="75"/>
              <w:ind w:left="81" w:right="81"/>
              <w:jc w:val="center"/>
              <w:rPr>
                <w:sz w:val="28"/>
              </w:rPr>
            </w:pPr>
            <w:r>
              <w:rPr>
                <w:sz w:val="28"/>
              </w:rPr>
              <w:t>пред- </w:t>
            </w:r>
            <w:r>
              <w:rPr>
                <w:spacing w:val="57"/>
                <w:sz w:val="28"/>
              </w:rPr>
              <w:t> </w:t>
            </w:r>
            <w:r>
              <w:rPr>
                <w:sz w:val="28"/>
              </w:rPr>
              <w:t>или</w:t>
            </w:r>
          </w:p>
        </w:tc>
        <w:tc>
          <w:tcPr>
            <w:tcW w:w="2534" w:type="dxa"/>
          </w:tcPr>
          <w:p>
            <w:pPr>
              <w:pStyle w:val="TableParagraph"/>
              <w:spacing w:before="75"/>
              <w:ind w:right="48"/>
              <w:jc w:val="right"/>
              <w:rPr>
                <w:sz w:val="28"/>
              </w:rPr>
            </w:pPr>
            <w:r>
              <w:rPr>
                <w:sz w:val="28"/>
              </w:rPr>
              <w:t>послеоперационной</w:t>
            </w:r>
          </w:p>
        </w:tc>
      </w:tr>
      <w:tr>
        <w:trPr>
          <w:trHeight w:val="397" w:hRule="exact"/>
        </w:trPr>
        <w:tc>
          <w:tcPr>
            <w:tcW w:w="3400" w:type="dxa"/>
          </w:tcPr>
          <w:p>
            <w:pPr>
              <w:pStyle w:val="TableParagraph"/>
              <w:spacing w:before="74"/>
              <w:ind w:left="50"/>
              <w:rPr>
                <w:sz w:val="28"/>
              </w:rPr>
            </w:pPr>
            <w:r>
              <w:rPr>
                <w:sz w:val="28"/>
              </w:rPr>
              <w:t>лучевой терапией.</w:t>
            </w:r>
          </w:p>
        </w:tc>
        <w:tc>
          <w:tcPr>
            <w:tcW w:w="1750" w:type="dxa"/>
          </w:tcPr>
          <w:p>
            <w:pPr/>
          </w:p>
        </w:tc>
        <w:tc>
          <w:tcPr>
            <w:tcW w:w="1489" w:type="dxa"/>
          </w:tcPr>
          <w:p>
            <w:pPr/>
          </w:p>
        </w:tc>
        <w:tc>
          <w:tcPr>
            <w:tcW w:w="2534" w:type="dxa"/>
          </w:tcPr>
          <w:p>
            <w:pPr/>
          </w:p>
        </w:tc>
      </w:tr>
    </w:tbl>
    <w:p>
      <w:pPr>
        <w:pStyle w:val="BodyText"/>
        <w:spacing w:before="3"/>
        <w:rPr>
          <w:sz w:val="31"/>
        </w:rPr>
      </w:pPr>
    </w:p>
    <w:p>
      <w:pPr>
        <w:pStyle w:val="BodyText"/>
        <w:spacing w:line="360" w:lineRule="auto"/>
        <w:ind w:left="162" w:right="159" w:firstLine="719"/>
        <w:jc w:val="both"/>
      </w:pPr>
      <w:r>
        <w:rPr/>
        <w:t>Показания к хирургическому лечению РШМ претерпели значительную эволюцию. Если в начале нашего столетия это был единственный шанс на излечение, то в 30-60гг. этот метод в значительной мере уступил свое место лучевой терапии. В последние десятилетия показания к операции вновь стали ставиться намного чаще. Это объясняется улучшением раннего выявления РШМ, что создало реальные возможности применения органосохраняющих и щадящих операций. С другой стороны, у больных с регионарными метастазами возможности излечения лучевыми методами иллюзорны, в то время как применение различных вариантов комбинированного лечения значительно улучшает прогноз.</w:t>
      </w:r>
    </w:p>
    <w:p>
      <w:pPr>
        <w:pStyle w:val="BodyText"/>
        <w:spacing w:line="360" w:lineRule="auto" w:before="5"/>
        <w:ind w:left="162" w:right="164" w:firstLine="719"/>
        <w:jc w:val="both"/>
      </w:pPr>
      <w:r>
        <w:rPr/>
        <w:t>Многие клиницисты при обнаружении метастазов в подвздошных и запирательных лимфатических узлах предлагают воздерживаться от выполнения радикальных операций [15]. В подобных ситуациях пациенткам рекомендуется проведение сочетанной лучевой терапии. Такой</w:t>
      </w:r>
    </w:p>
    <w:p>
      <w:pPr>
        <w:spacing w:after="0" w:line="360" w:lineRule="auto"/>
        <w:jc w:val="both"/>
        <w:sectPr>
          <w:pgSz w:w="11900" w:h="16850"/>
          <w:pgMar w:header="712" w:footer="0" w:top="1020" w:bottom="280" w:left="1540" w:right="960"/>
        </w:sectPr>
      </w:pPr>
    </w:p>
    <w:p>
      <w:pPr>
        <w:pStyle w:val="BodyText"/>
        <w:rPr>
          <w:sz w:val="20"/>
        </w:rPr>
      </w:pPr>
    </w:p>
    <w:p>
      <w:pPr>
        <w:pStyle w:val="BodyText"/>
        <w:spacing w:line="360" w:lineRule="auto" w:before="252"/>
        <w:ind w:left="102" w:right="128"/>
        <w:jc w:val="both"/>
      </w:pPr>
      <w:r>
        <w:rPr/>
        <w:t>подход представляется нам не совсем оправданным. При технической возможности необходимо стремиться к выполнению  полной циторедукции, что позволит существенно улучшить отдаленные результаты</w:t>
      </w:r>
      <w:r>
        <w:rPr>
          <w:spacing w:val="-3"/>
        </w:rPr>
        <w:t> </w:t>
      </w:r>
      <w:r>
        <w:rPr/>
        <w:t>лечения.</w:t>
      </w:r>
    </w:p>
    <w:p>
      <w:pPr>
        <w:pStyle w:val="BodyText"/>
        <w:spacing w:line="360" w:lineRule="auto" w:before="5"/>
        <w:ind w:left="102" w:right="120" w:firstLine="719"/>
        <w:jc w:val="both"/>
      </w:pPr>
      <w:r>
        <w:rPr/>
        <w:t>Еще одним широко обсуждаемым вопросом является лечебная тактика у больных с метастатическим поражением парааортальных лимфатических узлов. Проведение сочетанной лучевой терапии позволяет добиться 26% 5-летней выживаемости [173, 265].</w:t>
      </w:r>
    </w:p>
    <w:p>
      <w:pPr>
        <w:pStyle w:val="BodyText"/>
        <w:spacing w:line="360" w:lineRule="auto" w:before="5"/>
        <w:ind w:left="102" w:right="115" w:firstLine="278"/>
        <w:jc w:val="both"/>
      </w:pPr>
      <w:r>
        <w:rPr/>
        <w:t>При выполнении же на первом этапе поясничной лимфодиссекции удалось повысить отдаленные результаты лечения до 32 - 54% [99,105,141,147,227,258,269]. Результаты другого авторитетного исследования, проведенного в ряде крупных онкологических клиник Европы не продемонстрировали влияния поясничной лимфодиссекции на выживаемость больных раком шейки матки IV стадии. 5-летняя выживаемость этих больных составила 23% [134]. Мы видим, что данные, представляемые различными авторами сильно разнятся и вопрос о целесообразности удаления метастатически измененных парааортальных лимфатических узлов, а, иными словами, о роли циторедуктивных операций у больных местно – распространенным раком шейки матки на сегодняшний день остается открытым.</w:t>
      </w:r>
    </w:p>
    <w:p>
      <w:pPr>
        <w:pStyle w:val="BodyText"/>
        <w:spacing w:line="360" w:lineRule="auto" w:before="205"/>
        <w:ind w:left="102" w:right="113" w:firstLine="347"/>
        <w:jc w:val="both"/>
      </w:pPr>
      <w:r>
        <w:rPr/>
        <w:t>На основании ретроспективного анализа частоты и локализации рецидивов у больных раком шейки матки было установлено, что в 36% </w:t>
      </w:r>
      <w:r>
        <w:rPr>
          <w:spacing w:val="-3"/>
        </w:rPr>
        <w:t>случаев </w:t>
      </w:r>
      <w:r>
        <w:rPr/>
        <w:t>они </w:t>
      </w:r>
      <w:r>
        <w:rPr>
          <w:spacing w:val="-3"/>
        </w:rPr>
        <w:t>развивались </w:t>
      </w:r>
      <w:r>
        <w:rPr/>
        <w:t>в </w:t>
      </w:r>
      <w:r>
        <w:rPr>
          <w:spacing w:val="-3"/>
        </w:rPr>
        <w:t>параметральной </w:t>
      </w:r>
      <w:r>
        <w:rPr/>
        <w:t>клетчатке, в 23% - в </w:t>
      </w:r>
      <w:r>
        <w:rPr>
          <w:spacing w:val="-3"/>
        </w:rPr>
        <w:t>области первичной опухоли, отдаленные метастазы </w:t>
      </w:r>
      <w:r>
        <w:rPr/>
        <w:t>были </w:t>
      </w:r>
      <w:r>
        <w:rPr>
          <w:spacing w:val="-3"/>
        </w:rPr>
        <w:t>выявлены </w:t>
      </w:r>
      <w:r>
        <w:rPr/>
        <w:t>у 21% </w:t>
      </w:r>
      <w:r>
        <w:rPr>
          <w:spacing w:val="-3"/>
        </w:rPr>
        <w:t>больных. </w:t>
      </w:r>
      <w:r>
        <w:rPr>
          <w:spacing w:val="-2"/>
        </w:rPr>
        <w:t>При </w:t>
      </w:r>
      <w:r>
        <w:rPr>
          <w:spacing w:val="-3"/>
        </w:rPr>
        <w:t>оценке различных вариантов лечебной тактики лучшие результаты  </w:t>
      </w:r>
      <w:r>
        <w:rPr/>
        <w:t>были </w:t>
      </w:r>
      <w:r>
        <w:rPr>
          <w:spacing w:val="-3"/>
        </w:rPr>
        <w:t>получены </w:t>
      </w:r>
      <w:r>
        <w:rPr>
          <w:spacing w:val="-2"/>
        </w:rPr>
        <w:t>при </w:t>
      </w:r>
      <w:r>
        <w:rPr>
          <w:spacing w:val="-3"/>
        </w:rPr>
        <w:t>хирургическом лечении, </w:t>
      </w:r>
      <w:r>
        <w:rPr/>
        <w:t>как </w:t>
      </w:r>
      <w:r>
        <w:rPr>
          <w:spacing w:val="-3"/>
        </w:rPr>
        <w:t>правило заключавшимся </w:t>
      </w:r>
      <w:r>
        <w:rPr/>
        <w:t>в </w:t>
      </w:r>
      <w:r>
        <w:rPr>
          <w:spacing w:val="-3"/>
        </w:rPr>
        <w:t>выполнении тазовых экзентераций </w:t>
      </w:r>
      <w:r>
        <w:rPr/>
        <w:t>[38]. К </w:t>
      </w:r>
      <w:r>
        <w:rPr>
          <w:spacing w:val="-3"/>
        </w:rPr>
        <w:t>сожалению, возможности хирургических вмешательств </w:t>
      </w:r>
      <w:r>
        <w:rPr/>
        <w:t>при </w:t>
      </w:r>
      <w:r>
        <w:rPr>
          <w:spacing w:val="-3"/>
        </w:rPr>
        <w:t>рецидивах </w:t>
      </w:r>
      <w:r>
        <w:rPr/>
        <w:t>рака шейки  </w:t>
      </w:r>
      <w:r>
        <w:rPr>
          <w:spacing w:val="-3"/>
        </w:rPr>
        <w:t>крайне ограничены. Повторное использование лучевой терапии </w:t>
      </w:r>
      <w:r>
        <w:rPr/>
        <w:t>также не</w:t>
      </w:r>
      <w:r>
        <w:rPr>
          <w:spacing w:val="16"/>
        </w:rPr>
        <w:t> </w:t>
      </w:r>
      <w:r>
        <w:rPr>
          <w:spacing w:val="-3"/>
        </w:rPr>
        <w:t>приносит</w:t>
      </w:r>
    </w:p>
    <w:p>
      <w:pPr>
        <w:spacing w:after="0" w:line="360" w:lineRule="auto"/>
        <w:jc w:val="both"/>
        <w:sectPr>
          <w:pgSz w:w="11900" w:h="16850"/>
          <w:pgMar w:header="712" w:footer="0" w:top="1020" w:bottom="280" w:left="1600" w:right="1000"/>
        </w:sectPr>
      </w:pPr>
    </w:p>
    <w:p>
      <w:pPr>
        <w:pStyle w:val="BodyText"/>
        <w:rPr>
          <w:sz w:val="20"/>
        </w:rPr>
      </w:pPr>
    </w:p>
    <w:p>
      <w:pPr>
        <w:pStyle w:val="BodyText"/>
        <w:rPr>
          <w:sz w:val="20"/>
        </w:rPr>
      </w:pPr>
    </w:p>
    <w:p>
      <w:pPr>
        <w:pStyle w:val="BodyText"/>
        <w:spacing w:line="360" w:lineRule="auto" w:before="224"/>
        <w:ind w:left="102" w:right="115"/>
        <w:jc w:val="both"/>
      </w:pPr>
      <w:r>
        <w:rPr>
          <w:spacing w:val="-3"/>
        </w:rPr>
        <w:t>желаемых результатов. Некоторые надежды клиницистов связаны </w:t>
      </w:r>
      <w:r>
        <w:rPr/>
        <w:t>с </w:t>
      </w:r>
      <w:r>
        <w:rPr>
          <w:spacing w:val="-3"/>
        </w:rPr>
        <w:t>использованием современных цитостатиков. Однако, </w:t>
      </w:r>
      <w:r>
        <w:rPr/>
        <w:t>все </w:t>
      </w:r>
      <w:r>
        <w:rPr>
          <w:spacing w:val="-3"/>
        </w:rPr>
        <w:t>перечисленные методики </w:t>
      </w:r>
      <w:r>
        <w:rPr>
          <w:spacing w:val="-2"/>
        </w:rPr>
        <w:t>при </w:t>
      </w:r>
      <w:r>
        <w:rPr>
          <w:spacing w:val="-3"/>
        </w:rPr>
        <w:t>большом количестве осложнений </w:t>
      </w:r>
      <w:r>
        <w:rPr/>
        <w:t>пока не </w:t>
      </w:r>
      <w:r>
        <w:rPr>
          <w:spacing w:val="-3"/>
        </w:rPr>
        <w:t>позволили </w:t>
      </w:r>
      <w:r>
        <w:rPr/>
        <w:t>достичь </w:t>
      </w:r>
      <w:r>
        <w:rPr>
          <w:spacing w:val="-3"/>
        </w:rPr>
        <w:t>сколь-либо существенного увеличения продолжительности жизни  пациентов.</w:t>
      </w:r>
    </w:p>
    <w:p>
      <w:pPr>
        <w:pStyle w:val="BodyText"/>
        <w:spacing w:before="204"/>
        <w:ind w:left="943" w:right="240"/>
        <w:jc w:val="center"/>
      </w:pPr>
      <w:r>
        <w:rPr/>
        <w:t>Рак яичников</w:t>
      </w:r>
    </w:p>
    <w:p>
      <w:pPr>
        <w:pStyle w:val="BodyText"/>
        <w:spacing w:before="5"/>
        <w:rPr>
          <w:sz w:val="31"/>
        </w:rPr>
      </w:pPr>
    </w:p>
    <w:p>
      <w:pPr>
        <w:pStyle w:val="BodyText"/>
        <w:spacing w:line="360" w:lineRule="auto"/>
        <w:ind w:left="102" w:right="115" w:firstLine="268"/>
        <w:jc w:val="both"/>
      </w:pPr>
      <w:r>
        <w:rPr/>
        <w:t>Как </w:t>
      </w:r>
      <w:r>
        <w:rPr>
          <w:spacing w:val="-3"/>
        </w:rPr>
        <w:t>уже упоминалось, локализованные формы </w:t>
      </w:r>
      <w:r>
        <w:rPr/>
        <w:t>рака </w:t>
      </w:r>
      <w:r>
        <w:rPr>
          <w:spacing w:val="-3"/>
        </w:rPr>
        <w:t>яичников выявляются лишь </w:t>
      </w:r>
      <w:r>
        <w:rPr/>
        <w:t>в каждом </w:t>
      </w:r>
      <w:r>
        <w:rPr>
          <w:spacing w:val="-3"/>
        </w:rPr>
        <w:t>третьем наблюдении. Выполнение радикальной операции, дополненной несколькими курсами адъювантной химиотерапии позволяет </w:t>
      </w:r>
      <w:r>
        <w:rPr/>
        <w:t>достичь </w:t>
      </w:r>
      <w:r>
        <w:rPr>
          <w:spacing w:val="-3"/>
        </w:rPr>
        <w:t>относительно высоких показателей 5-летней выживаемости. </w:t>
      </w:r>
      <w:r>
        <w:rPr/>
        <w:t>У </w:t>
      </w:r>
      <w:r>
        <w:rPr>
          <w:spacing w:val="-3"/>
        </w:rPr>
        <w:t>пациенток молодого возраста </w:t>
      </w:r>
      <w:r>
        <w:rPr>
          <w:spacing w:val="-2"/>
        </w:rPr>
        <w:t>при </w:t>
      </w:r>
      <w:r>
        <w:rPr/>
        <w:t>Iа </w:t>
      </w:r>
      <w:r>
        <w:rPr>
          <w:spacing w:val="-3"/>
        </w:rPr>
        <w:t>стадии </w:t>
      </w:r>
      <w:r>
        <w:rPr/>
        <w:t>и </w:t>
      </w:r>
      <w:r>
        <w:rPr>
          <w:spacing w:val="-3"/>
        </w:rPr>
        <w:t>отсутствии неблагоприятных прогностических признаков стандартно прибегают </w:t>
      </w:r>
      <w:r>
        <w:rPr/>
        <w:t>к </w:t>
      </w:r>
      <w:r>
        <w:rPr>
          <w:spacing w:val="-3"/>
        </w:rPr>
        <w:t>органосохраняющему лечению </w:t>
      </w:r>
      <w:r>
        <w:rPr/>
        <w:t>[64, 67].</w:t>
      </w:r>
    </w:p>
    <w:p>
      <w:pPr>
        <w:pStyle w:val="BodyText"/>
        <w:spacing w:line="360" w:lineRule="auto" w:before="207"/>
        <w:ind w:left="102" w:right="130" w:firstLine="347"/>
        <w:jc w:val="both"/>
      </w:pPr>
      <w:r>
        <w:rPr/>
        <w:t>В лечении распространенных форм опухолей яичников ведущая роль принадлежит повышению эффективности I этапа комплексного лечения.</w:t>
      </w:r>
    </w:p>
    <w:p>
      <w:pPr>
        <w:pStyle w:val="BodyText"/>
        <w:spacing w:line="360" w:lineRule="auto" w:before="207"/>
        <w:ind w:left="102" w:right="124" w:firstLine="278"/>
        <w:jc w:val="both"/>
      </w:pPr>
      <w:r>
        <w:rPr/>
        <w:t>Неоспоримым достижением в лечении рака яичников можно считать появление в начале 80-х годов препаратов платины, а затем таксанов, позволивших повысить   5-летнюю   выживаемость   с 37% почти до 50%.</w:t>
      </w:r>
    </w:p>
    <w:p>
      <w:pPr>
        <w:pStyle w:val="BodyText"/>
        <w:spacing w:line="360" w:lineRule="auto" w:before="207"/>
        <w:ind w:left="102" w:right="120" w:firstLine="278"/>
        <w:jc w:val="both"/>
      </w:pPr>
      <w:r>
        <w:rPr/>
        <w:t>И все же, по образному выражению проф. Я.В.Бохмана, рак яичников остается «убийцей №1» в онкогинекологии. По-прежнему, больше половины вновь выявленных больных умирает в течение первых двух лет наблюдения.</w:t>
      </w:r>
    </w:p>
    <w:p>
      <w:pPr>
        <w:pStyle w:val="BodyText"/>
        <w:spacing w:line="360" w:lineRule="auto" w:before="206"/>
        <w:ind w:left="102" w:right="123" w:firstLine="208"/>
        <w:jc w:val="both"/>
      </w:pPr>
      <w:r>
        <w:rPr/>
        <w:t>Всё вышесказанное диктует необходимость как поиска новых путей своевременного выявления начальных форм рака яичников, так и оптимизации существующих программ комбинированного и комплексного лечения. Учитывая недостаточную эффективность системной терапии</w:t>
      </w:r>
    </w:p>
    <w:p>
      <w:pPr>
        <w:spacing w:after="0" w:line="360" w:lineRule="auto"/>
        <w:jc w:val="both"/>
        <w:sectPr>
          <w:pgSz w:w="11900" w:h="16850"/>
          <w:pgMar w:header="712" w:footer="0" w:top="1020" w:bottom="280" w:left="1600" w:right="1000"/>
        </w:sectPr>
      </w:pPr>
    </w:p>
    <w:p>
      <w:pPr>
        <w:pStyle w:val="BodyText"/>
        <w:rPr>
          <w:sz w:val="20"/>
        </w:rPr>
      </w:pPr>
    </w:p>
    <w:p>
      <w:pPr>
        <w:pStyle w:val="BodyText"/>
        <w:rPr>
          <w:sz w:val="20"/>
        </w:rPr>
      </w:pPr>
    </w:p>
    <w:p>
      <w:pPr>
        <w:pStyle w:val="BodyText"/>
        <w:spacing w:line="360" w:lineRule="auto" w:before="224"/>
        <w:ind w:left="122" w:right="101"/>
        <w:jc w:val="both"/>
      </w:pPr>
      <w:r>
        <w:rPr/>
        <w:t>рецидивов рака яичников, ограниченные возможности лучевых методов лечения, все большее внимание уделяется расширению показаний к выполнению  циторедуктивных операций.</w:t>
      </w:r>
    </w:p>
    <w:p>
      <w:pPr>
        <w:pStyle w:val="BodyText"/>
        <w:spacing w:line="360" w:lineRule="auto" w:before="207"/>
        <w:ind w:left="122" w:right="101" w:firstLine="278"/>
        <w:jc w:val="both"/>
      </w:pPr>
      <w:r>
        <w:rPr/>
        <w:t>Общепринятой классификацией, характеризующей степень радикальности выполненной операции является классификация Vergote I., предложенная им в 1998 году  (Табл.1.1) [268].</w:t>
      </w:r>
    </w:p>
    <w:p>
      <w:pPr>
        <w:pStyle w:val="BodyText"/>
        <w:rPr>
          <w:sz w:val="30"/>
        </w:rPr>
      </w:pPr>
    </w:p>
    <w:p>
      <w:pPr>
        <w:pStyle w:val="BodyText"/>
        <w:rPr>
          <w:sz w:val="30"/>
        </w:rPr>
      </w:pPr>
    </w:p>
    <w:p>
      <w:pPr>
        <w:pStyle w:val="BodyText"/>
        <w:spacing w:before="199"/>
        <w:ind w:left="534" w:firstLine="7240"/>
      </w:pPr>
      <w:r>
        <w:rPr/>
        <w:t>Таблица 1.1</w:t>
      </w:r>
    </w:p>
    <w:p>
      <w:pPr>
        <w:pStyle w:val="BodyText"/>
        <w:rPr>
          <w:sz w:val="20"/>
        </w:rPr>
      </w:pPr>
    </w:p>
    <w:p>
      <w:pPr>
        <w:pStyle w:val="BodyText"/>
        <w:spacing w:after="1"/>
        <w:rPr>
          <w:sz w:val="1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2"/>
      </w:tblGrid>
      <w:tr>
        <w:trPr>
          <w:trHeight w:val="1858" w:hRule="exact"/>
        </w:trPr>
        <w:tc>
          <w:tcPr>
            <w:tcW w:w="8932" w:type="dxa"/>
          </w:tcPr>
          <w:p>
            <w:pPr>
              <w:pStyle w:val="TableParagraph"/>
              <w:spacing w:line="360" w:lineRule="auto"/>
              <w:ind w:left="1909" w:right="1195"/>
              <w:jc w:val="center"/>
              <w:rPr>
                <w:sz w:val="28"/>
              </w:rPr>
            </w:pPr>
            <w:r>
              <w:rPr>
                <w:sz w:val="28"/>
              </w:rPr>
              <w:t>Классификация операций по радикальности при распространенном раке яичников</w:t>
            </w:r>
          </w:p>
          <w:p>
            <w:pPr>
              <w:pStyle w:val="TableParagraph"/>
              <w:spacing w:before="214"/>
              <w:ind w:left="1909" w:right="1189"/>
              <w:jc w:val="center"/>
              <w:rPr>
                <w:sz w:val="28"/>
              </w:rPr>
            </w:pPr>
            <w:r>
              <w:rPr>
                <w:sz w:val="28"/>
              </w:rPr>
              <w:t>(Vergote I.B.  et. al.1998)</w:t>
            </w:r>
          </w:p>
        </w:tc>
      </w:tr>
      <w:tr>
        <w:trPr>
          <w:trHeight w:val="1378" w:hRule="exact"/>
        </w:trPr>
        <w:tc>
          <w:tcPr>
            <w:tcW w:w="8932" w:type="dxa"/>
          </w:tcPr>
          <w:p>
            <w:pPr>
              <w:pStyle w:val="TableParagraph"/>
              <w:spacing w:line="318" w:lineRule="exact"/>
              <w:ind w:left="103"/>
              <w:rPr>
                <w:sz w:val="28"/>
              </w:rPr>
            </w:pPr>
            <w:r>
              <w:rPr>
                <w:sz w:val="28"/>
              </w:rPr>
              <w:t>“Оптимальная операция” -</w:t>
            </w:r>
          </w:p>
          <w:p>
            <w:pPr>
              <w:pStyle w:val="TableParagraph"/>
              <w:spacing w:before="3"/>
              <w:rPr>
                <w:sz w:val="31"/>
              </w:rPr>
            </w:pPr>
          </w:p>
          <w:p>
            <w:pPr>
              <w:pStyle w:val="TableParagraph"/>
              <w:ind w:left="103"/>
              <w:rPr>
                <w:sz w:val="28"/>
              </w:rPr>
            </w:pPr>
            <w:r>
              <w:rPr>
                <w:sz w:val="28"/>
              </w:rPr>
              <w:t>циторедуктивная операция  c остаточной опухолью до 1 см.</w:t>
            </w:r>
          </w:p>
        </w:tc>
      </w:tr>
      <w:tr>
        <w:trPr>
          <w:trHeight w:val="2060" w:hRule="exact"/>
        </w:trPr>
        <w:tc>
          <w:tcPr>
            <w:tcW w:w="8932" w:type="dxa"/>
          </w:tcPr>
          <w:p>
            <w:pPr>
              <w:pStyle w:val="TableParagraph"/>
              <w:spacing w:line="315" w:lineRule="exact"/>
              <w:ind w:left="103"/>
              <w:rPr>
                <w:sz w:val="28"/>
              </w:rPr>
            </w:pPr>
            <w:r>
              <w:rPr>
                <w:sz w:val="28"/>
              </w:rPr>
              <w:t>“Субоптимальная операция” –</w:t>
            </w:r>
          </w:p>
          <w:p>
            <w:pPr>
              <w:pStyle w:val="TableParagraph"/>
              <w:spacing w:before="3"/>
              <w:rPr>
                <w:sz w:val="31"/>
              </w:rPr>
            </w:pPr>
          </w:p>
          <w:p>
            <w:pPr>
              <w:pStyle w:val="TableParagraph"/>
              <w:ind w:left="103"/>
              <w:rPr>
                <w:sz w:val="28"/>
              </w:rPr>
            </w:pPr>
            <w:r>
              <w:rPr>
                <w:sz w:val="28"/>
              </w:rPr>
              <w:t>циторедуктивная операция с остаточной опухолью 1-2см.</w:t>
            </w:r>
          </w:p>
        </w:tc>
      </w:tr>
      <w:tr>
        <w:trPr>
          <w:trHeight w:val="1375" w:hRule="exact"/>
        </w:trPr>
        <w:tc>
          <w:tcPr>
            <w:tcW w:w="8932" w:type="dxa"/>
          </w:tcPr>
          <w:p>
            <w:pPr>
              <w:pStyle w:val="TableParagraph"/>
              <w:spacing w:line="315" w:lineRule="exact"/>
              <w:ind w:left="103"/>
              <w:rPr>
                <w:sz w:val="28"/>
              </w:rPr>
            </w:pPr>
            <w:r>
              <w:rPr>
                <w:sz w:val="28"/>
              </w:rPr>
              <w:t>“Неоптимальная операция” –</w:t>
            </w:r>
          </w:p>
          <w:p>
            <w:pPr>
              <w:pStyle w:val="TableParagraph"/>
              <w:spacing w:before="3"/>
              <w:rPr>
                <w:sz w:val="31"/>
              </w:rPr>
            </w:pPr>
          </w:p>
          <w:p>
            <w:pPr>
              <w:pStyle w:val="TableParagraph"/>
              <w:ind w:left="103"/>
              <w:rPr>
                <w:sz w:val="28"/>
              </w:rPr>
            </w:pPr>
            <w:r>
              <w:rPr>
                <w:sz w:val="28"/>
              </w:rPr>
              <w:t>циторедуктивная операция с остаточной опухолью более 2см.</w:t>
            </w:r>
          </w:p>
        </w:tc>
      </w:tr>
    </w:tbl>
    <w:p>
      <w:pPr>
        <w:pStyle w:val="BodyText"/>
        <w:rPr>
          <w:sz w:val="30"/>
        </w:rPr>
      </w:pPr>
    </w:p>
    <w:p>
      <w:pPr>
        <w:pStyle w:val="BodyText"/>
        <w:spacing w:before="10"/>
      </w:pPr>
    </w:p>
    <w:p>
      <w:pPr>
        <w:pStyle w:val="BodyText"/>
        <w:spacing w:line="360" w:lineRule="auto"/>
        <w:ind w:left="122" w:right="103" w:firstLine="412"/>
        <w:jc w:val="both"/>
      </w:pPr>
      <w:r>
        <w:rPr/>
        <w:t>Исследование германской гинекологической группы, охватившем  более 3000 больных раком яичников IIB-IV стадий, показало, что при выполнении полной циторедукции (без остаточных опухолевых масс) продолжительность жизни больных достигла почти 100 месяцев. В то</w:t>
      </w:r>
      <w:r>
        <w:rPr>
          <w:spacing w:val="-15"/>
        </w:rPr>
        <w:t> </w:t>
      </w:r>
      <w:r>
        <w:rPr/>
        <w:t>же</w:t>
      </w:r>
    </w:p>
    <w:p>
      <w:pPr>
        <w:spacing w:after="0" w:line="360" w:lineRule="auto"/>
        <w:jc w:val="both"/>
        <w:sectPr>
          <w:pgSz w:w="11900" w:h="16850"/>
          <w:pgMar w:header="712" w:footer="0" w:top="1020" w:bottom="280" w:left="1580" w:right="1020"/>
        </w:sectPr>
      </w:pPr>
    </w:p>
    <w:p>
      <w:pPr>
        <w:pStyle w:val="BodyText"/>
        <w:rPr>
          <w:sz w:val="20"/>
        </w:rPr>
      </w:pPr>
    </w:p>
    <w:p>
      <w:pPr>
        <w:pStyle w:val="BodyText"/>
        <w:rPr>
          <w:sz w:val="20"/>
        </w:rPr>
      </w:pPr>
    </w:p>
    <w:p>
      <w:pPr>
        <w:pStyle w:val="BodyText"/>
        <w:spacing w:line="360" w:lineRule="auto" w:before="224"/>
        <w:ind w:left="122" w:right="98" w:hanging="10"/>
        <w:jc w:val="both"/>
      </w:pPr>
      <w:r>
        <w:rPr/>
        <w:t>время, при остаточной опухоли до 1 см (оптимальная циторедукция) она снизилась до 36 месяцев. При размере остаточной опухоли более 1см выживаемость не превысила 30 месяцев [268]. По данным FIGO существует достоверное различие в выживаемости больных после субоптимальных и неоптимальных циторедуктиных операций – 36 и17мес. соответственно. Сходные результаты получены также в крупных рандомизированных исследованиях EORTC-55971 и SCOTROC-1</w:t>
      </w:r>
      <w:r>
        <w:rPr>
          <w:spacing w:val="-24"/>
        </w:rPr>
        <w:t> </w:t>
      </w:r>
      <w:r>
        <w:rPr/>
        <w:t>[140].</w:t>
      </w:r>
    </w:p>
    <w:p>
      <w:pPr>
        <w:pStyle w:val="BodyText"/>
        <w:spacing w:line="360" w:lineRule="auto" w:before="207"/>
        <w:ind w:left="122" w:right="100" w:firstLine="412"/>
        <w:jc w:val="both"/>
      </w:pPr>
      <w:r>
        <w:rPr/>
        <w:t>Из представленных данных видно, что ощутимую пользу больным раком яичников приносят хирургические вмешательства, в результате которых достигается полная циторедукция. Операции же, выполненные в неоптимальном объеме, не улучшают отдаленные результаты лечения и, наоборот, приводят к задержке с началом системного лечения.  По сей  день спорным остается вопрос о выполнении парааортальной и тазовой лимфодиссекции у больных раком яичников</w:t>
      </w:r>
      <w:r>
        <w:rPr>
          <w:spacing w:val="-12"/>
        </w:rPr>
        <w:t> </w:t>
      </w:r>
      <w:r>
        <w:rPr/>
        <w:t>[140].</w:t>
      </w:r>
    </w:p>
    <w:p>
      <w:pPr>
        <w:pStyle w:val="BodyText"/>
        <w:spacing w:line="360" w:lineRule="auto" w:before="206"/>
        <w:ind w:left="122" w:right="99" w:firstLine="208"/>
        <w:jc w:val="both"/>
      </w:pPr>
      <w:r>
        <w:rPr/>
        <w:t>По статистике у 2/3 больных распространенными формами рака  яичников в течение первых 1-2 лет наблюдения развиваются рецидивы заболевания. Даже при локализованных формах рака, после проведенного, казалось бы, адекватного комбинированного лечения, 25-40% больных умирают в дальнейшем от рецидивов заболевания. Лечение рецидивов  рака яичников является, наверное, самой сложной и далекой от решения проблемой в онкогинекологии. В этой связи важное значение имеет как можно более раннее выявление рецидивов и метастазов опухоли, а также получение максимальной информации о состоянии опухолевого процесса на всех этапах течения</w:t>
      </w:r>
      <w:r>
        <w:rPr>
          <w:spacing w:val="-9"/>
        </w:rPr>
        <w:t> </w:t>
      </w:r>
      <w:r>
        <w:rPr/>
        <w:t>заболевания.</w:t>
      </w:r>
    </w:p>
    <w:p>
      <w:pPr>
        <w:pStyle w:val="BodyText"/>
        <w:spacing w:line="362" w:lineRule="auto" w:before="204"/>
        <w:ind w:left="122" w:right="108" w:firstLine="278"/>
        <w:jc w:val="both"/>
      </w:pPr>
      <w:r>
        <w:rPr/>
        <w:t>На сегодняшний день в отношении рецидивов рака яичников общепринятыми являются следующие положения:</w:t>
      </w:r>
    </w:p>
    <w:p>
      <w:pPr>
        <w:pStyle w:val="ListParagraph"/>
        <w:numPr>
          <w:ilvl w:val="0"/>
          <w:numId w:val="8"/>
        </w:numPr>
        <w:tabs>
          <w:tab w:pos="841" w:val="left" w:leader="none"/>
          <w:tab w:pos="842" w:val="left" w:leader="none"/>
        </w:tabs>
        <w:spacing w:line="240" w:lineRule="auto" w:before="200" w:after="0"/>
        <w:ind w:left="822" w:right="0" w:hanging="340"/>
        <w:jc w:val="left"/>
        <w:rPr>
          <w:sz w:val="28"/>
        </w:rPr>
      </w:pPr>
      <w:r>
        <w:rPr>
          <w:sz w:val="28"/>
        </w:rPr>
        <w:t>Отсутствие единых тактических подходов и</w:t>
      </w:r>
      <w:r>
        <w:rPr>
          <w:spacing w:val="-20"/>
          <w:sz w:val="28"/>
        </w:rPr>
        <w:t> </w:t>
      </w:r>
      <w:r>
        <w:rPr>
          <w:sz w:val="28"/>
        </w:rPr>
        <w:t>рекомендаций.</w:t>
      </w:r>
    </w:p>
    <w:p>
      <w:pPr>
        <w:spacing w:after="0" w:line="240" w:lineRule="auto"/>
        <w:jc w:val="left"/>
        <w:rPr>
          <w:sz w:val="28"/>
        </w:rPr>
        <w:sectPr>
          <w:pgSz w:w="11900" w:h="16850"/>
          <w:pgMar w:header="712" w:footer="0" w:top="1020" w:bottom="280" w:left="1580" w:right="1020"/>
        </w:sectPr>
      </w:pPr>
    </w:p>
    <w:p>
      <w:pPr>
        <w:pStyle w:val="BodyText"/>
        <w:rPr>
          <w:sz w:val="20"/>
        </w:rPr>
      </w:pPr>
    </w:p>
    <w:p>
      <w:pPr>
        <w:pStyle w:val="ListParagraph"/>
        <w:numPr>
          <w:ilvl w:val="0"/>
          <w:numId w:val="8"/>
        </w:numPr>
        <w:tabs>
          <w:tab w:pos="805" w:val="left" w:leader="none"/>
          <w:tab w:pos="806" w:val="left" w:leader="none"/>
        </w:tabs>
        <w:spacing w:line="240" w:lineRule="auto" w:before="251" w:after="0"/>
        <w:ind w:left="805" w:right="0" w:hanging="343"/>
        <w:jc w:val="left"/>
        <w:rPr>
          <w:sz w:val="28"/>
        </w:rPr>
      </w:pPr>
      <w:r>
        <w:rPr>
          <w:sz w:val="28"/>
        </w:rPr>
        <w:t>Терапия рецидивов носит паллиативный</w:t>
      </w:r>
      <w:r>
        <w:rPr>
          <w:spacing w:val="-17"/>
          <w:sz w:val="28"/>
        </w:rPr>
        <w:t> </w:t>
      </w:r>
      <w:r>
        <w:rPr>
          <w:sz w:val="28"/>
        </w:rPr>
        <w:t>характер.</w:t>
      </w:r>
    </w:p>
    <w:p>
      <w:pPr>
        <w:pStyle w:val="ListParagraph"/>
        <w:numPr>
          <w:ilvl w:val="0"/>
          <w:numId w:val="8"/>
        </w:numPr>
        <w:tabs>
          <w:tab w:pos="806" w:val="left" w:leader="none"/>
        </w:tabs>
        <w:spacing w:line="360" w:lineRule="auto" w:before="161" w:after="0"/>
        <w:ind w:left="822" w:right="101" w:hanging="360"/>
        <w:jc w:val="both"/>
        <w:rPr>
          <w:sz w:val="28"/>
        </w:rPr>
      </w:pPr>
      <w:r>
        <w:rPr>
          <w:sz w:val="28"/>
        </w:rPr>
        <w:t>Чувствительность рака яичников к препаратам 2-ой линии химиотерапии колеблется от 19-27% с последующей медианой выживаемости от 8 до 12 мес.</w:t>
      </w:r>
      <w:r>
        <w:rPr>
          <w:spacing w:val="-15"/>
          <w:sz w:val="28"/>
        </w:rPr>
        <w:t> </w:t>
      </w:r>
      <w:r>
        <w:rPr>
          <w:sz w:val="28"/>
        </w:rPr>
        <w:t>[199].</w:t>
      </w:r>
    </w:p>
    <w:p>
      <w:pPr>
        <w:pStyle w:val="BodyText"/>
        <w:spacing w:line="360" w:lineRule="auto" w:before="5"/>
        <w:ind w:left="102" w:right="106" w:firstLine="278"/>
        <w:jc w:val="both"/>
      </w:pPr>
      <w:r>
        <w:rPr/>
        <w:t>В связи с низкой эффективностью лекарственной терапии рецидивов рака яичников все большее значение приобретает изучение возможностей выполнения повторных циторедуктивных операций.</w:t>
      </w:r>
    </w:p>
    <w:p>
      <w:pPr>
        <w:pStyle w:val="BodyText"/>
        <w:spacing w:line="360" w:lineRule="auto" w:before="205"/>
        <w:ind w:left="102" w:right="107" w:firstLine="278"/>
        <w:jc w:val="both"/>
      </w:pPr>
      <w:r>
        <w:rPr/>
        <w:t>Все многообразие выполняемых повторных хирургических вмешательств у больных раком яичников может быть разделено на четыре группы:</w:t>
      </w:r>
    </w:p>
    <w:p>
      <w:pPr>
        <w:pStyle w:val="ListParagraph"/>
        <w:numPr>
          <w:ilvl w:val="0"/>
          <w:numId w:val="9"/>
        </w:numPr>
        <w:tabs>
          <w:tab w:pos="821" w:val="left" w:leader="none"/>
          <w:tab w:pos="822" w:val="left" w:leader="none"/>
        </w:tabs>
        <w:spacing w:line="240" w:lineRule="auto" w:before="204" w:after="0"/>
        <w:ind w:left="822" w:right="0" w:hanging="360"/>
        <w:jc w:val="left"/>
        <w:rPr>
          <w:sz w:val="28"/>
        </w:rPr>
      </w:pPr>
      <w:r>
        <w:rPr>
          <w:sz w:val="28"/>
        </w:rPr>
        <w:t>операции</w:t>
      </w:r>
      <w:r>
        <w:rPr>
          <w:spacing w:val="-10"/>
          <w:sz w:val="28"/>
        </w:rPr>
        <w:t> </w:t>
      </w:r>
      <w:r>
        <w:rPr>
          <w:sz w:val="28"/>
        </w:rPr>
        <w:t>«Second-Look»,</w:t>
      </w:r>
    </w:p>
    <w:p>
      <w:pPr>
        <w:pStyle w:val="ListParagraph"/>
        <w:numPr>
          <w:ilvl w:val="0"/>
          <w:numId w:val="9"/>
        </w:numPr>
        <w:tabs>
          <w:tab w:pos="822" w:val="left" w:leader="none"/>
        </w:tabs>
        <w:spacing w:line="360" w:lineRule="auto" w:before="162" w:after="0"/>
        <w:ind w:left="822" w:right="110" w:hanging="360"/>
        <w:jc w:val="both"/>
        <w:rPr>
          <w:sz w:val="28"/>
        </w:rPr>
      </w:pPr>
      <w:r>
        <w:rPr>
          <w:sz w:val="28"/>
        </w:rPr>
        <w:t>интервальные, или промежуточные операции, уже рассмотренные выше,</w:t>
      </w:r>
    </w:p>
    <w:p>
      <w:pPr>
        <w:pStyle w:val="ListParagraph"/>
        <w:numPr>
          <w:ilvl w:val="0"/>
          <w:numId w:val="9"/>
        </w:numPr>
        <w:tabs>
          <w:tab w:pos="822" w:val="left" w:leader="none"/>
        </w:tabs>
        <w:spacing w:line="360" w:lineRule="auto" w:before="5" w:after="0"/>
        <w:ind w:left="822" w:right="106" w:hanging="360"/>
        <w:jc w:val="both"/>
        <w:rPr>
          <w:sz w:val="28"/>
        </w:rPr>
      </w:pPr>
      <w:r>
        <w:rPr>
          <w:sz w:val="28"/>
        </w:rPr>
        <w:t>вторичные циторедуктивные операции, выполняемые по поводу рецидива</w:t>
      </w:r>
      <w:r>
        <w:rPr>
          <w:spacing w:val="-6"/>
          <w:sz w:val="28"/>
        </w:rPr>
        <w:t> </w:t>
      </w:r>
      <w:r>
        <w:rPr>
          <w:sz w:val="28"/>
        </w:rPr>
        <w:t>заболевания,</w:t>
      </w:r>
    </w:p>
    <w:p>
      <w:pPr>
        <w:pStyle w:val="ListParagraph"/>
        <w:numPr>
          <w:ilvl w:val="0"/>
          <w:numId w:val="9"/>
        </w:numPr>
        <w:tabs>
          <w:tab w:pos="822" w:val="left" w:leader="none"/>
        </w:tabs>
        <w:spacing w:line="360" w:lineRule="auto" w:before="7" w:after="0"/>
        <w:ind w:left="822" w:right="100" w:hanging="360"/>
        <w:jc w:val="both"/>
        <w:rPr>
          <w:sz w:val="28"/>
        </w:rPr>
      </w:pPr>
      <w:r>
        <w:rPr>
          <w:sz w:val="28"/>
        </w:rPr>
        <w:t>паллиативные и симптоматические операции, выполняемые при развитии острых состояний (перитонит, кишечная непроходимость) на фоне прогрессирования</w:t>
      </w:r>
      <w:r>
        <w:rPr>
          <w:spacing w:val="-17"/>
          <w:sz w:val="28"/>
        </w:rPr>
        <w:t> </w:t>
      </w:r>
      <w:r>
        <w:rPr>
          <w:sz w:val="28"/>
        </w:rPr>
        <w:t>заболевания.</w:t>
      </w:r>
    </w:p>
    <w:p>
      <w:pPr>
        <w:pStyle w:val="BodyText"/>
        <w:spacing w:line="360" w:lineRule="auto" w:before="4"/>
        <w:ind w:left="102" w:right="98" w:firstLine="347"/>
        <w:jc w:val="both"/>
      </w:pPr>
      <w:r>
        <w:rPr/>
        <w:t>Идея и теоретическое обоснование системных релапаротомий, получивших название «Second-Look» принадлежит американскому  хирургу Oween H. Wangensteen. Под его руководством была разработана программа проведения повторных операций (The Second-Look Program of operation), введенная в государственную систему мероприятий против рака желудка и кишечника в США еще 1948 году</w:t>
      </w:r>
      <w:r>
        <w:rPr>
          <w:spacing w:val="-11"/>
        </w:rPr>
        <w:t> </w:t>
      </w:r>
      <w:r>
        <w:rPr/>
        <w:t>[272].</w:t>
      </w:r>
    </w:p>
    <w:p>
      <w:pPr>
        <w:pStyle w:val="BodyText"/>
        <w:spacing w:line="360" w:lineRule="auto" w:before="206"/>
        <w:ind w:left="102" w:right="104" w:firstLine="347"/>
        <w:jc w:val="both"/>
      </w:pPr>
      <w:r>
        <w:rPr/>
        <w:t>Несколько позже операции «Second-look» стали применять у больных опухолями яичников. Обобщение первого этапа исследований школы Wangensteen по применению повторных лапаротомий было проведено</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98"/>
        <w:jc w:val="both"/>
      </w:pPr>
      <w:r>
        <w:rPr/>
        <w:t>Santoro B. В 1961г. [238]. Хирургическое вмешательство указанного типа выполнено у 14 пациенток без клинических признаков заболевания,   через</w:t>
      </w:r>
    </w:p>
    <w:p>
      <w:pPr>
        <w:pStyle w:val="BodyText"/>
        <w:spacing w:line="360" w:lineRule="auto" w:before="5"/>
        <w:ind w:left="102" w:right="98"/>
        <w:jc w:val="both"/>
      </w:pPr>
      <w:r>
        <w:rPr/>
        <w:t>6 месяцев после первичной операции по поводу гистологически подтвержденной опухоли яичников. Репрезентативные материалы получены в ряде клиник США с 1962-1971 гг. на 108 случаях. В отечественной литературе встречались лишь единичные сообщения о применении повторных операций с малым числом наблюдений [36,57]. Наряду с общей положительной оценкой операций «Second-look» высказывалось и скептическое отношение к самой идее подобных вмешательств. Некоторые ставят под сомнение их целесообразность в случае хорошего эффекта от химиотерапии у больных III-IV ст., отмечая, что они не приводят к улучшению выживаемости больных [186,204,214,218].</w:t>
      </w:r>
    </w:p>
    <w:p>
      <w:pPr>
        <w:pStyle w:val="BodyText"/>
        <w:spacing w:line="360" w:lineRule="auto" w:before="204"/>
        <w:ind w:left="102" w:right="101" w:firstLine="278"/>
        <w:jc w:val="both"/>
      </w:pPr>
      <w:r>
        <w:rPr/>
        <w:t>Таким образом, операция «Second-look» - это диагностическая лапаротомия, которая выполняется для оценки остаточной опухоли у больных при отсутствии клинических проявлений заболевания после проведения курсов полихимиотерапии и может быть рекомендована в специально разработанных программах по лечению больных опухолями яичников.</w:t>
      </w:r>
    </w:p>
    <w:p>
      <w:pPr>
        <w:pStyle w:val="BodyText"/>
        <w:spacing w:line="360" w:lineRule="auto" w:before="206"/>
        <w:ind w:left="102" w:right="103" w:firstLine="283"/>
        <w:jc w:val="both"/>
      </w:pPr>
      <w:r>
        <w:rPr/>
        <w:t>Вторая группа – это интервальные циторедукции, составляющие больше половины всех повторных хирургических вмешательств у больных раком яичников.</w:t>
      </w:r>
    </w:p>
    <w:p>
      <w:pPr>
        <w:pStyle w:val="BodyText"/>
        <w:spacing w:line="360" w:lineRule="auto" w:before="206"/>
        <w:ind w:left="102" w:right="100" w:firstLine="283"/>
        <w:jc w:val="both"/>
      </w:pPr>
      <w:r>
        <w:rPr/>
        <w:t>В России большая часть интервальных циторедуктивных операций выполняется после пробных чревосечений или лапароскопий, произведенных в неспециализированных лечебных учреждениях и 2-3 курсов неоадъювантной химиотерапии.</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2" w:firstLine="283"/>
        <w:jc w:val="both"/>
      </w:pPr>
      <w:r>
        <w:rPr/>
        <w:t>Другими словами, речь идет о вопросе более чем 40-летней давности: с чего начинать лечение больных раком яичников - с циторедуктивной операции или с химиотерапии?</w:t>
      </w:r>
    </w:p>
    <w:p>
      <w:pPr>
        <w:pStyle w:val="BodyText"/>
        <w:spacing w:line="360" w:lineRule="auto" w:before="207"/>
        <w:ind w:left="102" w:right="102" w:firstLine="283"/>
        <w:jc w:val="both"/>
      </w:pPr>
      <w:r>
        <w:rPr/>
        <w:t>Исходя из представленных выше результатов рандомизированных исследований, сегодня ответ на этот вопрос заключается в технической возможности выполнения оптимальной циторедукции. По данным упоминавшегося уже исследования EORTC, продолжительность жизни больных оказалась одинаковой и составила 30 месяцев, независимо  от того, с чего начиналось лечение – с операции или  с  химиотерапии. Частота оптимальных циторедукций была вдвое выше у больных, получивших три курса неоадъювантной химиотерапии. </w:t>
      </w:r>
      <w:r>
        <w:rPr>
          <w:spacing w:val="-2"/>
        </w:rPr>
        <w:t>При </w:t>
      </w:r>
      <w:r>
        <w:rPr/>
        <w:t>сопоставлении выживаемости больных после выполненных на разных этапах оптимальных циторедукций выяснилось, что лучшие цифры продолжительности жизни продемонстрировали пациенты, прооперированные до начала системного лечения (45 и 38 мес. соответственно). В то же время, после неоптимальных циторедукций, выполненных на первом этапе лечения, больные прожили на 12 месяцев меньше, чем после оптимальных интервальных</w:t>
      </w:r>
      <w:r>
        <w:rPr>
          <w:spacing w:val="-15"/>
        </w:rPr>
        <w:t> </w:t>
      </w:r>
      <w:r>
        <w:rPr/>
        <w:t>операций.</w:t>
      </w:r>
    </w:p>
    <w:p>
      <w:pPr>
        <w:pStyle w:val="BodyText"/>
        <w:spacing w:line="360" w:lineRule="auto" w:before="207"/>
        <w:ind w:left="102" w:right="103" w:firstLine="487"/>
        <w:jc w:val="both"/>
      </w:pPr>
      <w:r>
        <w:rPr/>
        <w:t>При рецидивах, возникших после комбинированного лечения, рядом авторов рассматривается возможность выполнения вторичных циторедуктивных операций.</w:t>
      </w:r>
    </w:p>
    <w:p>
      <w:pPr>
        <w:pStyle w:val="BodyText"/>
        <w:tabs>
          <w:tab w:pos="3805" w:val="left" w:leader="none"/>
          <w:tab w:pos="7388" w:val="left" w:leader="none"/>
        </w:tabs>
        <w:spacing w:line="360" w:lineRule="auto" w:before="207"/>
        <w:ind w:left="102" w:right="103" w:firstLine="69"/>
        <w:jc w:val="both"/>
      </w:pPr>
      <w:r>
        <w:rPr/>
        <w:t>В этом разделе следует упомянуть о выполнении диагностических вмешательств, связанных с подозрением на рецидив заболевания при отсутствии измеряемых опухолевых очагов. Завершенное в 2010 году исследование MRC-OV05, посвященное маркерным рецидивам, продемонстрировало</w:t>
        <w:tab/>
        <w:t>нецелесообразность</w:t>
        <w:tab/>
        <w:t>возобновления противоопухолевого лечения при отсутствии клинических проявлений заболевания.  В то же время, именно в этой группе больных</w:t>
      </w:r>
      <w:r>
        <w:rPr>
          <w:spacing w:val="-21"/>
        </w:rPr>
        <w:t> </w:t>
      </w:r>
      <w:r>
        <w:rPr/>
        <w:t>возможно</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pPr>
      <w:r>
        <w:rPr/>
        <w:t>выявление локальных рецидивов рака яичников, которые могут быть радикально удалены</w:t>
      </w:r>
      <w:r>
        <w:rPr>
          <w:spacing w:val="58"/>
        </w:rPr>
        <w:t> </w:t>
      </w:r>
      <w:r>
        <w:rPr/>
        <w:t>[235].</w:t>
      </w:r>
    </w:p>
    <w:p>
      <w:pPr>
        <w:pStyle w:val="BodyText"/>
        <w:spacing w:line="360" w:lineRule="auto" w:before="207"/>
        <w:ind w:left="102" w:right="102" w:firstLine="208"/>
        <w:jc w:val="both"/>
      </w:pPr>
      <w:r>
        <w:rPr/>
        <w:t>Необычайно важным исследованием, позволяющим объективно оценить целесообразность и сформулировать показания к вторичным циторедуктивным операциям является исследование Немецкой гинекологической группы DESCTOP 1. Основным результатом этого исследования, в которое были включены почти 300 больных с рецидивами рака яичников явилось отсутствие какого-либо увеличения продолжительности жизни больных даже после повторных оптимальных циторедукций. При размерах остаточной опухоли до 1 см и более 1 см продолжительность жизни оказалась одинаковой и составила 19 месяцев. После полной циторедукции, т.е. без остаточной опухоли, больные прожили более 2 лет. Авторы делают вывод об эффективности только полных циторедукций [164].</w:t>
      </w:r>
    </w:p>
    <w:p>
      <w:pPr>
        <w:pStyle w:val="BodyText"/>
        <w:spacing w:line="360" w:lineRule="auto" w:before="207"/>
        <w:ind w:left="102" w:right="102" w:firstLine="278"/>
        <w:jc w:val="both"/>
      </w:pPr>
      <w:r>
        <w:rPr/>
        <w:t>Вопрос о выполнении повторных циторедуктивных операций после нерадикальных первичных хирургических вмешательств на сегодняшний день остается открытым. С одной стороны, в ряде работ продемонстрирована низкая вероятность выполнения повторной циторедукции в оптимальном объёме [232]. Кроме того, в исследовании GOG-152, посвященном изучению целесообразности выполнения интервальных операций в подобных ситуациях, продемонстрировано отсутствие какого-либо влияния на отдаленные результаты.</w:t>
      </w:r>
    </w:p>
    <w:p>
      <w:pPr>
        <w:pStyle w:val="BodyText"/>
        <w:spacing w:line="360" w:lineRule="auto" w:before="207"/>
        <w:ind w:left="102" w:right="98" w:firstLine="278"/>
        <w:jc w:val="both"/>
      </w:pPr>
      <w:r>
        <w:rPr/>
        <w:t>Правда, здесь следует оговориться, что средняя продолжительность жизни больных рецидивами рака яичников при проведении стандартного лечения составляет всего 12 мес. [199]. Таким образом, даже нерадикальные по объему повторные хирургические вмешательства способны на 5-7 месяцев продлить жизнь больных [164].</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tabs>
          <w:tab w:pos="2204" w:val="left" w:leader="none"/>
          <w:tab w:pos="4763" w:val="left" w:leader="none"/>
          <w:tab w:pos="6589" w:val="left" w:leader="none"/>
        </w:tabs>
        <w:spacing w:line="360" w:lineRule="auto" w:before="224"/>
        <w:ind w:left="102" w:right="102" w:firstLine="347"/>
        <w:jc w:val="both"/>
      </w:pPr>
      <w:r>
        <w:rPr/>
        <w:t>Одним из дополнительных лечебных воздействий, позволяющих повысить выживаемость больных рецидивами рака яичников после вторичных</w:t>
        <w:tab/>
        <w:t>циторедукций,</w:t>
        <w:tab/>
        <w:t>является</w:t>
        <w:tab/>
      </w:r>
      <w:r>
        <w:rPr>
          <w:spacing w:val="-1"/>
        </w:rPr>
        <w:t>интраперитонеальная </w:t>
      </w:r>
      <w:r>
        <w:rPr/>
        <w:t>гипертермическая</w:t>
      </w:r>
      <w:r>
        <w:rPr>
          <w:spacing w:val="-14"/>
        </w:rPr>
        <w:t> </w:t>
      </w:r>
      <w:r>
        <w:rPr/>
        <w:t>химиоперфузия.</w:t>
      </w:r>
    </w:p>
    <w:p>
      <w:pPr>
        <w:pStyle w:val="BodyText"/>
        <w:spacing w:line="360" w:lineRule="auto" w:before="207"/>
        <w:ind w:left="102" w:right="108" w:firstLine="347"/>
        <w:jc w:val="both"/>
      </w:pPr>
      <w:r>
        <w:rPr/>
        <w:t>Внутрибрюшинная химиотерапия позволяет создать концентрацию цитостатического препарата в брюшной полости до 1000 раз выше, чем в плазме крови, что при снижении общей токсичности препарата, сопровождается усилением его местного эффекта.</w:t>
      </w:r>
    </w:p>
    <w:p>
      <w:pPr>
        <w:pStyle w:val="BodyText"/>
        <w:spacing w:line="360" w:lineRule="auto" w:before="204"/>
        <w:ind w:left="102" w:right="102" w:firstLine="278"/>
        <w:jc w:val="both"/>
      </w:pPr>
      <w:r>
        <w:rPr/>
        <w:t>Комбинацию гипертермии с внутрибрюшной химиотерапией впервые использовал в 1980г. J.S. Spratt при лечении больного с псевдомиксомой брюшины [150]. В 1993 г. В. Salle и F. Gilly одними из первых применили гипертермическую перфузию с митомицином и цисплатином для лечения больных с рецидивами рака яичников [119].</w:t>
      </w:r>
    </w:p>
    <w:p>
      <w:pPr>
        <w:pStyle w:val="BodyText"/>
        <w:spacing w:line="360" w:lineRule="auto" w:before="207"/>
        <w:ind w:left="102" w:right="108" w:firstLine="278"/>
        <w:jc w:val="both"/>
      </w:pPr>
      <w:r>
        <w:rPr/>
        <w:t>Существует две основных методики выполнения гипертермической внутрибрюшинной химиотерапии: открытая и закрытая.</w:t>
      </w:r>
    </w:p>
    <w:p>
      <w:pPr>
        <w:pStyle w:val="BodyText"/>
        <w:tabs>
          <w:tab w:pos="1492" w:val="left" w:leader="none"/>
          <w:tab w:pos="2665" w:val="left" w:leader="none"/>
          <w:tab w:pos="4322" w:val="left" w:leader="none"/>
          <w:tab w:pos="4679" w:val="left" w:leader="none"/>
          <w:tab w:pos="6004" w:val="left" w:leader="none"/>
          <w:tab w:pos="7413" w:val="left" w:leader="none"/>
          <w:tab w:pos="8138" w:val="left" w:leader="none"/>
          <w:tab w:pos="8514" w:val="left" w:leader="none"/>
        </w:tabs>
        <w:spacing w:line="360" w:lineRule="auto" w:before="207"/>
        <w:ind w:left="102" w:right="102"/>
      </w:pPr>
      <w:r>
        <w:rPr/>
        <w:t>Открытая</w:t>
        <w:tab/>
        <w:t>система</w:t>
        <w:tab/>
        <w:t>предложена</w:t>
        <w:tab/>
        <w:t>в</w:t>
        <w:tab/>
        <w:t>1991году</w:t>
        <w:tab/>
        <w:t>Yonemura</w:t>
        <w:tab/>
        <w:t>Y.</w:t>
        <w:tab/>
        <w:t>и</w:t>
        <w:tab/>
        <w:t>затем модифицирована Н.Р. Sugarbaker в 1998 году</w:t>
      </w:r>
      <w:r>
        <w:rPr>
          <w:spacing w:val="-23"/>
        </w:rPr>
        <w:t> </w:t>
      </w:r>
      <w:r>
        <w:rPr/>
        <w:t>[253,278].</w:t>
      </w:r>
    </w:p>
    <w:p>
      <w:pPr>
        <w:pStyle w:val="BodyText"/>
        <w:spacing w:before="204"/>
        <w:ind w:left="102"/>
      </w:pPr>
      <w:r>
        <w:rPr/>
        <w:t>Недостатками данной методики считаются:</w:t>
      </w:r>
    </w:p>
    <w:p>
      <w:pPr>
        <w:pStyle w:val="BodyText"/>
        <w:spacing w:before="4"/>
        <w:rPr>
          <w:sz w:val="31"/>
        </w:rPr>
      </w:pPr>
    </w:p>
    <w:p>
      <w:pPr>
        <w:pStyle w:val="ListParagraph"/>
        <w:numPr>
          <w:ilvl w:val="0"/>
          <w:numId w:val="10"/>
        </w:numPr>
        <w:tabs>
          <w:tab w:pos="821" w:val="left" w:leader="none"/>
          <w:tab w:pos="822" w:val="left" w:leader="none"/>
        </w:tabs>
        <w:spacing w:line="240" w:lineRule="auto" w:before="0" w:after="0"/>
        <w:ind w:left="822" w:right="0" w:hanging="360"/>
        <w:jc w:val="left"/>
        <w:rPr>
          <w:sz w:val="28"/>
        </w:rPr>
      </w:pPr>
      <w:r>
        <w:rPr>
          <w:sz w:val="28"/>
        </w:rPr>
        <w:t>Потеря тепла через открытую лапаротомную</w:t>
      </w:r>
      <w:r>
        <w:rPr>
          <w:spacing w:val="-11"/>
          <w:sz w:val="28"/>
        </w:rPr>
        <w:t> </w:t>
      </w:r>
      <w:r>
        <w:rPr>
          <w:sz w:val="28"/>
        </w:rPr>
        <w:t>рану</w:t>
      </w:r>
    </w:p>
    <w:p>
      <w:pPr>
        <w:pStyle w:val="ListParagraph"/>
        <w:numPr>
          <w:ilvl w:val="0"/>
          <w:numId w:val="10"/>
        </w:numPr>
        <w:tabs>
          <w:tab w:pos="821" w:val="left" w:leader="none"/>
          <w:tab w:pos="822" w:val="left" w:leader="none"/>
        </w:tabs>
        <w:spacing w:line="240" w:lineRule="auto" w:before="161" w:after="0"/>
        <w:ind w:left="822" w:right="0" w:hanging="360"/>
        <w:jc w:val="left"/>
        <w:rPr>
          <w:sz w:val="28"/>
        </w:rPr>
      </w:pPr>
      <w:r>
        <w:rPr>
          <w:sz w:val="28"/>
        </w:rPr>
        <w:t>Возможность утечки цитотоксических</w:t>
      </w:r>
      <w:r>
        <w:rPr>
          <w:spacing w:val="-21"/>
          <w:sz w:val="28"/>
        </w:rPr>
        <w:t> </w:t>
      </w:r>
      <w:r>
        <w:rPr>
          <w:sz w:val="28"/>
        </w:rPr>
        <w:t>препаратов</w:t>
      </w:r>
    </w:p>
    <w:p>
      <w:pPr>
        <w:pStyle w:val="ListParagraph"/>
        <w:numPr>
          <w:ilvl w:val="0"/>
          <w:numId w:val="10"/>
        </w:numPr>
        <w:tabs>
          <w:tab w:pos="821" w:val="left" w:leader="none"/>
          <w:tab w:pos="822" w:val="left" w:leader="none"/>
        </w:tabs>
        <w:spacing w:line="240" w:lineRule="auto" w:before="159" w:after="0"/>
        <w:ind w:left="822" w:right="0" w:hanging="360"/>
        <w:jc w:val="left"/>
        <w:rPr>
          <w:sz w:val="28"/>
        </w:rPr>
      </w:pPr>
      <w:r>
        <w:rPr>
          <w:sz w:val="28"/>
        </w:rPr>
        <w:t>Риск для здоровья</w:t>
      </w:r>
      <w:r>
        <w:rPr>
          <w:spacing w:val="-11"/>
          <w:sz w:val="28"/>
        </w:rPr>
        <w:t> </w:t>
      </w:r>
      <w:r>
        <w:rPr>
          <w:sz w:val="28"/>
        </w:rPr>
        <w:t>сотрудников</w:t>
      </w:r>
    </w:p>
    <w:p>
      <w:pPr>
        <w:pStyle w:val="ListParagraph"/>
        <w:numPr>
          <w:ilvl w:val="0"/>
          <w:numId w:val="10"/>
        </w:numPr>
        <w:tabs>
          <w:tab w:pos="821" w:val="left" w:leader="none"/>
          <w:tab w:pos="822" w:val="left" w:leader="none"/>
        </w:tabs>
        <w:spacing w:line="240" w:lineRule="auto" w:before="161" w:after="0"/>
        <w:ind w:left="822" w:right="0" w:hanging="360"/>
        <w:jc w:val="left"/>
        <w:rPr>
          <w:sz w:val="28"/>
        </w:rPr>
      </w:pPr>
      <w:r>
        <w:rPr>
          <w:sz w:val="28"/>
        </w:rPr>
        <w:t>Риск рецидива в месте соприкосновения экспандера с тканями</w:t>
      </w:r>
      <w:r>
        <w:rPr>
          <w:spacing w:val="-22"/>
          <w:sz w:val="28"/>
        </w:rPr>
        <w:t> </w:t>
      </w:r>
      <w:r>
        <w:rPr>
          <w:sz w:val="28"/>
        </w:rPr>
        <w:t>[144]</w:t>
      </w:r>
    </w:p>
    <w:p>
      <w:pPr>
        <w:pStyle w:val="BodyText"/>
        <w:spacing w:line="360" w:lineRule="auto" w:before="162"/>
        <w:ind w:left="102" w:right="100" w:firstLine="278"/>
        <w:jc w:val="both"/>
      </w:pPr>
      <w:r>
        <w:rPr/>
        <w:t>При использовании закрытой системы, предложенной Koga S. в 1988 году и Fujimoto S. в 1989 брюшная полость остается закрытой в течение всей перфузии [176,152]. Недостатком закрытой перфузии могут оказаться</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8"/>
        <w:jc w:val="both"/>
      </w:pPr>
      <w:r>
        <w:rPr/>
        <w:t>трудности с равномерным распределением перфузионной жидкости. При этом существует возможность равномерного распределения перфузата за счет внешнего массажа брюшной полости, изменения положения тела больного и увеличения объемной скорости перфузии [254].</w:t>
      </w:r>
    </w:p>
    <w:p>
      <w:pPr>
        <w:pStyle w:val="BodyText"/>
        <w:spacing w:before="207"/>
        <w:ind w:left="102"/>
        <w:jc w:val="both"/>
      </w:pPr>
      <w:r>
        <w:rPr/>
        <w:t>На сегодняшний день применяются три уровня гипертермии:</w:t>
      </w:r>
    </w:p>
    <w:p>
      <w:pPr>
        <w:pStyle w:val="BodyText"/>
        <w:spacing w:before="3"/>
      </w:pPr>
    </w:p>
    <w:p>
      <w:pPr>
        <w:pStyle w:val="BodyText"/>
        <w:tabs>
          <w:tab w:pos="821" w:val="left" w:leader="none"/>
        </w:tabs>
        <w:ind w:left="461"/>
      </w:pPr>
      <w:r>
        <w:rPr/>
        <w:t>•</w:t>
        <w:tab/>
        <w:t>39-41 </w:t>
      </w:r>
      <w:r>
        <w:rPr>
          <w:position w:val="13"/>
          <w:sz w:val="18"/>
        </w:rPr>
        <w:t>0</w:t>
      </w:r>
      <w:r>
        <w:rPr/>
        <w:t>С</w:t>
      </w:r>
      <w:r>
        <w:rPr>
          <w:spacing w:val="-3"/>
        </w:rPr>
        <w:t> </w:t>
      </w:r>
      <w:r>
        <w:rPr/>
        <w:t>(мягкая)</w:t>
      </w:r>
    </w:p>
    <w:p>
      <w:pPr>
        <w:pStyle w:val="ListParagraph"/>
        <w:numPr>
          <w:ilvl w:val="0"/>
          <w:numId w:val="11"/>
        </w:numPr>
        <w:tabs>
          <w:tab w:pos="821" w:val="left" w:leader="none"/>
          <w:tab w:pos="822" w:val="left" w:leader="none"/>
        </w:tabs>
        <w:spacing w:line="240" w:lineRule="auto" w:before="124" w:after="0"/>
        <w:ind w:left="822" w:right="0" w:hanging="360"/>
        <w:jc w:val="left"/>
        <w:rPr>
          <w:sz w:val="28"/>
        </w:rPr>
      </w:pPr>
      <w:r>
        <w:rPr>
          <w:sz w:val="28"/>
        </w:rPr>
        <w:t>41-43 </w:t>
      </w:r>
      <w:r>
        <w:rPr>
          <w:position w:val="13"/>
          <w:sz w:val="18"/>
        </w:rPr>
        <w:t>0</w:t>
      </w:r>
      <w:r>
        <w:rPr>
          <w:sz w:val="28"/>
        </w:rPr>
        <w:t>С</w:t>
      </w:r>
      <w:r>
        <w:rPr>
          <w:spacing w:val="-5"/>
          <w:sz w:val="28"/>
        </w:rPr>
        <w:t> </w:t>
      </w:r>
      <w:r>
        <w:rPr>
          <w:sz w:val="28"/>
        </w:rPr>
        <w:t>(истинная)</w:t>
      </w:r>
    </w:p>
    <w:p>
      <w:pPr>
        <w:pStyle w:val="ListParagraph"/>
        <w:numPr>
          <w:ilvl w:val="0"/>
          <w:numId w:val="11"/>
        </w:numPr>
        <w:tabs>
          <w:tab w:pos="821" w:val="left" w:leader="none"/>
          <w:tab w:pos="822" w:val="left" w:leader="none"/>
        </w:tabs>
        <w:spacing w:line="240" w:lineRule="auto" w:before="123" w:after="0"/>
        <w:ind w:left="822" w:right="0" w:hanging="360"/>
        <w:jc w:val="left"/>
        <w:rPr>
          <w:sz w:val="28"/>
        </w:rPr>
      </w:pPr>
      <w:r>
        <w:rPr>
          <w:sz w:val="28"/>
        </w:rPr>
        <w:t>43-45 </w:t>
      </w:r>
      <w:r>
        <w:rPr>
          <w:position w:val="13"/>
          <w:sz w:val="18"/>
        </w:rPr>
        <w:t>0</w:t>
      </w:r>
      <w:r>
        <w:rPr>
          <w:sz w:val="28"/>
        </w:rPr>
        <w:t>С</w:t>
      </w:r>
      <w:r>
        <w:rPr>
          <w:spacing w:val="-3"/>
          <w:sz w:val="28"/>
        </w:rPr>
        <w:t> </w:t>
      </w:r>
      <w:r>
        <w:rPr>
          <w:sz w:val="28"/>
        </w:rPr>
        <w:t>(жесткая)</w:t>
      </w:r>
    </w:p>
    <w:p>
      <w:pPr>
        <w:pStyle w:val="BodyText"/>
        <w:spacing w:line="360" w:lineRule="auto" w:before="159"/>
        <w:ind w:left="102" w:right="99"/>
        <w:jc w:val="both"/>
      </w:pPr>
      <w:r>
        <w:rPr/>
        <w:t>Основная часть публикаций посвящена гипертермическому режиму внутрибрюшной химиотерапии при температуре 41°С — 43°С [116,233,254] и лишь некоторые из них рассматривают мягкие или жесткие режимы гипертермической перфузии [255,</w:t>
      </w:r>
      <w:r>
        <w:rPr>
          <w:spacing w:val="-21"/>
        </w:rPr>
        <w:t> </w:t>
      </w:r>
      <w:r>
        <w:rPr/>
        <w:t>277].</w:t>
      </w:r>
    </w:p>
    <w:p>
      <w:pPr>
        <w:pStyle w:val="BodyText"/>
        <w:spacing w:line="360" w:lineRule="auto" w:before="206"/>
        <w:ind w:left="102" w:right="106" w:firstLine="139"/>
        <w:jc w:val="both"/>
      </w:pPr>
      <w:r>
        <w:rPr/>
        <w:t>Большинство исследователей для проведения гипертермической перфузии применяют преператы платины, реже таксаны и</w:t>
      </w:r>
      <w:r>
        <w:rPr>
          <w:spacing w:val="-25"/>
        </w:rPr>
        <w:t> </w:t>
      </w:r>
      <w:r>
        <w:rPr/>
        <w:t>митомицин.</w:t>
      </w:r>
    </w:p>
    <w:p>
      <w:pPr>
        <w:pStyle w:val="BodyText"/>
        <w:spacing w:line="360" w:lineRule="auto" w:before="204"/>
        <w:ind w:left="102" w:right="101" w:firstLine="208"/>
        <w:jc w:val="both"/>
      </w:pPr>
      <w:r>
        <w:rPr/>
        <w:t>В представленном разделе обзора литературы освещены современные подходы к планированию лечения онкогинекологических больных, основанные на тщательном изучении особенностей прогрессирования и метастазирования рака эндометрия, шейки матки и яичников. При начальных стадиях указанных новообразований доказаны низкие потенции опухоли к распространению за пределы органа и к регионарному метастазированию. Относительно высокая частота начальных форм злокачественных опухолей органов репродуктивной системы у пациенток репродуктивного возраста привели к поиску и обоснованию возможности проведения органосохраняющего лечения.</w:t>
      </w:r>
    </w:p>
    <w:p>
      <w:pPr>
        <w:spacing w:after="0" w:line="360" w:lineRule="auto"/>
        <w:jc w:val="both"/>
        <w:sectPr>
          <w:pgSz w:w="11900" w:h="16850"/>
          <w:pgMar w:header="712" w:footer="0" w:top="1020" w:bottom="280" w:left="1600" w:right="1020"/>
        </w:sectPr>
      </w:pPr>
    </w:p>
    <w:p>
      <w:pPr>
        <w:pStyle w:val="BodyText"/>
        <w:rPr>
          <w:sz w:val="20"/>
        </w:rPr>
      </w:pPr>
    </w:p>
    <w:p>
      <w:pPr>
        <w:pStyle w:val="Heading1"/>
        <w:numPr>
          <w:ilvl w:val="1"/>
          <w:numId w:val="7"/>
        </w:numPr>
        <w:tabs>
          <w:tab w:pos="2154" w:val="left" w:leader="none"/>
        </w:tabs>
        <w:spacing w:line="240" w:lineRule="auto" w:before="257" w:after="0"/>
        <w:ind w:left="2153" w:right="0" w:hanging="561"/>
        <w:jc w:val="left"/>
      </w:pPr>
      <w:r>
        <w:rPr/>
        <w:t>Органосохраняющее лечение в</w:t>
      </w:r>
      <w:r>
        <w:rPr>
          <w:spacing w:val="-15"/>
        </w:rPr>
        <w:t> </w:t>
      </w:r>
      <w:r>
        <w:rPr/>
        <w:t>онкогинекологии</w:t>
      </w:r>
    </w:p>
    <w:p>
      <w:pPr>
        <w:pStyle w:val="BodyText"/>
        <w:rPr>
          <w:b/>
          <w:sz w:val="30"/>
        </w:rPr>
      </w:pPr>
    </w:p>
    <w:p>
      <w:pPr>
        <w:pStyle w:val="BodyText"/>
        <w:spacing w:before="7"/>
        <w:rPr>
          <w:b/>
          <w:sz w:val="25"/>
        </w:rPr>
      </w:pPr>
    </w:p>
    <w:p>
      <w:pPr>
        <w:pStyle w:val="BodyText"/>
        <w:spacing w:line="360" w:lineRule="auto" w:before="1"/>
        <w:ind w:left="102" w:right="120" w:firstLine="347"/>
        <w:jc w:val="right"/>
      </w:pPr>
      <w:r>
        <w:rPr/>
        <w:t>Разработка концепции начального рака, его клинико-морфологическая</w:t>
      </w:r>
      <w:r>
        <w:rPr>
          <w:w w:val="100"/>
        </w:rPr>
        <w:t> </w:t>
      </w:r>
      <w:r>
        <w:rPr/>
        <w:t>идентификация, уточнение биологических особенностей, возможностей</w:t>
      </w:r>
      <w:r>
        <w:rPr>
          <w:w w:val="100"/>
        </w:rPr>
        <w:t> </w:t>
      </w:r>
      <w:r>
        <w:rPr/>
        <w:t>скрининга, углубленной нозологической диагностики, возможностей и</w:t>
      </w:r>
      <w:r>
        <w:rPr>
          <w:w w:val="100"/>
        </w:rPr>
        <w:t> </w:t>
      </w:r>
      <w:r>
        <w:rPr/>
        <w:t>пределов щадящего и органосохраняющего лечения является одним из</w:t>
      </w:r>
      <w:r>
        <w:rPr>
          <w:w w:val="100"/>
        </w:rPr>
        <w:t> </w:t>
      </w:r>
      <w:r>
        <w:rPr/>
        <w:t>наиболее перспективных направлений клинической онкологии [69,75,136].</w:t>
      </w:r>
    </w:p>
    <w:p>
      <w:pPr>
        <w:pStyle w:val="BodyText"/>
        <w:spacing w:line="360" w:lineRule="auto" w:before="205"/>
        <w:ind w:left="102" w:right="120" w:firstLine="278"/>
        <w:jc w:val="both"/>
      </w:pPr>
      <w:r>
        <w:rPr/>
        <w:t>Для успешного решения указанных аспектов проблемы начального рака необходим системный патогенетический подход. Он предусматривает интеграцию знаний о заболеваемости и смертности, эпидемиологических и патогенетических особенностей, биологических свойств опухоли. Такой патогенетический подход наиболее эффективен по отношению к раку органов репродуктивной системы у женщин.</w:t>
      </w:r>
    </w:p>
    <w:p>
      <w:pPr>
        <w:pStyle w:val="BodyText"/>
        <w:spacing w:line="360" w:lineRule="auto" w:before="204"/>
        <w:ind w:left="102" w:right="117" w:firstLine="208"/>
        <w:jc w:val="both"/>
      </w:pPr>
      <w:r>
        <w:rPr/>
        <w:t>Многие формы начального рака возникают на фоне дисплазии и Са in  situ , при которых не клинические, а морфологические критерии является основой ранней диагностики. Вместе с тем, значительная часть опухолей возникает «de novo», минуя фазу дисплазии и Са in situ [71]. Ориентация только на клинические симптомы делает технологию ранней диагностики мало управляемой, а выявление начальных форм рака в значительной мере случайной. Поэтому, как подчеркивают эксперты ВОЗ (1986) только </w:t>
      </w:r>
      <w:r>
        <w:rPr>
          <w:spacing w:val="2"/>
        </w:rPr>
        <w:t>мас- </w:t>
      </w:r>
      <w:r>
        <w:rPr/>
        <w:t>совый или селективный скрининг в группах риска может по настоящему решить проблему ранней диагностики рака</w:t>
      </w:r>
      <w:r>
        <w:rPr>
          <w:spacing w:val="-17"/>
        </w:rPr>
        <w:t> </w:t>
      </w:r>
      <w:r>
        <w:rPr/>
        <w:t>[275].</w:t>
      </w:r>
    </w:p>
    <w:p>
      <w:pPr>
        <w:pStyle w:val="BodyText"/>
        <w:spacing w:line="360" w:lineRule="auto" w:before="206"/>
        <w:ind w:left="102" w:right="125" w:firstLine="278"/>
        <w:jc w:val="both"/>
      </w:pPr>
      <w:r>
        <w:rPr/>
        <w:t>Одним из наиболее впечатляющих примеров является эволюция представлений о гистогенезе предрака и рака шейки матки. Только широкое развитие цитологического скрининга и углубленной диагностики (кольпоскопия, прицельная биопсия) позволили получить объективные сведения о гистогенезе дисплазии и преинвазивного рака, их</w:t>
      </w:r>
    </w:p>
    <w:p>
      <w:pPr>
        <w:spacing w:after="0" w:line="360" w:lineRule="auto"/>
        <w:jc w:val="both"/>
        <w:sectPr>
          <w:pgSz w:w="11900" w:h="16850"/>
          <w:pgMar w:header="712" w:footer="0" w:top="1020" w:bottom="280" w:left="1600" w:right="1000"/>
        </w:sectPr>
      </w:pPr>
    </w:p>
    <w:p>
      <w:pPr>
        <w:pStyle w:val="BodyText"/>
        <w:rPr>
          <w:sz w:val="20"/>
        </w:rPr>
      </w:pPr>
    </w:p>
    <w:p>
      <w:pPr>
        <w:pStyle w:val="BodyText"/>
        <w:rPr>
          <w:sz w:val="20"/>
        </w:rPr>
      </w:pPr>
    </w:p>
    <w:p>
      <w:pPr>
        <w:pStyle w:val="BodyText"/>
        <w:tabs>
          <w:tab w:pos="2182" w:val="left" w:leader="none"/>
          <w:tab w:pos="3703" w:val="left" w:leader="none"/>
          <w:tab w:pos="4094" w:val="left" w:leader="none"/>
          <w:tab w:pos="5859" w:val="left" w:leader="none"/>
          <w:tab w:pos="6382" w:val="left" w:leader="none"/>
          <w:tab w:pos="8044" w:val="left" w:leader="none"/>
        </w:tabs>
        <w:spacing w:line="360" w:lineRule="auto" w:before="224"/>
        <w:ind w:left="102" w:right="106"/>
      </w:pPr>
      <w:r>
        <w:rPr/>
        <w:t>биологическом</w:t>
        <w:tab/>
        <w:t>поведении</w:t>
        <w:tab/>
        <w:t>в</w:t>
        <w:tab/>
        <w:t>зависимости</w:t>
        <w:tab/>
        <w:t>от</w:t>
        <w:tab/>
        <w:t>проявлений</w:t>
        <w:tab/>
      </w:r>
      <w:r>
        <w:rPr>
          <w:spacing w:val="-1"/>
        </w:rPr>
        <w:t>вирусной </w:t>
      </w:r>
      <w:r>
        <w:rPr/>
        <w:t>инфекции (HPV 6, 11, 16, 18 и 31</w:t>
      </w:r>
      <w:r>
        <w:rPr>
          <w:spacing w:val="-12"/>
        </w:rPr>
        <w:t> </w:t>
      </w:r>
      <w:r>
        <w:rPr/>
        <w:t>генотипов).</w:t>
      </w:r>
    </w:p>
    <w:p>
      <w:pPr>
        <w:pStyle w:val="BodyText"/>
        <w:spacing w:line="360" w:lineRule="auto" w:before="207"/>
        <w:ind w:left="102" w:right="99" w:firstLine="347"/>
        <w:jc w:val="both"/>
      </w:pPr>
      <w:r>
        <w:rPr/>
        <w:t>Исключительное значение имеет развитие  концепции микроинвазивного рака шейки матки, изучение его потенций к метастазированию и особенностей лечения [92]. В результате международных кооперированных исследований очерчены границы этой патологии, установлены возможности щадящего лечения [20,63,105,146].</w:t>
      </w:r>
    </w:p>
    <w:p>
      <w:pPr>
        <w:pStyle w:val="BodyText"/>
        <w:spacing w:line="360" w:lineRule="auto" w:before="207"/>
        <w:ind w:left="102" w:right="100" w:firstLine="208"/>
        <w:jc w:val="both"/>
      </w:pPr>
      <w:r>
        <w:rPr/>
        <w:t>В сходном направлении выполнялись исследования по идентификации понятия минимального рака молочной железы: от разработки стратегии маммографического скрининга и методов уточняющей диагностики до обоснования концепции органосохраняющего лечения [75].</w:t>
      </w:r>
    </w:p>
    <w:p>
      <w:pPr>
        <w:pStyle w:val="BodyText"/>
        <w:rPr>
          <w:sz w:val="30"/>
        </w:rPr>
      </w:pPr>
    </w:p>
    <w:p>
      <w:pPr>
        <w:pStyle w:val="BodyText"/>
        <w:rPr>
          <w:sz w:val="30"/>
        </w:rPr>
      </w:pPr>
    </w:p>
    <w:p>
      <w:pPr>
        <w:pStyle w:val="BodyText"/>
        <w:rPr>
          <w:sz w:val="30"/>
        </w:rPr>
      </w:pPr>
    </w:p>
    <w:p>
      <w:pPr>
        <w:pStyle w:val="BodyText"/>
        <w:rPr>
          <w:sz w:val="30"/>
        </w:rPr>
      </w:pPr>
    </w:p>
    <w:p>
      <w:pPr>
        <w:pStyle w:val="BodyText"/>
        <w:tabs>
          <w:tab w:pos="6438" w:val="left" w:leader="none"/>
        </w:tabs>
        <w:spacing w:line="424" w:lineRule="auto" w:before="191"/>
        <w:ind w:left="3563" w:right="320" w:hanging="3251"/>
      </w:pPr>
      <w:r>
        <w:rPr/>
        <w:t>Современные</w:t>
      </w:r>
      <w:r>
        <w:rPr>
          <w:spacing w:val="-5"/>
        </w:rPr>
        <w:t> </w:t>
      </w:r>
      <w:r>
        <w:rPr/>
        <w:t>возможности</w:t>
      </w:r>
      <w:r>
        <w:rPr>
          <w:spacing w:val="-7"/>
        </w:rPr>
        <w:t> </w:t>
      </w:r>
      <w:r>
        <w:rPr/>
        <w:t>органосохраняющего</w:t>
        <w:tab/>
        <w:t>лечения</w:t>
      </w:r>
      <w:r>
        <w:rPr>
          <w:spacing w:val="-8"/>
        </w:rPr>
        <w:t> </w:t>
      </w:r>
      <w:r>
        <w:rPr/>
        <w:t>инвазивного</w:t>
      </w:r>
      <w:r>
        <w:rPr>
          <w:w w:val="100"/>
        </w:rPr>
        <w:t> </w:t>
      </w:r>
      <w:r>
        <w:rPr/>
        <w:t>рака шейки</w:t>
      </w:r>
      <w:r>
        <w:rPr>
          <w:spacing w:val="-4"/>
        </w:rPr>
        <w:t> </w:t>
      </w:r>
      <w:r>
        <w:rPr/>
        <w:t>матки</w:t>
      </w:r>
    </w:p>
    <w:p>
      <w:pPr>
        <w:pStyle w:val="BodyText"/>
        <w:rPr>
          <w:sz w:val="30"/>
        </w:rPr>
      </w:pPr>
    </w:p>
    <w:p>
      <w:pPr>
        <w:pStyle w:val="BodyText"/>
        <w:spacing w:line="360" w:lineRule="auto" w:before="234"/>
        <w:ind w:left="102" w:right="103" w:firstLine="278"/>
        <w:jc w:val="both"/>
      </w:pPr>
      <w:r>
        <w:rPr/>
        <w:t>Впервые, еще в 1886 году, Williams описал РШМ, ограниченный пределами поверхностного эпителиального пласта, и отметил, что подобная форма рака является самой ранней и может длительное время оставаться поверхностной</w:t>
      </w:r>
      <w:r>
        <w:rPr>
          <w:spacing w:val="-11"/>
        </w:rPr>
        <w:t> </w:t>
      </w:r>
      <w:r>
        <w:rPr/>
        <w:t>[275].</w:t>
      </w:r>
    </w:p>
    <w:p>
      <w:pPr>
        <w:pStyle w:val="BodyText"/>
        <w:spacing w:line="360" w:lineRule="auto" w:before="206"/>
        <w:ind w:left="102" w:right="98" w:firstLine="417"/>
        <w:jc w:val="both"/>
      </w:pPr>
      <w:r>
        <w:rPr/>
        <w:t>В 1932 году Broders A.C. впервые предложил термин «carcinoma in situ», а в 1950 году на Международном конгрессе акушеров и гинекологов данный термин получил признание, будучи отнесен к нулевой стадии РШМ [111]. В настоящее время под термином «Ca in situ» принято понимать патологию покровного эпителия шейки матки, во всей</w:t>
      </w:r>
      <w:r>
        <w:rPr>
          <w:spacing w:val="-21"/>
        </w:rPr>
        <w:t> </w:t>
      </w:r>
      <w:r>
        <w:rPr/>
        <w:t>толще</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tabs>
          <w:tab w:pos="1424" w:val="left" w:leader="none"/>
        </w:tabs>
        <w:spacing w:line="360" w:lineRule="auto" w:before="224"/>
        <w:ind w:left="102" w:right="108"/>
      </w:pPr>
      <w:r>
        <w:rPr/>
        <w:t>которого</w:t>
        <w:tab/>
        <w:t>имеются  гистологические  признаки  рака,  утрата</w:t>
      </w:r>
      <w:r>
        <w:rPr>
          <w:spacing w:val="-19"/>
        </w:rPr>
        <w:t> </w:t>
      </w:r>
      <w:r>
        <w:rPr/>
        <w:t>слоистости</w:t>
      </w:r>
      <w:r>
        <w:rPr>
          <w:spacing w:val="50"/>
        </w:rPr>
        <w:t> </w:t>
      </w:r>
      <w:r>
        <w:rPr/>
        <w:t>и</w:t>
      </w:r>
      <w:r>
        <w:rPr>
          <w:w w:val="100"/>
        </w:rPr>
        <w:t> </w:t>
      </w:r>
      <w:r>
        <w:rPr/>
        <w:t>полярности, но отсутствует инвазия в подлежащую строму</w:t>
      </w:r>
      <w:r>
        <w:rPr>
          <w:spacing w:val="-16"/>
        </w:rPr>
        <w:t> </w:t>
      </w:r>
      <w:r>
        <w:rPr/>
        <w:t>[15].</w:t>
      </w:r>
    </w:p>
    <w:p>
      <w:pPr>
        <w:pStyle w:val="BodyText"/>
        <w:spacing w:line="360" w:lineRule="auto" w:before="207"/>
        <w:ind w:left="102" w:right="100" w:firstLine="208"/>
        <w:jc w:val="both"/>
      </w:pPr>
      <w:r>
        <w:rPr/>
        <w:t>Из анализа литературных данных следует, что при хирургическом лечении Ca in situ наибольшее распространение получили два метода: конизация шейки матки (ножевая, электрохирургическая, лазерная, радиоволновая, ультразвуковая) и экстирпация матки у больных в постменопаузе [4,15,18,62,67].</w:t>
      </w:r>
    </w:p>
    <w:p>
      <w:pPr>
        <w:pStyle w:val="BodyText"/>
        <w:spacing w:line="360" w:lineRule="auto" w:before="207"/>
        <w:ind w:left="102" w:right="98" w:firstLine="208"/>
        <w:jc w:val="both"/>
      </w:pPr>
      <w:r>
        <w:rPr/>
        <w:t>В онкологических и гинекологических клиниках нашей страны большинство больных репродуктивного возраста, доля которых среди больных раком шейки матки составляет около 15%, подвергаются конизации, а экстирпация матки осуществляется по специальным показаниям [18,54,60]. Данными показаниями по мнению авторов являются:</w:t>
      </w:r>
    </w:p>
    <w:p>
      <w:pPr>
        <w:pStyle w:val="ListParagraph"/>
        <w:numPr>
          <w:ilvl w:val="0"/>
          <w:numId w:val="12"/>
        </w:numPr>
        <w:tabs>
          <w:tab w:pos="822" w:val="left" w:leader="none"/>
        </w:tabs>
        <w:spacing w:line="240" w:lineRule="auto" w:before="207" w:after="0"/>
        <w:ind w:left="822" w:right="0" w:hanging="360"/>
        <w:jc w:val="left"/>
        <w:rPr>
          <w:sz w:val="28"/>
        </w:rPr>
      </w:pPr>
      <w:r>
        <w:rPr>
          <w:sz w:val="28"/>
        </w:rPr>
        <w:t>Возраст старше 50</w:t>
      </w:r>
      <w:r>
        <w:rPr>
          <w:spacing w:val="-5"/>
          <w:sz w:val="28"/>
        </w:rPr>
        <w:t> </w:t>
      </w:r>
      <w:r>
        <w:rPr>
          <w:sz w:val="28"/>
        </w:rPr>
        <w:t>лет;</w:t>
      </w:r>
    </w:p>
    <w:p>
      <w:pPr>
        <w:pStyle w:val="ListParagraph"/>
        <w:numPr>
          <w:ilvl w:val="0"/>
          <w:numId w:val="12"/>
        </w:numPr>
        <w:tabs>
          <w:tab w:pos="822" w:val="left" w:leader="none"/>
        </w:tabs>
        <w:spacing w:line="240" w:lineRule="auto" w:before="160" w:after="0"/>
        <w:ind w:left="822" w:right="0" w:hanging="360"/>
        <w:jc w:val="left"/>
        <w:rPr>
          <w:sz w:val="28"/>
        </w:rPr>
      </w:pPr>
      <w:r>
        <w:rPr>
          <w:sz w:val="28"/>
        </w:rPr>
        <w:t>Преимущественная локализация опухоли в цервикальном</w:t>
      </w:r>
      <w:r>
        <w:rPr>
          <w:spacing w:val="-19"/>
          <w:sz w:val="28"/>
        </w:rPr>
        <w:t> </w:t>
      </w:r>
      <w:r>
        <w:rPr>
          <w:sz w:val="28"/>
        </w:rPr>
        <w:t>канале;</w:t>
      </w:r>
    </w:p>
    <w:p>
      <w:pPr>
        <w:pStyle w:val="ListParagraph"/>
        <w:numPr>
          <w:ilvl w:val="0"/>
          <w:numId w:val="12"/>
        </w:numPr>
        <w:tabs>
          <w:tab w:pos="822" w:val="left" w:leader="none"/>
        </w:tabs>
        <w:spacing w:line="240" w:lineRule="auto" w:before="160" w:after="0"/>
        <w:ind w:left="822" w:right="0" w:hanging="360"/>
        <w:jc w:val="left"/>
        <w:rPr>
          <w:sz w:val="28"/>
        </w:rPr>
      </w:pPr>
      <w:r>
        <w:rPr>
          <w:sz w:val="28"/>
        </w:rPr>
        <w:t>Распространенный анапластический вариант с врастанием в</w:t>
      </w:r>
      <w:r>
        <w:rPr>
          <w:spacing w:val="-26"/>
          <w:sz w:val="28"/>
        </w:rPr>
        <w:t> </w:t>
      </w:r>
      <w:r>
        <w:rPr>
          <w:sz w:val="28"/>
        </w:rPr>
        <w:t>железы;</w:t>
      </w:r>
    </w:p>
    <w:p>
      <w:pPr>
        <w:pStyle w:val="ListParagraph"/>
        <w:numPr>
          <w:ilvl w:val="0"/>
          <w:numId w:val="12"/>
        </w:numPr>
        <w:tabs>
          <w:tab w:pos="822" w:val="left" w:leader="none"/>
        </w:tabs>
        <w:spacing w:line="360" w:lineRule="auto" w:before="160" w:after="0"/>
        <w:ind w:left="822" w:right="105" w:hanging="360"/>
        <w:jc w:val="both"/>
        <w:rPr>
          <w:sz w:val="28"/>
        </w:rPr>
      </w:pPr>
      <w:r>
        <w:rPr>
          <w:sz w:val="28"/>
        </w:rPr>
        <w:t>Отсутствие в препарате, после произведенной ранее конизации, участков, свободных от преинвазивного рака (особенно по краям резекции);</w:t>
      </w:r>
    </w:p>
    <w:p>
      <w:pPr>
        <w:pStyle w:val="ListParagraph"/>
        <w:numPr>
          <w:ilvl w:val="0"/>
          <w:numId w:val="12"/>
        </w:numPr>
        <w:tabs>
          <w:tab w:pos="822" w:val="left" w:leader="none"/>
        </w:tabs>
        <w:spacing w:line="360" w:lineRule="auto" w:before="6" w:after="0"/>
        <w:ind w:left="822" w:right="98" w:hanging="360"/>
        <w:jc w:val="both"/>
        <w:rPr>
          <w:sz w:val="28"/>
        </w:rPr>
      </w:pPr>
      <w:r>
        <w:rPr>
          <w:sz w:val="28"/>
        </w:rPr>
        <w:t>Техническая невозможность проведения широкой эксцизии из-за конической (у нерожавших) или укороченной шейки матки при сглаженных влагалищных</w:t>
      </w:r>
      <w:r>
        <w:rPr>
          <w:spacing w:val="-9"/>
          <w:sz w:val="28"/>
        </w:rPr>
        <w:t> </w:t>
      </w:r>
      <w:r>
        <w:rPr>
          <w:sz w:val="28"/>
        </w:rPr>
        <w:t>сводах;</w:t>
      </w:r>
    </w:p>
    <w:p>
      <w:pPr>
        <w:pStyle w:val="ListParagraph"/>
        <w:numPr>
          <w:ilvl w:val="0"/>
          <w:numId w:val="12"/>
        </w:numPr>
        <w:tabs>
          <w:tab w:pos="822" w:val="left" w:leader="none"/>
        </w:tabs>
        <w:spacing w:line="360" w:lineRule="auto" w:before="5" w:after="0"/>
        <w:ind w:left="822" w:right="108" w:hanging="360"/>
        <w:jc w:val="both"/>
        <w:rPr>
          <w:sz w:val="28"/>
        </w:rPr>
      </w:pPr>
      <w:r>
        <w:rPr>
          <w:sz w:val="28"/>
        </w:rPr>
        <w:t>Сочетание преинвазивного рака с миомой матки и/или опухолями придатков;</w:t>
      </w:r>
    </w:p>
    <w:p>
      <w:pPr>
        <w:pStyle w:val="BodyText"/>
        <w:spacing w:line="362" w:lineRule="auto" w:before="5"/>
        <w:ind w:left="102"/>
      </w:pPr>
      <w:r>
        <w:rPr/>
        <w:t>При переходе преинвазивного рака на влагалищные своды (показана экстирпация матки с верхней третью влагалища).</w:t>
      </w:r>
    </w:p>
    <w:p>
      <w:pPr>
        <w:spacing w:after="0" w:line="362" w:lineRule="auto"/>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99" w:firstLine="359"/>
        <w:jc w:val="both"/>
      </w:pPr>
      <w:r>
        <w:rPr/>
        <w:t>В последующем в литературе появилось большое количество работ, обосновывающих эффективность и безопасность применения конизации шейки матки при Ca in situ даже при таких неблагоприятных морфологических формах, таких как аденокарцинома [94,178,189,217,245,247,249,261].   Авторы в своей работе показали, что  из</w:t>
      </w:r>
    </w:p>
    <w:p>
      <w:pPr>
        <w:pStyle w:val="BodyText"/>
        <w:tabs>
          <w:tab w:pos="4480" w:val="left" w:leader="none"/>
          <w:tab w:pos="6061" w:val="left" w:leader="none"/>
        </w:tabs>
        <w:spacing w:line="360" w:lineRule="auto" w:before="5"/>
        <w:ind w:left="102" w:right="99"/>
        <w:jc w:val="both"/>
      </w:pPr>
      <w:r>
        <w:rPr/>
        <w:t>60 пациенток, подвергнутых лазерной конизации по поводу аденокарциномы in situ за период 1990-2000 гг., у 58 (96,7%) данное лечение явилось окончательным. Вовлечение края резецированного конуса в неопластический процесс было выявлено при гистологическом исследовании в 15 (25,8%) случаях. При дальнейшем прослеживании данной группы в сроки от 49 до 60 месяцев и более, рецидивы заболевания были выявлены у 4 (6,9%) из 58 пациенток. Причем, у 1 (6,6%) пациентки из группы, где по данным гистологического исследования были выявлены положительные края резекции, рецидив заболевания развился спустя 4 месяца после конизации и у 3 (6,9%) пациенток из группы с интактными краями  резекции  –  спустя  более  </w:t>
      </w:r>
      <w:r>
        <w:rPr>
          <w:spacing w:val="50"/>
        </w:rPr>
        <w:t> </w:t>
      </w:r>
      <w:r>
        <w:rPr/>
        <w:t>5 </w:t>
      </w:r>
      <w:r>
        <w:rPr>
          <w:spacing w:val="25"/>
        </w:rPr>
        <w:t> </w:t>
      </w:r>
      <w:r>
        <w:rPr/>
        <w:t>лет.</w:t>
        <w:tab/>
        <w:t>В </w:t>
      </w:r>
      <w:r>
        <w:rPr>
          <w:spacing w:val="24"/>
        </w:rPr>
        <w:t> </w:t>
      </w:r>
      <w:r>
        <w:rPr/>
        <w:t>дальнейшем </w:t>
      </w:r>
      <w:r>
        <w:rPr>
          <w:spacing w:val="21"/>
        </w:rPr>
        <w:t> </w:t>
      </w:r>
      <w:r>
        <w:rPr/>
        <w:t>изучении</w:t>
      </w:r>
      <w:r>
        <w:rPr>
          <w:w w:val="100"/>
        </w:rPr>
        <w:t> </w:t>
      </w:r>
      <w:r>
        <w:rPr/>
        <w:t>нуждается вопрос о прогностическом значении положительных краев резекции и связанной с этим дальнейшей лечебной тактикой.  Это  отмечено практически всеми отечественными и зарубежными авторами [4,15,67,94,178,189,217,245].</w:t>
        <w:tab/>
        <w:t>С   подобной  </w:t>
      </w:r>
      <w:r>
        <w:rPr>
          <w:spacing w:val="57"/>
        </w:rPr>
        <w:t> </w:t>
      </w:r>
      <w:r>
        <w:rPr/>
        <w:t>ситуацией  </w:t>
      </w:r>
      <w:r>
        <w:rPr>
          <w:spacing w:val="26"/>
        </w:rPr>
        <w:t> </w:t>
      </w:r>
      <w:r>
        <w:rPr/>
        <w:t>приходится</w:t>
      </w:r>
      <w:r>
        <w:rPr>
          <w:w w:val="100"/>
        </w:rPr>
        <w:t> </w:t>
      </w:r>
      <w:r>
        <w:rPr/>
        <w:t>сталкиваться, по разным данным, в 4 - 30% случаев, а рецидивы заболевания в этой группе возникают у 7 - 44% больных [94,109,169,205,209,249,251]. Так, по данным Я.В.Бохмана и У.К.Лютры (1991), методом выбора в подобной ситуации, равно как и в случае выявления рецидива Ca in situ, является экстирпация матки [18]. В ряде работ обоснована возможность проведения в  молодом  возрасте повторного органосохраняющего лечения. Непременными условиями при использовании подобной тактики является  возможность</w:t>
      </w:r>
      <w:r>
        <w:rPr>
          <w:spacing w:val="50"/>
        </w:rPr>
        <w:t> </w:t>
      </w:r>
      <w:r>
        <w:rPr/>
        <w:t>осуществления</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tabs>
          <w:tab w:pos="2619" w:val="left" w:leader="none"/>
          <w:tab w:pos="5068" w:val="left" w:leader="none"/>
          <w:tab w:pos="8078" w:val="left" w:leader="none"/>
        </w:tabs>
        <w:spacing w:line="360" w:lineRule="auto" w:before="224"/>
        <w:ind w:left="102" w:right="102"/>
      </w:pPr>
      <w:r>
        <w:rPr/>
        <w:t>Длительного</w:t>
        <w:tab/>
        <w:t>регулярного</w:t>
        <w:tab/>
        <w:t>цитологического</w:t>
        <w:tab/>
      </w:r>
      <w:r>
        <w:rPr>
          <w:spacing w:val="-1"/>
        </w:rPr>
        <w:t>контроля </w:t>
      </w:r>
      <w:r>
        <w:rPr/>
        <w:t>[101,109,137,179,205,230,231,249].</w:t>
      </w:r>
    </w:p>
    <w:p>
      <w:pPr>
        <w:pStyle w:val="BodyText"/>
        <w:spacing w:line="360" w:lineRule="auto" w:before="207"/>
        <w:ind w:left="102" w:right="98" w:firstLine="417"/>
        <w:jc w:val="both"/>
      </w:pPr>
      <w:r>
        <w:rPr/>
        <w:t>Безопасность отсрочки в выполнении органосохраняющих операций при CIN-III – Ca in situ доказана у пациенток во время беременности. По существующему в настоящее время мнению, выявление подобного диагноза в период беременности не требует немедленного активного вмешательства [83]. Проследив судьбу 20 женщин с диагнозом Ca in situ, обнаруженным во время беременности, которым лечение было отсрочено на послеродовый период, L.D. Johnson и соавторы (1960) ни  в  одном случае не отметили прогрессии в инвазивный рак [172]. Из 12 больных, прослеженных в НИИ онкологии им. Н.Н. Петрова, у которых также лечение Ca in situ было выполнено через 2-6 мес. после родов, у 8 – в удаленном конусе шейки матки был выявлен Ca in situ, у остальных 4 – эндоцервикоз [83].</w:t>
      </w:r>
    </w:p>
    <w:p>
      <w:pPr>
        <w:pStyle w:val="BodyText"/>
        <w:spacing w:line="360" w:lineRule="auto" w:before="207"/>
        <w:ind w:left="102" w:right="98" w:firstLine="208"/>
        <w:jc w:val="both"/>
      </w:pPr>
      <w:r>
        <w:rPr/>
        <w:t>Первым шагом в органосохраняющем лечении инвазивного рака шейки матки явилось обоснование возможности сохранения яичников при выполнении радикальной гистерэктомии. По литературным данным частота метастазирования рака шейки матки в яичники составляет 0,1 – 1,3%  при  плоскоклеточном раке шейки  матки и  может достигать 11%  при аденокарциноме [80,</w:t>
      </w:r>
      <w:r>
        <w:rPr>
          <w:spacing w:val="-15"/>
        </w:rPr>
        <w:t> </w:t>
      </w:r>
      <w:r>
        <w:rPr/>
        <w:t>187].</w:t>
      </w:r>
    </w:p>
    <w:p>
      <w:pPr>
        <w:pStyle w:val="BodyText"/>
        <w:spacing w:line="360" w:lineRule="auto" w:before="205"/>
        <w:ind w:left="102" w:right="98" w:firstLine="208"/>
        <w:jc w:val="both"/>
      </w:pPr>
      <w:r>
        <w:rPr/>
        <w:t>Транспозиция яичников выше зоны предполагаемого облучения позволяет минимизировать лучевое повреждение кортикального слоя и позволяет не только избежать развития ранней менопаузы, но и оставляет возможность впоследствии иметь детей, используя современные методы суррогатного материнства [12,14,42,49,61]. В настоящее время транспозиция яичников чаще всего осуществляется лапароскопическим доступом и не приводит к задержке с началом лучевого лечения. В некоторых клиниках транспозиция яичников  выполняется при операциях</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pPr>
      <w:r>
        <w:rPr/>
        <w:t>хирургического стадирования, о которых уже упоминалось в предыдущих разделах обзора литературы.</w:t>
      </w:r>
    </w:p>
    <w:p>
      <w:pPr>
        <w:pStyle w:val="BodyText"/>
        <w:spacing w:line="360" w:lineRule="auto" w:before="207"/>
        <w:ind w:left="102" w:right="120" w:firstLine="347"/>
        <w:jc w:val="right"/>
      </w:pPr>
      <w:r>
        <w:rPr/>
        <w:t>Низкая частота метастазирования плоскоклеточного рака шейки матки в</w:t>
      </w:r>
      <w:r>
        <w:rPr>
          <w:w w:val="100"/>
        </w:rPr>
        <w:t> </w:t>
      </w:r>
      <w:r>
        <w:rPr/>
        <w:t>яичники, а также перехода опухоли на тело матки привели к</w:t>
      </w:r>
      <w:r>
        <w:rPr>
          <w:spacing w:val="51"/>
        </w:rPr>
        <w:t> </w:t>
      </w:r>
      <w:r>
        <w:rPr/>
        <w:t>идее</w:t>
      </w:r>
      <w:r>
        <w:rPr>
          <w:w w:val="100"/>
        </w:rPr>
        <w:t> </w:t>
      </w:r>
      <w:r>
        <w:rPr/>
        <w:t>выполнения радикальной абдоминальной или влагалищной трахелэктомии.</w:t>
      </w:r>
    </w:p>
    <w:p>
      <w:pPr>
        <w:pStyle w:val="BodyText"/>
        <w:spacing w:line="360" w:lineRule="auto" w:before="207"/>
        <w:ind w:left="102" w:right="117" w:firstLine="417"/>
        <w:jc w:val="both"/>
      </w:pPr>
      <w:r>
        <w:rPr/>
        <w:t>Данная операция позволяет осуществить радикальное хирургическое вмешательство, так же как и при традиционной операции Вертгейма, но при этом сохранить матку и придатки. Показанием для такой операции является опухоль до 2см (Т1а или Т1б1), что составляет около 5% из первичных больных РШМ. Операцию трахелэктомии (радикальная экстирпация шейки матки) впервые разработал около 15 лет назад D.Dargent и сейчас она уже широко применяется в 40-50 крупных медицинских центрах во всем мире [93,127,241]. Число выполненных радикальных трахелэктомий на сегодняшний день приближается к 1000 [3,7].</w:t>
      </w:r>
    </w:p>
    <w:p>
      <w:pPr>
        <w:pStyle w:val="BodyText"/>
        <w:spacing w:line="360" w:lineRule="auto" w:before="204"/>
        <w:ind w:left="102" w:right="121" w:firstLine="417"/>
        <w:jc w:val="both"/>
      </w:pPr>
      <w:r>
        <w:rPr/>
        <w:t>Наибольший опыт выполнения радикальных абдоминальных трахелэктомий в России накоплен в НИИ онкологии им. П.А.Герцена. В опубликованной в 2012 году монографии Е.Г.Новиковой подробно описана техника выполнения подобных операций, прослежены отдаленные результаты лечения и состояние репродуктивной функции 76 больных раком шейки матки I стадии [65].</w:t>
      </w:r>
    </w:p>
    <w:p>
      <w:pPr>
        <w:pStyle w:val="BodyText"/>
        <w:spacing w:line="360" w:lineRule="auto" w:before="206"/>
        <w:ind w:left="102" w:right="119" w:firstLine="278"/>
        <w:jc w:val="both"/>
      </w:pPr>
      <w:r>
        <w:rPr/>
        <w:t>Частота рецидивов после подобных операций не превышает таковую  при выполнении традиционной радикальной гистерэктомии и колеблется в пределах от 5 до 9% [65,212,266]. Несмотря на достаточно высокую частоту беременностей у пациенток после выполненных трахелэктомий, количество родов пока остается небольшим. Связано это с возникающей после операции истмико-цервикальной</w:t>
      </w:r>
      <w:r>
        <w:rPr>
          <w:spacing w:val="-15"/>
        </w:rPr>
        <w:t> </w:t>
      </w:r>
      <w:r>
        <w:rPr/>
        <w:t>недостаточностью,</w:t>
      </w:r>
    </w:p>
    <w:p>
      <w:pPr>
        <w:spacing w:after="0" w:line="360" w:lineRule="auto"/>
        <w:jc w:val="both"/>
        <w:sectPr>
          <w:pgSz w:w="11900" w:h="16850"/>
          <w:pgMar w:header="712" w:footer="0" w:top="1020" w:bottom="280" w:left="1600" w:right="1000"/>
        </w:sectPr>
      </w:pPr>
    </w:p>
    <w:p>
      <w:pPr>
        <w:pStyle w:val="BodyText"/>
        <w:rPr>
          <w:sz w:val="20"/>
        </w:rPr>
      </w:pPr>
    </w:p>
    <w:p>
      <w:pPr>
        <w:pStyle w:val="BodyText"/>
        <w:rPr>
          <w:sz w:val="20"/>
        </w:rPr>
      </w:pPr>
    </w:p>
    <w:p>
      <w:pPr>
        <w:pStyle w:val="BodyText"/>
        <w:spacing w:line="360" w:lineRule="auto" w:before="224"/>
        <w:ind w:left="102"/>
      </w:pPr>
      <w:r>
        <w:rPr/>
        <w:t>инфекционными осложнениями во время беременности, приводящими к выкидышам [65,122,212,266].</w:t>
      </w:r>
    </w:p>
    <w:p>
      <w:pPr>
        <w:pStyle w:val="BodyText"/>
        <w:spacing w:line="360" w:lineRule="auto" w:before="207"/>
        <w:ind w:left="102" w:right="106" w:firstLine="347"/>
        <w:jc w:val="both"/>
      </w:pPr>
      <w:r>
        <w:rPr/>
        <w:t>Одним из возможных путей снижения числа подобных осложнений является выполнение трахелэктомии лапароскопическим и влагалищным доступами [142,143,168].</w:t>
      </w:r>
    </w:p>
    <w:p>
      <w:pPr>
        <w:pStyle w:val="BodyText"/>
        <w:spacing w:line="360" w:lineRule="auto" w:before="207"/>
        <w:ind w:left="102" w:right="98" w:firstLine="347"/>
        <w:jc w:val="both"/>
      </w:pPr>
      <w:r>
        <w:rPr/>
        <w:t>В ФБГУ «НИИ онкологии им. Н.Н.Петрова» МЗ России  также  накоплен некоторый опыт применения лапароскопии при лечении начальных стадий рака шейки матки у женщин репродуктивного возраста. Он включает как операции транспозиции яичников перед началом  лучевого лечения, так и эндовидеохирургические радикальные трахелэктомии и гистерэктомии [49]. Часть этих больных была включена в настоящее</w:t>
      </w:r>
      <w:r>
        <w:rPr>
          <w:spacing w:val="-7"/>
        </w:rPr>
        <w:t> </w:t>
      </w:r>
      <w:r>
        <w:rPr/>
        <w:t>исследование.</w:t>
      </w:r>
    </w:p>
    <w:p>
      <w:pPr>
        <w:pStyle w:val="BodyText"/>
        <w:rPr>
          <w:sz w:val="30"/>
        </w:rPr>
      </w:pPr>
    </w:p>
    <w:p>
      <w:pPr>
        <w:pStyle w:val="BodyText"/>
        <w:rPr>
          <w:sz w:val="30"/>
        </w:rPr>
      </w:pPr>
    </w:p>
    <w:p>
      <w:pPr>
        <w:pStyle w:val="BodyText"/>
        <w:spacing w:before="199"/>
        <w:ind w:left="1851"/>
      </w:pPr>
      <w:r>
        <w:rPr/>
        <w:t>Органосохраняющее лечение рака эндометрия</w:t>
      </w:r>
    </w:p>
    <w:p>
      <w:pPr>
        <w:pStyle w:val="BodyText"/>
        <w:spacing w:before="5"/>
        <w:rPr>
          <w:sz w:val="31"/>
        </w:rPr>
      </w:pPr>
    </w:p>
    <w:p>
      <w:pPr>
        <w:pStyle w:val="BodyText"/>
        <w:spacing w:line="360" w:lineRule="auto"/>
        <w:ind w:left="102" w:right="102" w:firstLine="347"/>
        <w:jc w:val="both"/>
      </w:pPr>
      <w:r>
        <w:rPr/>
        <w:t>В необходимости удаления матки у больных раком эндометрия при планировании хирургического лечения сомнений ни у кого из исследователей не возникает. Однако, при атипической гиперплазии и минимальном раке тела матки получены удовлетворительные результаты при выполнении абляции эндометрия в сочетании с фотодинамической терапией [67]. Такие операции, конечно же, не позволяют сохранить фертильность и могут выполняться у больных при наличии противопоказаний к лапаротомии. В некоторых публикациях рассматривается также вопрос о возможности сохранения яичников у больных начальным раком эндометрия в репродуктивном возрасте [63,17].</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22" w:firstLine="347"/>
        <w:jc w:val="both"/>
      </w:pPr>
      <w:r>
        <w:rPr/>
        <w:t>Рак эндометрия – это первая опухоль, при которой доказана возможность излечения без операции. Применение прогестагенов для лечения больных РЭ - уникальное явление в клинической онкологии, так как в качестве противоопухолевого препарата применяется физиологический регулятор исходной нормальной ткани - эндометрия.</w:t>
      </w:r>
    </w:p>
    <w:p>
      <w:pPr>
        <w:pStyle w:val="BodyText"/>
        <w:spacing w:line="360" w:lineRule="auto" w:before="204"/>
        <w:ind w:left="102" w:right="123" w:firstLine="487"/>
        <w:jc w:val="both"/>
      </w:pPr>
      <w:r>
        <w:rPr/>
        <w:t>Обладая выраженным избирательным противоопухолевым действием на РЭ, прогестагены минимально токсичны. Наиболее доступными и надежными методами оценки гормоночувствительности РЭ являются динамические морфологические исследования опухоли в процессе прогестинотерапии. Тактика врача и дальнейшее планирование лечения во многом определяются этими данными [17].</w:t>
      </w:r>
    </w:p>
    <w:p>
      <w:pPr>
        <w:pStyle w:val="BodyText"/>
        <w:spacing w:line="360" w:lineRule="auto" w:before="206"/>
        <w:ind w:left="102" w:right="119" w:firstLine="707"/>
        <w:jc w:val="both"/>
      </w:pPr>
      <w:r>
        <w:rPr/>
        <w:t>Надежным методом определения чувствительности РЭ к гормональному лечению является определение цитозольных рецепторов эстрадиола (ЕR) и прогестерона (PR), которое проводится до начала введения прогестагенов или антиэстрогенов. Во многих исследованиях показано, что высокие концентрации PR и ER и, особенно, их сочетание, позволяют с вероятностью около 80% предвидеть исходную чувствительность опухоли к 17-ОПК или МПА. И, наоборот, отсутствие  ER и особенно PR в опухоли связанно с заведомо низкой чувствительностью аденокарциномы эндометрия к гормонотерапии [15]. Не приходится сомневаться, что определение рецепторов половых гормонов - наиболее объективный критерий чувствительности РЭ к прогестинотерапии</w:t>
      </w:r>
      <w:r>
        <w:rPr>
          <w:spacing w:val="-14"/>
        </w:rPr>
        <w:t> </w:t>
      </w:r>
      <w:r>
        <w:rPr/>
        <w:t>[108].</w:t>
      </w:r>
    </w:p>
    <w:p>
      <w:pPr>
        <w:pStyle w:val="BodyText"/>
        <w:spacing w:line="360" w:lineRule="auto" w:before="204"/>
        <w:ind w:left="102" w:right="116" w:firstLine="417"/>
        <w:jc w:val="both"/>
      </w:pPr>
      <w:r>
        <w:rPr/>
        <w:t>На основании морфологического исследования опухоли можно представить следующую последовательность изменений гистологической структуры первичного РЭ в процессе лечения прогестагенами: снижение пролиферативной активности; повышение функционально- морфологической дифференцировки, активная секреция; секреторное</w:t>
      </w:r>
    </w:p>
    <w:p>
      <w:pPr>
        <w:spacing w:after="0" w:line="360" w:lineRule="auto"/>
        <w:jc w:val="both"/>
        <w:sectPr>
          <w:pgSz w:w="11900" w:h="16850"/>
          <w:pgMar w:header="712" w:footer="0" w:top="1020" w:bottom="280" w:left="1600" w:right="1000"/>
        </w:sectPr>
      </w:pPr>
    </w:p>
    <w:p>
      <w:pPr>
        <w:pStyle w:val="BodyText"/>
        <w:rPr>
          <w:sz w:val="20"/>
        </w:rPr>
      </w:pPr>
    </w:p>
    <w:p>
      <w:pPr>
        <w:pStyle w:val="BodyText"/>
        <w:rPr>
          <w:sz w:val="20"/>
        </w:rPr>
      </w:pPr>
    </w:p>
    <w:p>
      <w:pPr>
        <w:pStyle w:val="BodyText"/>
        <w:spacing w:line="360" w:lineRule="auto" w:before="224"/>
        <w:ind w:left="102" w:right="101"/>
        <w:jc w:val="both"/>
      </w:pPr>
      <w:r>
        <w:rPr/>
        <w:t>истощение; дегенеративно-атрофические изменения, заканчивающиеся некрозом и отторжением опухоли или ее участков. Следовательно, в основе противоопухолевого эффекта прогестагенов лежит способность ткани РЭ отвечать теми же морфологическими реакциями, которые наблюдаются в нормальном эндометрии в секреторной фазе менструального</w:t>
      </w:r>
      <w:r>
        <w:rPr>
          <w:spacing w:val="-9"/>
        </w:rPr>
        <w:t> </w:t>
      </w:r>
      <w:r>
        <w:rPr/>
        <w:t>цикла.</w:t>
      </w:r>
    </w:p>
    <w:p>
      <w:pPr>
        <w:pStyle w:val="BodyText"/>
        <w:tabs>
          <w:tab w:pos="3477" w:val="left" w:leader="none"/>
        </w:tabs>
        <w:spacing w:line="360" w:lineRule="auto" w:before="205"/>
        <w:ind w:left="102" w:right="99" w:firstLine="707"/>
        <w:jc w:val="both"/>
      </w:pPr>
      <w:r>
        <w:rPr/>
        <w:t>Характерной отличительной особенностью комбинированного воздействия эстрогенов и  прогестагенов  на  опухоль  является выраженная децидуаподобная реакция стромы, которая встречается значительно чаще, чем при изолированном введении прогестагенов. В железисто-солидных</w:t>
        <w:tab/>
        <w:t>структурах     </w:t>
      </w:r>
      <w:r>
        <w:rPr>
          <w:spacing w:val="15"/>
        </w:rPr>
        <w:t> </w:t>
      </w:r>
      <w:r>
        <w:rPr/>
        <w:t>предварительное     </w:t>
      </w:r>
      <w:r>
        <w:rPr>
          <w:spacing w:val="14"/>
        </w:rPr>
        <w:t> </w:t>
      </w:r>
      <w:r>
        <w:rPr/>
        <w:t>воздействие</w:t>
      </w:r>
      <w:r>
        <w:rPr>
          <w:w w:val="100"/>
        </w:rPr>
        <w:t> </w:t>
      </w:r>
      <w:r>
        <w:rPr/>
        <w:t>эстрогенами также повышает чувствительность опухоли к прогестагенам [30]. В последние годы отдается предпочтение сочетанному применению прогестагенов и антиэстрогенов. Антиэстрогены - нестероидные синтетические аналоги эстрогенов, производные трифенил-этилена (тамоксифен, зитазониум), применяются в качестве адьювантной гормонотерапии РЭ. Непосредственное противоопухолевое действие этих препаратов (подавление деления клеток и роста опухоли) сочетается с их способностью вызывать смешанные эстрогенные и антиэстрогенные эффекты в эстрогензависимых тканях репродуктивной системы [15]. Рассматривая влияние тамоксифена на опухоль эндометрия, можно отметить, что данный препарат проявляет себя как антиэстроген, вызывая морфологические изменения в ткани, сходные с эффектом, обусловленным введением прогестагенов. Эти препараты в одинаковой степени вызывают накопление гликогена в клетках опухоли и снижают  митотический  индекс. Повышение структурной дифференцировки, секреция, децидуализация и фиброз стромы свойственны гестагенному воздействию, тогда как  истончение эпителия в железистых структурах</w:t>
      </w:r>
      <w:r>
        <w:rPr>
          <w:spacing w:val="-20"/>
        </w:rPr>
        <w:t> </w:t>
      </w:r>
      <w:r>
        <w:rPr/>
        <w:t>опухоли,</w:t>
      </w:r>
    </w:p>
    <w:p>
      <w:pPr>
        <w:spacing w:after="0" w:line="360" w:lineRule="auto"/>
        <w:jc w:val="both"/>
        <w:sectPr>
          <w:pgSz w:w="11900" w:h="16850"/>
          <w:pgMar w:header="712" w:footer="0" w:top="1020" w:bottom="280" w:left="1600" w:right="1020"/>
        </w:sectPr>
      </w:pPr>
    </w:p>
    <w:p>
      <w:pPr>
        <w:pStyle w:val="BodyText"/>
        <w:rPr>
          <w:sz w:val="20"/>
        </w:rPr>
      </w:pPr>
    </w:p>
    <w:p>
      <w:pPr>
        <w:pStyle w:val="BodyText"/>
        <w:spacing w:before="7"/>
        <w:rPr>
          <w:sz w:val="24"/>
        </w:rPr>
      </w:pPr>
    </w:p>
    <w:p>
      <w:pPr>
        <w:pStyle w:val="BodyText"/>
        <w:spacing w:line="362" w:lineRule="auto" w:before="89"/>
        <w:ind w:left="102" w:right="107"/>
        <w:jc w:val="both"/>
      </w:pPr>
      <w:r>
        <w:rPr/>
        <w:t>завершающейся их некрозом, закономерно развивается в результате воздействия антиэстрогенами.</w:t>
      </w:r>
    </w:p>
    <w:p>
      <w:pPr>
        <w:pStyle w:val="BodyText"/>
        <w:spacing w:line="360" w:lineRule="auto" w:before="122"/>
        <w:ind w:left="102" w:right="106" w:firstLine="707"/>
        <w:jc w:val="both"/>
      </w:pPr>
      <w:r>
        <w:rPr/>
        <w:t>Можно заключить, что механизм действия прогестагенов на РЭ нельзя сводить к прямой деструкции опухолевых клеток, как это имеет место при лучевой терапии или при назначении цитостатических</w:t>
      </w:r>
    </w:p>
    <w:p>
      <w:pPr>
        <w:pStyle w:val="BodyText"/>
        <w:spacing w:line="360" w:lineRule="auto" w:before="127"/>
        <w:ind w:left="102" w:right="107"/>
        <w:jc w:val="both"/>
      </w:pPr>
      <w:r>
        <w:rPr/>
        <w:t>химиопрепаратов. В физиологических условиях овуляторного цикла действие прогестерона приводит к повышению структурной и функциональной дифференцировки, секреторной трансформации, затем к секреторному истощению, деструкции и десквамации функционального слоя эндометрия.</w:t>
      </w:r>
    </w:p>
    <w:p>
      <w:pPr>
        <w:pStyle w:val="BodyText"/>
        <w:spacing w:line="360" w:lineRule="auto" w:before="127"/>
        <w:ind w:left="102" w:right="102" w:firstLine="417"/>
        <w:jc w:val="both"/>
      </w:pPr>
      <w:r>
        <w:rPr/>
        <w:t>В литературе описаны уже несколько сотен больных раком эндометрия молодого возраста, излеченные с помощью самостоятельной гормонотерапии [15,107].</w:t>
      </w:r>
    </w:p>
    <w:p>
      <w:pPr>
        <w:pStyle w:val="BodyText"/>
        <w:rPr>
          <w:sz w:val="30"/>
        </w:rPr>
      </w:pPr>
    </w:p>
    <w:p>
      <w:pPr>
        <w:pStyle w:val="BodyText"/>
        <w:spacing w:line="960" w:lineRule="atLeast" w:before="230"/>
        <w:ind w:left="821" w:hanging="384"/>
      </w:pPr>
      <w:r>
        <w:rPr/>
        <w:t>Планирование органосохраняющего лечения больных раком яичников Одним  из  основных  методов  лечения  злокачественных  </w:t>
      </w:r>
      <w:r>
        <w:rPr>
          <w:spacing w:val="62"/>
        </w:rPr>
        <w:t> </w:t>
      </w:r>
      <w:r>
        <w:rPr/>
        <w:t>опухолей</w:t>
      </w:r>
    </w:p>
    <w:p>
      <w:pPr>
        <w:pStyle w:val="BodyText"/>
        <w:spacing w:line="360" w:lineRule="auto" w:before="163"/>
        <w:ind w:left="102" w:right="100"/>
        <w:jc w:val="both"/>
      </w:pPr>
      <w:r>
        <w:rPr/>
        <w:t>яичников является хирургическое вмешательство. Объём операции в различных ситуациях весьма вариабелен. В последние годы широко обсуждается вопрос об использовании функционально-щадящих методов лечения начальных форм рака яичников, обеспечивающих надёжное излечение таких больных и сохранение репродуктивной и менструальной функций у молодых женщин.</w:t>
      </w:r>
    </w:p>
    <w:p>
      <w:pPr>
        <w:pStyle w:val="BodyText"/>
        <w:spacing w:line="360" w:lineRule="auto" w:before="5"/>
        <w:ind w:left="102" w:right="102" w:firstLine="417"/>
        <w:jc w:val="both"/>
      </w:pPr>
      <w:r>
        <w:rPr/>
        <w:t>К факторам, ухудшающим прогноз при I стадии рака яичников, относятся: прорастание и разрыв капсулы опухоли, спайки и сращения с</w:t>
      </w:r>
    </w:p>
    <w:p>
      <w:pPr>
        <w:spacing w:after="0" w:line="360" w:lineRule="auto"/>
        <w:jc w:val="both"/>
        <w:sectPr>
          <w:pgSz w:w="11900" w:h="16850"/>
          <w:pgMar w:header="712" w:footer="0" w:top="1020" w:bottom="280" w:left="1600" w:right="1020"/>
        </w:sectPr>
      </w:pPr>
    </w:p>
    <w:p>
      <w:pPr>
        <w:pStyle w:val="BodyText"/>
        <w:rPr>
          <w:sz w:val="20"/>
        </w:rPr>
      </w:pPr>
    </w:p>
    <w:p>
      <w:pPr>
        <w:pStyle w:val="BodyText"/>
        <w:spacing w:before="7"/>
        <w:rPr>
          <w:sz w:val="24"/>
        </w:rPr>
      </w:pPr>
    </w:p>
    <w:p>
      <w:pPr>
        <w:pStyle w:val="BodyText"/>
        <w:spacing w:line="360" w:lineRule="auto" w:before="89"/>
        <w:ind w:left="102" w:right="99"/>
        <w:jc w:val="both"/>
      </w:pPr>
      <w:r>
        <w:rPr/>
        <w:t>окружающими тканями и органами, асцит, кистозно-солидная и папиллярная формы роста опухоли. По мнению же других авторов разрыв капсулы опухоли, микроинвазия опухоли не являются факторами прогноза при ранней стадии рака яичников [103,243,244].</w:t>
      </w:r>
    </w:p>
    <w:p>
      <w:pPr>
        <w:pStyle w:val="BodyText"/>
        <w:spacing w:line="360" w:lineRule="auto" w:before="125"/>
        <w:ind w:left="102" w:right="103" w:firstLine="556"/>
        <w:jc w:val="both"/>
      </w:pPr>
      <w:r>
        <w:rPr/>
        <w:t>P.J. Di Saia (1989) считает допустимым удаление только поражённых придатков у больных молодого возраста пограничными и Iа стадии с серозными, муцинозными, эндометриоидными и мезонефроидными инкапсулированными опухолями без сращений, при негативных данных цитологического исследования смывов с брюшины и биопсии второго яичника [135,88].</w:t>
      </w:r>
    </w:p>
    <w:p>
      <w:pPr>
        <w:pStyle w:val="BodyText"/>
        <w:spacing w:line="360" w:lineRule="auto" w:before="127"/>
        <w:ind w:left="102" w:right="99" w:firstLine="719"/>
        <w:jc w:val="both"/>
      </w:pPr>
      <w:r>
        <w:rPr/>
        <w:t>На прогноз раннего рака яичников влияет его гистологическая структура, так как при различных гистотипах в пределах одних и тех же стадий заболевания выживаемость больных далеко не одинакова [50,55,56,155,177,180,183,201,273]. По мнению других авторов выживаемость больных злокачественными опухолями яичников I стадии  не зависит от гистотипа [113,237]</w:t>
      </w:r>
      <w:r>
        <w:rPr>
          <w:spacing w:val="-19"/>
        </w:rPr>
        <w:t> </w:t>
      </w:r>
      <w:r>
        <w:rPr/>
        <w:t>.</w:t>
      </w:r>
    </w:p>
    <w:p>
      <w:pPr>
        <w:pStyle w:val="BodyText"/>
        <w:spacing w:line="360" w:lineRule="auto" w:before="4"/>
        <w:ind w:left="102" w:right="100" w:firstLine="719"/>
        <w:jc w:val="both"/>
      </w:pPr>
      <w:r>
        <w:rPr/>
        <w:t>Многофакторный анализ, проведенный у больных ранними стадиями рака яичников, показал, что выживаемость зависит от степени дифференцировки опухоли, поскольку она является наиболее существенной характеристикой биологической особенности [28,39,41,132,183,201,228,237,263,279,281].</w:t>
      </w:r>
    </w:p>
    <w:p>
      <w:pPr>
        <w:pStyle w:val="BodyText"/>
        <w:spacing w:line="360" w:lineRule="auto" w:before="4"/>
        <w:ind w:left="102" w:right="102" w:firstLine="719"/>
        <w:jc w:val="both"/>
      </w:pPr>
      <w:r>
        <w:rPr/>
        <w:t>За последнее десятилетие была обоснована возможность лечения больных Iа стадии с сохранением фертильности [8,34]. Щадящий характер лечения позволяет сохранить менструальную функцию у 99,3 %, высокий уровень фертильности у 72,7 %  больных [10].</w:t>
      </w:r>
    </w:p>
    <w:p>
      <w:pPr>
        <w:pStyle w:val="BodyText"/>
        <w:spacing w:line="360" w:lineRule="auto" w:before="4"/>
        <w:ind w:left="102" w:right="106" w:firstLine="719"/>
        <w:jc w:val="both"/>
      </w:pPr>
      <w:r>
        <w:rPr/>
        <w:t>Частота наступления беременностей после органосохраняющего лечения злокачественных опухолей яичников колеблется от  37,7 %  до  76,6 %  [204]. Сохранение фертильности, не оказывая влияния на</w:t>
      </w:r>
      <w:r>
        <w:rPr>
          <w:spacing w:val="-25"/>
        </w:rPr>
        <w:t> </w:t>
      </w:r>
      <w:r>
        <w:rPr/>
        <w:t>риск</w:t>
      </w:r>
    </w:p>
    <w:p>
      <w:pPr>
        <w:spacing w:after="0" w:line="360" w:lineRule="auto"/>
        <w:jc w:val="both"/>
        <w:sectPr>
          <w:pgSz w:w="11900" w:h="16850"/>
          <w:pgMar w:header="712" w:footer="0" w:top="1020" w:bottom="280" w:left="1600" w:right="1020"/>
        </w:sectPr>
      </w:pPr>
    </w:p>
    <w:p>
      <w:pPr>
        <w:pStyle w:val="BodyText"/>
        <w:rPr>
          <w:sz w:val="20"/>
        </w:rPr>
      </w:pPr>
    </w:p>
    <w:p>
      <w:pPr>
        <w:pStyle w:val="BodyText"/>
        <w:tabs>
          <w:tab w:pos="2150" w:val="left" w:leader="none"/>
          <w:tab w:pos="3516" w:val="left" w:leader="none"/>
          <w:tab w:pos="4295" w:val="left" w:leader="none"/>
          <w:tab w:pos="5746" w:val="left" w:leader="none"/>
          <w:tab w:pos="7586" w:val="left" w:leader="none"/>
        </w:tabs>
        <w:spacing w:line="362" w:lineRule="auto" w:before="252"/>
        <w:ind w:left="102" w:right="108"/>
      </w:pPr>
      <w:r>
        <w:rPr/>
        <w:t>возникновения</w:t>
        <w:tab/>
        <w:t>рецидива</w:t>
        <w:tab/>
        <w:t>рака</w:t>
        <w:tab/>
        <w:t>яичников,</w:t>
        <w:tab/>
        <w:t>способствует</w:t>
        <w:tab/>
      </w:r>
      <w:r>
        <w:rPr>
          <w:spacing w:val="-1"/>
        </w:rPr>
        <w:t>полноценной </w:t>
      </w:r>
      <w:r>
        <w:rPr/>
        <w:t>социальной реабилитации женщин</w:t>
      </w:r>
      <w:r>
        <w:rPr>
          <w:spacing w:val="-19"/>
        </w:rPr>
        <w:t> </w:t>
      </w:r>
      <w:r>
        <w:rPr/>
        <w:t>[10,66].</w:t>
      </w:r>
    </w:p>
    <w:p>
      <w:pPr>
        <w:pStyle w:val="BodyText"/>
        <w:spacing w:line="360" w:lineRule="auto" w:before="2"/>
        <w:ind w:left="102" w:right="101" w:firstLine="719"/>
        <w:jc w:val="both"/>
      </w:pPr>
      <w:r>
        <w:rPr/>
        <w:t>Органосохраняющие операции – одностороннее удаление придатков с обязательной резекцией второго яичника и большого сальника – могут выполняться у женщин молодого возраста (до 30 лет) при серозной цистаденокарциноме высокой степени дифференцировки, муцинозной цистаденокарциноме и опухолях не более 10 см в диаметре при отсутствии отягчающих факторов. Во всех случаях рекомендуется производить нижнесрединную лапаротомию, что позволяет провести полноценную ревизию брюшной полости, при больших размерах новообразования удалить его без нарушения целостности капсулы, без труда произвести резекцию большого сальника.</w:t>
      </w:r>
    </w:p>
    <w:p>
      <w:pPr>
        <w:pStyle w:val="BodyText"/>
        <w:spacing w:line="360" w:lineRule="auto" w:before="5"/>
        <w:ind w:left="102" w:right="106" w:firstLine="719"/>
        <w:jc w:val="both"/>
      </w:pPr>
      <w:r>
        <w:rPr/>
        <w:t>Я.В.Бохман и соавт. (1989) считают допустимым одностороннее удаление придатков, когда отсутствуют отягчающие прогноз факторы, больная молода и хочет иметь детей [15].</w:t>
      </w:r>
    </w:p>
    <w:p>
      <w:pPr>
        <w:pStyle w:val="BodyText"/>
        <w:spacing w:line="360" w:lineRule="auto" w:before="5"/>
        <w:ind w:left="102" w:right="102" w:firstLine="556"/>
        <w:jc w:val="both"/>
      </w:pPr>
      <w:r>
        <w:rPr/>
        <w:t>В литературе все чаще встречаются сообщения об использовании лапароскопии при операциях по поводу начального рака яичников.  Однако, небольшое число подобных наблюдений и высокая частота рецидивов не позволяют пока рекомендовать лапароскопический доступ к широкому применению в хирургии рака яичников</w:t>
      </w:r>
      <w:r>
        <w:rPr>
          <w:spacing w:val="-23"/>
        </w:rPr>
        <w:t> </w:t>
      </w:r>
      <w:r>
        <w:rPr/>
        <w:t>[239,280].</w:t>
      </w:r>
    </w:p>
    <w:p>
      <w:pPr>
        <w:pStyle w:val="BodyText"/>
        <w:spacing w:line="360" w:lineRule="auto" w:before="205"/>
        <w:ind w:left="102" w:right="100" w:firstLine="789"/>
        <w:jc w:val="both"/>
      </w:pPr>
      <w:r>
        <w:rPr/>
        <w:t>Двусторонние сальпингоофорэктомии до настоящего времени не относили к органосохраняющему лечению. Обычно операции такого объёма дополнялись удалением матки. Достижения современной репродуктивной медицины позволяют сохранить фертильность и при отсутствии    яичников [9].</w:t>
      </w:r>
    </w:p>
    <w:p>
      <w:pPr>
        <w:pStyle w:val="BodyText"/>
        <w:spacing w:line="360" w:lineRule="auto" w:before="7"/>
        <w:ind w:left="102" w:right="106" w:firstLine="719"/>
        <w:jc w:val="both"/>
      </w:pPr>
      <w:r>
        <w:rPr/>
        <w:t>В литературе появляются сообщения об успешном завершении беременности, наступившей при помощи донорской яйцеклетки, полученной методом ЭКО.  Более того, стало возможным получение</w:t>
      </w:r>
    </w:p>
    <w:p>
      <w:pPr>
        <w:spacing w:after="0" w:line="360" w:lineRule="auto"/>
        <w:jc w:val="both"/>
        <w:sectPr>
          <w:pgSz w:w="11900" w:h="16850"/>
          <w:pgMar w:header="712" w:footer="0" w:top="1020" w:bottom="280" w:left="1600" w:right="1020"/>
        </w:sectPr>
      </w:pPr>
    </w:p>
    <w:p>
      <w:pPr>
        <w:pStyle w:val="BodyText"/>
        <w:rPr>
          <w:sz w:val="20"/>
        </w:rPr>
      </w:pPr>
    </w:p>
    <w:p>
      <w:pPr>
        <w:pStyle w:val="BodyText"/>
        <w:tabs>
          <w:tab w:pos="1978" w:val="left" w:leader="none"/>
          <w:tab w:pos="3520" w:val="left" w:leader="none"/>
          <w:tab w:pos="4035" w:val="left" w:leader="none"/>
          <w:tab w:pos="5637" w:val="left" w:leader="none"/>
          <w:tab w:pos="7797" w:val="left" w:leader="none"/>
        </w:tabs>
        <w:spacing w:line="362" w:lineRule="auto" w:before="252"/>
        <w:ind w:left="102" w:right="111"/>
      </w:pPr>
      <w:r>
        <w:rPr/>
        <w:t>полноценных</w:t>
        <w:tab/>
        <w:t>эмбрионов</w:t>
        <w:tab/>
        <w:t>из</w:t>
        <w:tab/>
        <w:t>яйцеклеток</w:t>
        <w:tab/>
        <w:t>предварительно</w:t>
        <w:tab/>
      </w:r>
      <w:r>
        <w:rPr>
          <w:spacing w:val="-1"/>
        </w:rPr>
        <w:t>удалённых, </w:t>
      </w:r>
      <w:r>
        <w:rPr/>
        <w:t>замороженных и затем реимплантированных яичников</w:t>
      </w:r>
      <w:r>
        <w:rPr>
          <w:spacing w:val="-26"/>
        </w:rPr>
        <w:t> </w:t>
      </w:r>
      <w:r>
        <w:rPr/>
        <w:t>[8,34].</w:t>
      </w:r>
    </w:p>
    <w:p>
      <w:pPr>
        <w:pStyle w:val="BodyText"/>
        <w:spacing w:line="360" w:lineRule="auto" w:before="2"/>
        <w:ind w:left="102" w:right="99" w:firstLine="719"/>
        <w:jc w:val="both"/>
      </w:pPr>
      <w:r>
        <w:rPr/>
        <w:t>Эти исследования пока находятся в стадии клинических испытаний, но, тем не менее, их нельзя не учитывать при разработке методов органосохраняющего лечения рака яичников I стадии.</w:t>
      </w:r>
    </w:p>
    <w:p>
      <w:pPr>
        <w:pStyle w:val="BodyText"/>
        <w:spacing w:line="360" w:lineRule="auto" w:before="7"/>
        <w:ind w:left="102" w:right="100" w:firstLine="719"/>
        <w:jc w:val="both"/>
      </w:pPr>
      <w:r>
        <w:rPr/>
        <w:t>Ранняя диагностика рака яичников позволяет не только выполнять органосохраняющие операции, но и в ряде случаев отказаться от проведения адъювантной химиотерапии. Мнения исследователей в  вопросе целесообразности назначения адъювантного лечения при I стадии рака яичников разноречивы. И.Д. Нечаева, В.Л. Винокуров и соавт. (1990) показали, что профилактические (поддерживающие) курсы химиотерапии  в течение 2,5-3 лет после успешного первичного лечения Ia и Ib стадий заболевания позволяют более чем в 2 раза снизить частоту рецидивов и увеличить 5-летнюю выживаемость больных с 62,2 % до 83,6 %, т.е. на  21,4 %</w:t>
      </w:r>
      <w:r>
        <w:rPr>
          <w:spacing w:val="-7"/>
        </w:rPr>
        <w:t> </w:t>
      </w:r>
      <w:r>
        <w:rPr/>
        <w:t>[26].</w:t>
      </w:r>
    </w:p>
    <w:p>
      <w:pPr>
        <w:pStyle w:val="BodyText"/>
        <w:spacing w:line="360" w:lineRule="auto" w:before="4"/>
        <w:ind w:left="102" w:right="104" w:firstLine="719"/>
        <w:jc w:val="both"/>
      </w:pPr>
      <w:r>
        <w:rPr/>
        <w:t>McGuire W.P. (1998) считает, что пока нет убедительных данных о целесообразности адъювантной химио</w:t>
      </w:r>
      <w:r>
        <w:rPr>
          <w:rFonts w:ascii="Symbol" w:hAnsi="Symbol"/>
        </w:rPr>
        <w:t></w:t>
      </w:r>
      <w:r>
        <w:rPr/>
        <w:t> или лучевой терапии при раннем раке яичников [201].</w:t>
      </w:r>
    </w:p>
    <w:p>
      <w:pPr>
        <w:pStyle w:val="BodyText"/>
        <w:spacing w:line="360" w:lineRule="auto" w:before="4"/>
        <w:ind w:left="102" w:right="100" w:firstLine="719"/>
        <w:jc w:val="both"/>
      </w:pPr>
      <w:r>
        <w:rPr/>
        <w:t>Основываясь на результатах проспективного рандомизированного исследования, R. Young и соавт. (1990) продемонстрировал возможность у больных Ia стадии с высоко</w:t>
      </w:r>
      <w:r>
        <w:rPr>
          <w:rFonts w:ascii="Symbol" w:hAnsi="Symbol"/>
        </w:rPr>
        <w:t></w:t>
      </w:r>
      <w:r>
        <w:rPr/>
        <w:t> и умереннодифференцированными опухолями ограничиться только операцией, так как  5-летняя выживаемость больных, получавших и не получавших адъювантную химиотерапию, оказалась одинаковой и превысила 90 %. Ещё более высокая 5-летняя выживаемость (98 %) у больных Ia стадии с высокодифференцированными опухолями без асцита и грубых сращений после одного лишь хирургического лечения отмечена A.J. Dembo (1990). По нашим данным, основанным на наблюдении более 200 больных раком яичников Ia стадии, назначение адъювантной химиотерапии</w:t>
      </w:r>
      <w:r>
        <w:rPr>
          <w:spacing w:val="-22"/>
        </w:rPr>
        <w:t> </w:t>
      </w:r>
      <w:r>
        <w:rPr/>
        <w:t>достоверно</w:t>
      </w:r>
    </w:p>
    <w:p>
      <w:pPr>
        <w:spacing w:after="0" w:line="360" w:lineRule="auto"/>
        <w:jc w:val="both"/>
        <w:sectPr>
          <w:pgSz w:w="11900" w:h="16850"/>
          <w:pgMar w:header="712" w:footer="0" w:top="1020" w:bottom="280" w:left="1600" w:right="1020"/>
        </w:sectPr>
      </w:pPr>
    </w:p>
    <w:p>
      <w:pPr>
        <w:pStyle w:val="BodyText"/>
        <w:rPr>
          <w:sz w:val="20"/>
        </w:rPr>
      </w:pPr>
    </w:p>
    <w:p>
      <w:pPr>
        <w:pStyle w:val="BodyText"/>
        <w:spacing w:line="360" w:lineRule="auto" w:before="252"/>
        <w:ind w:left="102" w:right="99"/>
        <w:jc w:val="both"/>
      </w:pPr>
      <w:r>
        <w:rPr/>
        <w:t>повышает выживаемость у больных с сочетанием неблагоприятных прогностических факторов. К неблагоприятным факторам прогноза относятся: возраст больных старше 45 лет, наличие в анамнезе самопроизвольных прерываний беременностей, шести и более родов, сопутствующих гинекологических заболеваний, таких как фибромиома матки в сочетании с железистой гиперплазией эндометрия; Ic стадия заболевания; мезонефроидный гистологический тип опухоли; умеренная или низкая степень дифференцировки; размер опухоли более 20 см; нарушение целостности капсулы опухоли; положительные значения мазков-отпечатков с диафрагмы, печени, пространства Дугласа, забрюшинных лимфатических узлов; явления асцита; высокая митотическая активность эпителиальных клеток (количество  митозов более 10 на 10 полей зрения, наличие патологических митозов); преобладание стромального компонента над клеточным [132,279].</w:t>
      </w:r>
    </w:p>
    <w:p>
      <w:pPr>
        <w:pStyle w:val="BodyText"/>
        <w:rPr>
          <w:sz w:val="30"/>
        </w:rPr>
      </w:pPr>
    </w:p>
    <w:p>
      <w:pPr>
        <w:pStyle w:val="BodyText"/>
        <w:rPr>
          <w:sz w:val="30"/>
        </w:rPr>
      </w:pPr>
    </w:p>
    <w:p>
      <w:pPr>
        <w:pStyle w:val="BodyText"/>
        <w:rPr>
          <w:sz w:val="30"/>
        </w:rPr>
      </w:pPr>
    </w:p>
    <w:p>
      <w:pPr>
        <w:pStyle w:val="BodyText"/>
        <w:spacing w:before="11"/>
        <w:rPr>
          <w:sz w:val="36"/>
        </w:rPr>
      </w:pPr>
    </w:p>
    <w:p>
      <w:pPr>
        <w:pStyle w:val="Heading1"/>
        <w:numPr>
          <w:ilvl w:val="1"/>
          <w:numId w:val="7"/>
        </w:numPr>
        <w:tabs>
          <w:tab w:pos="2203" w:val="left" w:leader="none"/>
        </w:tabs>
        <w:spacing w:line="240" w:lineRule="auto" w:before="0" w:after="0"/>
        <w:ind w:left="2202" w:right="0" w:hanging="492"/>
        <w:jc w:val="left"/>
      </w:pPr>
      <w:r>
        <w:rPr/>
        <w:t>Оперативная онкогинекология и</w:t>
      </w:r>
      <w:r>
        <w:rPr>
          <w:spacing w:val="-16"/>
        </w:rPr>
        <w:t> </w:t>
      </w:r>
      <w:r>
        <w:rPr/>
        <w:t>лапароскопия</w:t>
      </w:r>
    </w:p>
    <w:p>
      <w:pPr>
        <w:pStyle w:val="BodyText"/>
        <w:spacing w:before="1"/>
        <w:rPr>
          <w:b/>
          <w:sz w:val="42"/>
        </w:rPr>
      </w:pPr>
    </w:p>
    <w:p>
      <w:pPr>
        <w:pStyle w:val="BodyText"/>
        <w:tabs>
          <w:tab w:pos="3514" w:val="left" w:leader="none"/>
          <w:tab w:pos="4203" w:val="left" w:leader="none"/>
          <w:tab w:pos="6491" w:val="left" w:leader="none"/>
          <w:tab w:pos="7741" w:val="left" w:leader="none"/>
        </w:tabs>
        <w:spacing w:line="960" w:lineRule="atLeast" w:before="1"/>
        <w:ind w:left="519" w:right="108" w:firstLine="1540"/>
      </w:pPr>
      <w:r>
        <w:rPr/>
        <w:t>История развития оперативной онкогинекологии Онкогинекология</w:t>
        <w:tab/>
        <w:t>как</w:t>
        <w:tab/>
        <w:t>самостоятельная</w:t>
        <w:tab/>
        <w:t>научная</w:t>
        <w:tab/>
      </w:r>
      <w:r>
        <w:rPr>
          <w:spacing w:val="-1"/>
        </w:rPr>
        <w:t>дисциплина</w:t>
      </w:r>
    </w:p>
    <w:p>
      <w:pPr>
        <w:pStyle w:val="BodyText"/>
        <w:spacing w:line="360" w:lineRule="auto" w:before="160"/>
        <w:ind w:left="102" w:right="103"/>
        <w:jc w:val="both"/>
      </w:pPr>
      <w:r>
        <w:rPr/>
        <w:t>существует с конца XIX века. Однако, следует заметить, что первые упоминания о лечении опухолей женских половых органов встречаются еще в трудах Гиппократа и Авиценны.</w:t>
      </w:r>
    </w:p>
    <w:p>
      <w:pPr>
        <w:pStyle w:val="BodyText"/>
        <w:spacing w:line="360" w:lineRule="auto" w:before="206"/>
        <w:ind w:left="102" w:firstLine="347"/>
      </w:pPr>
      <w:r>
        <w:rPr/>
        <w:t>В трудах древнегреческого врача Сорана из Эфеса (98 – 138 года) встречается упоминание о хирургическом удалении матки при полном её</w:t>
      </w:r>
    </w:p>
    <w:p>
      <w:pPr>
        <w:spacing w:after="0" w:line="360" w:lineRule="auto"/>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pPr>
      <w:r>
        <w:rPr/>
        <w:t>выпадении. Хирургическое направление в онкогинекологии постепенно развивалось и касалось, в основном лечения больных раком шейки матки.</w:t>
      </w:r>
    </w:p>
    <w:p>
      <w:pPr>
        <w:pStyle w:val="BodyText"/>
        <w:spacing w:line="360" w:lineRule="auto" w:before="207"/>
        <w:ind w:left="102" w:right="120" w:firstLine="487"/>
        <w:jc w:val="both"/>
      </w:pPr>
      <w:r>
        <w:rPr/>
        <w:t>В 1786 году Heinrich August  Wrisberg  впервые  предположил  удаление матки больным скирром и карциномой. В 1808 году Osiander опубликовал результаты 9 выполненных им ампутаций шейки матки по поводу РШМ в пределах здоровых тканей, положив тем самым начало развития принципов абластики в</w:t>
      </w:r>
      <w:r>
        <w:rPr>
          <w:spacing w:val="-20"/>
        </w:rPr>
        <w:t> </w:t>
      </w:r>
      <w:r>
        <w:rPr/>
        <w:t>онкогинекологии.</w:t>
      </w:r>
    </w:p>
    <w:p>
      <w:pPr>
        <w:pStyle w:val="BodyText"/>
        <w:spacing w:line="360" w:lineRule="auto" w:before="207"/>
        <w:ind w:left="102" w:right="121" w:firstLine="487"/>
        <w:jc w:val="both"/>
      </w:pPr>
      <w:r>
        <w:rPr/>
        <w:t>В 1813 году в Касселе Conrad Johann  Martin  von  Langenbeck  выполнил тотальное удаление матки больной раком шейки матки. В результате этой операции удалось достичь стойкого излечения пациентки [43].</w:t>
      </w:r>
    </w:p>
    <w:p>
      <w:pPr>
        <w:pStyle w:val="BodyText"/>
        <w:spacing w:line="360" w:lineRule="auto" w:before="204"/>
        <w:ind w:left="102" w:right="116" w:firstLine="417"/>
        <w:jc w:val="both"/>
      </w:pPr>
      <w:r>
        <w:rPr/>
        <w:t>В 1828 году J.N. Sauter успешно выполнил  влагалищную гистерэктомию при раке шейки матки; в 1878 году – W.A. Freund – абдоминально - влагалищную гистерэктомию. В России влагалищная гистерэктомия была выполнена в 1845 году в Казани А. А. Китером [43, 193].</w:t>
      </w:r>
    </w:p>
    <w:p>
      <w:pPr>
        <w:pStyle w:val="BodyText"/>
        <w:spacing w:line="360" w:lineRule="auto" w:before="206"/>
        <w:ind w:left="102" w:right="117" w:firstLine="487"/>
        <w:jc w:val="both"/>
      </w:pPr>
      <w:r>
        <w:rPr/>
        <w:t>В период с  1898  по 1912 год венский хирург  Ernst Wertheim  выполнил 500 расширенных гистерэктомий. Его монографии,  посвященные описанию этих операций стали настольными  книгами многих выдающихся клиницистов</w:t>
      </w:r>
      <w:r>
        <w:rPr>
          <w:spacing w:val="-14"/>
        </w:rPr>
        <w:t> </w:t>
      </w:r>
      <w:r>
        <w:rPr/>
        <w:t>[274].</w:t>
      </w:r>
    </w:p>
    <w:p>
      <w:pPr>
        <w:pStyle w:val="BodyText"/>
        <w:spacing w:line="360" w:lineRule="auto" w:before="206"/>
        <w:ind w:left="102" w:right="117" w:firstLine="487"/>
        <w:jc w:val="both"/>
      </w:pPr>
      <w:r>
        <w:rPr/>
        <w:t>В дальнейшем техника операции Вертгейма многократно пересматривалась и модифицировалась. Весомый вклад в ее совершенствование внесли зарубежные хирурги: Okabayashi (1921), Meigs (1944), Zeder (1960), Mitra (1961) и др., а также представители Ленинградской школы: А.И.Серебров, В.П.Тобилевич, Я.В.Бохман [13,25,77,78,81,203,206,215,274].</w:t>
      </w:r>
    </w:p>
    <w:p>
      <w:pPr>
        <w:spacing w:after="0" w:line="360" w:lineRule="auto"/>
        <w:jc w:val="both"/>
        <w:sectPr>
          <w:pgSz w:w="11900" w:h="16850"/>
          <w:pgMar w:header="712" w:footer="0" w:top="1020" w:bottom="280" w:left="1600" w:right="1000"/>
        </w:sectPr>
      </w:pPr>
    </w:p>
    <w:p>
      <w:pPr>
        <w:pStyle w:val="BodyText"/>
        <w:rPr>
          <w:sz w:val="20"/>
        </w:rPr>
      </w:pPr>
    </w:p>
    <w:p>
      <w:pPr>
        <w:pStyle w:val="BodyText"/>
        <w:rPr>
          <w:sz w:val="20"/>
        </w:rPr>
      </w:pPr>
    </w:p>
    <w:p>
      <w:pPr>
        <w:pStyle w:val="BodyText"/>
        <w:spacing w:line="360" w:lineRule="auto" w:before="224"/>
        <w:ind w:left="102" w:right="107" w:firstLine="628"/>
        <w:jc w:val="both"/>
      </w:pPr>
      <w:r>
        <w:rPr/>
        <w:t>Необходимо сказать о том, что исследования не ограничивались только хирургическими аспектами лечения онкогинекологических больных.</w:t>
      </w:r>
    </w:p>
    <w:p>
      <w:pPr>
        <w:pStyle w:val="BodyText"/>
        <w:spacing w:line="360" w:lineRule="auto" w:before="207"/>
        <w:ind w:left="102" w:right="106" w:firstLine="487"/>
        <w:jc w:val="both"/>
      </w:pPr>
      <w:r>
        <w:rPr/>
        <w:t>Успехи лучевой терапии в лечении больных раком шейки позволили в последующем использовать ее как самостоятельный радикальный метод лечения рака шейки матки. Одновременно изучались возможности химиотерапии в лечении злокачественных опухолей. Следует сказать о  том, что полное излечение злокачественной опухоли только с помощью химиотерапии было достигнуто при хорионэпителиоме матки. Тогда же активно начали исследоваться вопросы этиологии, патогенеза и возможностей ранней диагностики злокачественных опухолей органов репродуктивной</w:t>
      </w:r>
      <w:r>
        <w:rPr>
          <w:spacing w:val="-5"/>
        </w:rPr>
        <w:t> </w:t>
      </w:r>
      <w:r>
        <w:rPr/>
        <w:t>системы.</w:t>
      </w:r>
    </w:p>
    <w:p>
      <w:pPr>
        <w:pStyle w:val="BodyText"/>
        <w:spacing w:line="360" w:lineRule="auto" w:before="204"/>
        <w:ind w:left="102" w:right="100" w:firstLine="347"/>
        <w:jc w:val="both"/>
      </w:pPr>
      <w:r>
        <w:rPr/>
        <w:t>В результате тщательного анализа накопленных более чем за 100 лет данных о клинических и биологических особенностях организма  и опухоли в ведущих онкологических клиниках предложены индивидуализированные программы комбинированного и комплексного лечения рака органов женской репродуктивной системы.</w:t>
      </w:r>
    </w:p>
    <w:p>
      <w:pPr>
        <w:pStyle w:val="BodyText"/>
        <w:spacing w:line="360" w:lineRule="auto" w:before="206"/>
        <w:ind w:left="102" w:right="106" w:firstLine="347"/>
        <w:jc w:val="both"/>
      </w:pPr>
      <w:r>
        <w:rPr/>
        <w:t>На сегодняшний день четко сформулированы показания к хирургическому лечению, определены виды и объемы выполняемых операций.</w:t>
      </w:r>
    </w:p>
    <w:p>
      <w:pPr>
        <w:pStyle w:val="BodyText"/>
        <w:rPr>
          <w:sz w:val="30"/>
        </w:rPr>
      </w:pPr>
    </w:p>
    <w:p>
      <w:pPr>
        <w:pStyle w:val="BodyText"/>
        <w:rPr>
          <w:sz w:val="30"/>
        </w:rPr>
      </w:pPr>
    </w:p>
    <w:p>
      <w:pPr>
        <w:pStyle w:val="BodyText"/>
        <w:spacing w:before="9"/>
        <w:rPr>
          <w:sz w:val="35"/>
        </w:rPr>
      </w:pPr>
    </w:p>
    <w:p>
      <w:pPr>
        <w:pStyle w:val="BodyText"/>
        <w:ind w:left="2975"/>
      </w:pPr>
      <w:r>
        <w:rPr/>
        <w:t>Лапароскопия в онкогинекологии</w:t>
      </w:r>
    </w:p>
    <w:p>
      <w:pPr>
        <w:pStyle w:val="BodyText"/>
        <w:rPr>
          <w:sz w:val="30"/>
        </w:rPr>
      </w:pPr>
    </w:p>
    <w:p>
      <w:pPr>
        <w:pStyle w:val="BodyText"/>
        <w:spacing w:before="1"/>
        <w:rPr>
          <w:sz w:val="26"/>
        </w:rPr>
      </w:pPr>
    </w:p>
    <w:p>
      <w:pPr>
        <w:pStyle w:val="BodyText"/>
        <w:spacing w:line="360" w:lineRule="auto"/>
        <w:ind w:left="102" w:right="104" w:firstLine="278"/>
        <w:jc w:val="both"/>
      </w:pPr>
      <w:r>
        <w:rPr/>
        <w:t>Описание первых попыток эндоскопических исследований встречаются в трудах Гиппократа (~ 460 – 377 года до н.э.), в очерках о болезнях прямой кишки. Арабский врач Abdul Quasim (936 – 1013)</w:t>
      </w:r>
      <w:r>
        <w:rPr>
          <w:spacing w:val="-28"/>
        </w:rPr>
        <w:t> </w:t>
      </w:r>
      <w:r>
        <w:rPr/>
        <w:t>использовал</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16"/>
        <w:jc w:val="both"/>
      </w:pPr>
      <w:r>
        <w:rPr/>
        <w:t>зеркало для осмотра шейки матки. Французский хирург R.P.Arnaud (1651- 1723) создал первый экстракорпоральный источник света представлявший собой цилиндр, покрытый серебром, внутри которого при помощи линз свет, исходящий от свечи, собирался в единый пучок.</w:t>
      </w:r>
    </w:p>
    <w:p>
      <w:pPr>
        <w:pStyle w:val="BodyText"/>
        <w:spacing w:line="360" w:lineRule="auto" w:before="207"/>
        <w:ind w:left="102" w:right="118" w:firstLine="559"/>
        <w:jc w:val="both"/>
      </w:pPr>
      <w:r>
        <w:rPr/>
        <w:t>История современной лапароскопии началась в 1805 г., когда Philip Bozzini в Вене создал инструмент, позволявший производить осмотр внутренних органов, и назвал его «LICHTLEITER». Первая публикация с сообщением о приборе и его возможностях датируется 1807 годом. Дальнейшее использование прибора было запрещено «за неуместное любопытство». После этого развитие эндоскопии остановилось почти на полвека. В 1853г. A.Desormeaux, которого многие называют «отцом современной эндоскопии» использовал этот усовершенствованный им прибор для осмотра мочевого пузыря пациентки. В 1876 г. Nitze модифицировал этот инструмент, введя в его конструкцию лампочку и отказавшись от сложной системы зеркал, при помощи которых освещение обеспечивалось до него. В 1881 году был сконструирован первый гастроскоп (J.Mikulicz). В 1901 году в Берлине немецким хирургом G.Kelling была выполнена первая лапароскопическая операция в условиях пневмоперитонеума. В том же году Д. О. Отт в Санкт-Петербурге также описал свой первый опыт выполнения диагностической лапароскопии.</w:t>
      </w:r>
    </w:p>
    <w:p>
      <w:pPr>
        <w:pStyle w:val="BodyText"/>
        <w:spacing w:line="360" w:lineRule="auto" w:before="207"/>
        <w:ind w:left="102" w:right="121" w:firstLine="417"/>
        <w:jc w:val="both"/>
      </w:pPr>
      <w:r>
        <w:rPr/>
        <w:t>В 1938 г. J. Veress предложил свою конструкцию автоматической иглы для достижения пневмоперитонеума, в 1960 г. Kurst Semm изобрел инсуффлятор [68].</w:t>
      </w:r>
    </w:p>
    <w:p>
      <w:pPr>
        <w:pStyle w:val="BodyText"/>
        <w:tabs>
          <w:tab w:pos="2284" w:val="left" w:leader="none"/>
          <w:tab w:pos="5430" w:val="left" w:leader="none"/>
        </w:tabs>
        <w:spacing w:line="360" w:lineRule="auto" w:before="204"/>
        <w:ind w:left="102" w:right="129" w:firstLine="719"/>
      </w:pPr>
      <w:r>
        <w:rPr/>
        <w:t>В </w:t>
      </w:r>
      <w:r>
        <w:rPr>
          <w:spacing w:val="43"/>
        </w:rPr>
        <w:t> </w:t>
      </w:r>
      <w:r>
        <w:rPr/>
        <w:t>итоге,</w:t>
        <w:tab/>
        <w:t>менее   чем   за</w:t>
      </w:r>
      <w:r>
        <w:rPr>
          <w:spacing w:val="56"/>
        </w:rPr>
        <w:t> </w:t>
      </w:r>
      <w:r>
        <w:rPr/>
        <w:t>50 </w:t>
      </w:r>
      <w:r>
        <w:rPr>
          <w:spacing w:val="43"/>
        </w:rPr>
        <w:t> </w:t>
      </w:r>
      <w:r>
        <w:rPr/>
        <w:t>лет</w:t>
        <w:tab/>
        <w:t>лапароскопия </w:t>
      </w:r>
      <w:r>
        <w:rPr>
          <w:spacing w:val="36"/>
        </w:rPr>
        <w:t> </w:t>
      </w:r>
      <w:r>
        <w:rPr/>
        <w:t>начала </w:t>
      </w:r>
      <w:r>
        <w:rPr>
          <w:spacing w:val="38"/>
        </w:rPr>
        <w:t> </w:t>
      </w:r>
      <w:r>
        <w:rPr/>
        <w:t>широко</w:t>
      </w:r>
      <w:r>
        <w:rPr>
          <w:w w:val="100"/>
        </w:rPr>
        <w:t> </w:t>
      </w:r>
      <w:r>
        <w:rPr/>
        <w:t>применяться во многих хирургических</w:t>
      </w:r>
      <w:r>
        <w:rPr>
          <w:spacing w:val="-14"/>
        </w:rPr>
        <w:t> </w:t>
      </w:r>
      <w:r>
        <w:rPr/>
        <w:t>клиниках.</w:t>
      </w:r>
    </w:p>
    <w:p>
      <w:pPr>
        <w:spacing w:after="0" w:line="360" w:lineRule="auto"/>
        <w:sectPr>
          <w:pgSz w:w="11900" w:h="16850"/>
          <w:pgMar w:header="712" w:footer="0" w:top="1020" w:bottom="280" w:left="1600" w:right="1000"/>
        </w:sectPr>
      </w:pPr>
    </w:p>
    <w:p>
      <w:pPr>
        <w:pStyle w:val="BodyText"/>
        <w:rPr>
          <w:sz w:val="20"/>
        </w:rPr>
      </w:pPr>
    </w:p>
    <w:p>
      <w:pPr>
        <w:pStyle w:val="BodyText"/>
        <w:spacing w:before="252"/>
        <w:ind w:left="2865"/>
      </w:pPr>
      <w:r>
        <w:rPr/>
        <w:t>Лапароскопия при раке эндометрия</w:t>
      </w:r>
    </w:p>
    <w:p>
      <w:pPr>
        <w:pStyle w:val="BodyText"/>
        <w:rPr>
          <w:sz w:val="30"/>
        </w:rPr>
      </w:pPr>
    </w:p>
    <w:p>
      <w:pPr>
        <w:pStyle w:val="BodyText"/>
        <w:spacing w:before="1"/>
        <w:rPr>
          <w:sz w:val="26"/>
        </w:rPr>
      </w:pPr>
    </w:p>
    <w:p>
      <w:pPr>
        <w:pStyle w:val="BodyText"/>
        <w:spacing w:line="360" w:lineRule="auto"/>
        <w:ind w:left="102" w:right="224" w:firstLine="719"/>
        <w:jc w:val="both"/>
      </w:pPr>
      <w:r>
        <w:rPr/>
        <w:t>Больше всего публикаций, посвященных применению лапароскопического доступа в онкогинекологии посвящено раку эндометрия. Число подобных работ стремительно увеличивалось вплоть до 2005 - 2006 годов. В результате была продемонстрирована лучшая переносимость и безопасность эндовидеохирургических операций, их соответствие современным принципам хирургии злокачественных опухолей (Рис.1.2).</w:t>
      </w:r>
    </w:p>
    <w:p>
      <w:pPr>
        <w:pStyle w:val="BodyText"/>
        <w:spacing w:before="7"/>
        <w:rPr>
          <w:sz w:val="42"/>
        </w:rPr>
      </w:pPr>
    </w:p>
    <w:p>
      <w:pPr>
        <w:pStyle w:val="BodyText"/>
        <w:ind w:left="961" w:firstLine="6798"/>
      </w:pPr>
      <w:r>
        <w:rPr/>
        <w:t>Рисунок 1.2</w:t>
      </w:r>
    </w:p>
    <w:p>
      <w:pPr>
        <w:pStyle w:val="BodyText"/>
        <w:rPr>
          <w:sz w:val="11"/>
        </w:rPr>
      </w:pPr>
      <w:r>
        <w:rPr/>
        <w:pict>
          <v:group style="position:absolute;margin-left:121.050003pt;margin-top:8.310622pt;width:423.7pt;height:219.7pt;mso-position-horizontal-relative:page;mso-position-vertical-relative:paragraph;z-index:1168;mso-wrap-distance-left:0;mso-wrap-distance-right:0" coordorigin="2421,166" coordsize="8474,4394">
            <v:shape style="position:absolute;left:2421;top:166;width:8473;height:4394" type="#_x0000_t75" stroked="false">
              <v:imagedata r:id="rId6" o:title=""/>
            </v:shape>
            <v:shape style="position:absolute;left:2897;top:166;width:7997;height:1234" type="#_x0000_t75" stroked="false">
              <v:imagedata r:id="rId7" o:title=""/>
            </v:shape>
            <v:shape style="position:absolute;left:3359;top:166;width:7063;height:1234" type="#_x0000_t75" stroked="false">
              <v:imagedata r:id="rId8" o:title=""/>
            </v:shape>
            <v:shape style="position:absolute;left:3391;top:1066;width:6864;height:3229" type="#_x0000_t75" stroked="false">
              <v:imagedata r:id="rId9" o:title=""/>
            </v:shape>
            <v:shape style="position:absolute;left:2421;top:166;width:8474;height:4394" type="#_x0000_t202" filled="false" stroked="false">
              <v:textbox inset="0,0,0,0">
                <w:txbxContent>
                  <w:p>
                    <w:pPr>
                      <w:spacing w:before="137"/>
                      <w:ind w:left="1150" w:right="866" w:firstLine="0"/>
                      <w:jc w:val="center"/>
                      <w:rPr>
                        <w:rFonts w:ascii="Arial" w:hAnsi="Arial"/>
                        <w:sz w:val="22"/>
                      </w:rPr>
                    </w:pPr>
                    <w:r>
                      <w:rPr>
                        <w:rFonts w:ascii="Arial" w:hAnsi="Arial"/>
                        <w:spacing w:val="9"/>
                        <w:w w:val="150"/>
                        <w:sz w:val="22"/>
                      </w:rPr>
                      <w:t>Ин</w:t>
                    </w:r>
                    <w:r>
                      <w:rPr>
                        <w:rFonts w:ascii="Arial" w:hAnsi="Arial"/>
                        <w:spacing w:val="-54"/>
                        <w:w w:val="150"/>
                        <w:sz w:val="22"/>
                      </w:rPr>
                      <w:t> </w:t>
                    </w:r>
                    <w:r>
                      <w:rPr>
                        <w:rFonts w:ascii="Arial" w:hAnsi="Arial"/>
                        <w:spacing w:val="10"/>
                        <w:w w:val="150"/>
                        <w:sz w:val="22"/>
                      </w:rPr>
                      <w:t>дек</w:t>
                    </w:r>
                    <w:r>
                      <w:rPr>
                        <w:rFonts w:ascii="Arial" w:hAnsi="Arial"/>
                        <w:spacing w:val="-53"/>
                        <w:w w:val="150"/>
                        <w:sz w:val="22"/>
                      </w:rPr>
                      <w:t> </w:t>
                    </w:r>
                    <w:r>
                      <w:rPr>
                        <w:rFonts w:ascii="Arial" w:hAnsi="Arial"/>
                        <w:w w:val="150"/>
                        <w:sz w:val="22"/>
                      </w:rPr>
                      <w:t>с ц</w:t>
                    </w:r>
                    <w:r>
                      <w:rPr>
                        <w:rFonts w:ascii="Arial" w:hAnsi="Arial"/>
                        <w:spacing w:val="-59"/>
                        <w:w w:val="150"/>
                        <w:sz w:val="22"/>
                      </w:rPr>
                      <w:t> </w:t>
                    </w:r>
                    <w:r>
                      <w:rPr>
                        <w:rFonts w:ascii="Arial" w:hAnsi="Arial"/>
                        <w:w w:val="150"/>
                        <w:sz w:val="22"/>
                      </w:rPr>
                      <w:t>и</w:t>
                    </w:r>
                    <w:r>
                      <w:rPr>
                        <w:rFonts w:ascii="Arial" w:hAnsi="Arial"/>
                        <w:spacing w:val="-57"/>
                        <w:w w:val="150"/>
                        <w:sz w:val="22"/>
                      </w:rPr>
                      <w:t> </w:t>
                    </w:r>
                    <w:r>
                      <w:rPr>
                        <w:rFonts w:ascii="Arial" w:hAnsi="Arial"/>
                        <w:spacing w:val="7"/>
                        <w:w w:val="150"/>
                        <w:sz w:val="22"/>
                      </w:rPr>
                      <w:t>ти</w:t>
                    </w:r>
                    <w:r>
                      <w:rPr>
                        <w:rFonts w:ascii="Arial" w:hAnsi="Arial"/>
                        <w:spacing w:val="-56"/>
                        <w:w w:val="150"/>
                        <w:sz w:val="22"/>
                      </w:rPr>
                      <w:t> </w:t>
                    </w:r>
                    <w:r>
                      <w:rPr>
                        <w:rFonts w:ascii="Arial" w:hAnsi="Arial"/>
                        <w:spacing w:val="8"/>
                        <w:w w:val="150"/>
                        <w:sz w:val="22"/>
                      </w:rPr>
                      <w:t>рован</w:t>
                    </w:r>
                    <w:r>
                      <w:rPr>
                        <w:rFonts w:ascii="Arial" w:hAnsi="Arial"/>
                        <w:spacing w:val="-54"/>
                        <w:w w:val="150"/>
                        <w:sz w:val="22"/>
                      </w:rPr>
                      <w:t> </w:t>
                    </w:r>
                    <w:r>
                      <w:rPr>
                        <w:rFonts w:ascii="Arial" w:hAnsi="Arial"/>
                        <w:w w:val="150"/>
                        <w:sz w:val="22"/>
                      </w:rPr>
                      <w:t>и</w:t>
                    </w:r>
                    <w:r>
                      <w:rPr>
                        <w:rFonts w:ascii="Arial" w:hAnsi="Arial"/>
                        <w:spacing w:val="-56"/>
                        <w:w w:val="150"/>
                        <w:sz w:val="22"/>
                      </w:rPr>
                      <w:t> </w:t>
                    </w:r>
                    <w:r>
                      <w:rPr>
                        <w:rFonts w:ascii="Arial" w:hAnsi="Arial"/>
                        <w:w w:val="150"/>
                        <w:sz w:val="22"/>
                      </w:rPr>
                      <w:t>я </w:t>
                    </w:r>
                    <w:r>
                      <w:rPr>
                        <w:rFonts w:ascii="Arial" w:hAnsi="Arial"/>
                        <w:spacing w:val="5"/>
                        <w:w w:val="150"/>
                        <w:sz w:val="22"/>
                      </w:rPr>
                      <w:t>терми</w:t>
                    </w:r>
                    <w:r>
                      <w:rPr>
                        <w:rFonts w:ascii="Arial" w:hAnsi="Arial"/>
                        <w:spacing w:val="-56"/>
                        <w:w w:val="150"/>
                        <w:sz w:val="22"/>
                      </w:rPr>
                      <w:t> </w:t>
                    </w:r>
                    <w:r>
                      <w:rPr>
                        <w:rFonts w:ascii="Arial" w:hAnsi="Arial"/>
                        <w:w w:val="150"/>
                        <w:sz w:val="22"/>
                      </w:rPr>
                      <w:t>н</w:t>
                    </w:r>
                    <w:r>
                      <w:rPr>
                        <w:rFonts w:ascii="Arial" w:hAnsi="Arial"/>
                        <w:spacing w:val="-54"/>
                        <w:w w:val="150"/>
                        <w:sz w:val="22"/>
                      </w:rPr>
                      <w:t> </w:t>
                    </w:r>
                    <w:r>
                      <w:rPr>
                        <w:rFonts w:ascii="Arial" w:hAnsi="Arial"/>
                        <w:spacing w:val="9"/>
                        <w:w w:val="150"/>
                        <w:sz w:val="22"/>
                      </w:rPr>
                      <w:t>ов</w:t>
                    </w:r>
                  </w:p>
                  <w:p>
                    <w:pPr>
                      <w:spacing w:before="16"/>
                      <w:ind w:left="1150" w:right="866" w:firstLine="0"/>
                      <w:jc w:val="center"/>
                      <w:rPr>
                        <w:rFonts w:ascii="Arial" w:hAnsi="Arial"/>
                        <w:sz w:val="22"/>
                      </w:rPr>
                    </w:pPr>
                    <w:r>
                      <w:rPr>
                        <w:rFonts w:ascii="Arial" w:hAnsi="Arial"/>
                        <w:spacing w:val="-5"/>
                        <w:w w:val="150"/>
                        <w:sz w:val="22"/>
                      </w:rPr>
                      <w:t>«рак</w:t>
                    </w:r>
                    <w:r>
                      <w:rPr>
                        <w:rFonts w:ascii="Arial" w:hAnsi="Arial"/>
                        <w:spacing w:val="48"/>
                        <w:w w:val="150"/>
                        <w:sz w:val="22"/>
                      </w:rPr>
                      <w:t> </w:t>
                    </w:r>
                    <w:r>
                      <w:rPr>
                        <w:rFonts w:ascii="Arial" w:hAnsi="Arial"/>
                        <w:spacing w:val="6"/>
                        <w:w w:val="150"/>
                        <w:sz w:val="22"/>
                      </w:rPr>
                      <w:t>эн</w:t>
                    </w:r>
                    <w:r>
                      <w:rPr>
                        <w:rFonts w:ascii="Arial" w:hAnsi="Arial"/>
                        <w:spacing w:val="-54"/>
                        <w:w w:val="150"/>
                        <w:sz w:val="22"/>
                      </w:rPr>
                      <w:t> </w:t>
                    </w:r>
                    <w:r>
                      <w:rPr>
                        <w:rFonts w:ascii="Arial" w:hAnsi="Arial"/>
                        <w:spacing w:val="10"/>
                        <w:w w:val="150"/>
                        <w:sz w:val="22"/>
                      </w:rPr>
                      <w:t>дометри</w:t>
                    </w:r>
                    <w:r>
                      <w:rPr>
                        <w:rFonts w:ascii="Arial" w:hAnsi="Arial"/>
                        <w:spacing w:val="-56"/>
                        <w:w w:val="150"/>
                        <w:sz w:val="22"/>
                      </w:rPr>
                      <w:t> </w:t>
                    </w:r>
                    <w:r>
                      <w:rPr>
                        <w:rFonts w:ascii="Arial" w:hAnsi="Arial"/>
                        <w:spacing w:val="11"/>
                        <w:w w:val="150"/>
                        <w:sz w:val="22"/>
                      </w:rPr>
                      <w:t>я» </w:t>
                    </w:r>
                    <w:r>
                      <w:rPr>
                        <w:rFonts w:ascii="Arial" w:hAnsi="Arial"/>
                        <w:w w:val="150"/>
                        <w:sz w:val="22"/>
                      </w:rPr>
                      <w:t>и </w:t>
                    </w:r>
                    <w:r>
                      <w:rPr>
                        <w:rFonts w:ascii="Arial" w:hAnsi="Arial"/>
                        <w:spacing w:val="-7"/>
                        <w:w w:val="150"/>
                        <w:sz w:val="22"/>
                      </w:rPr>
                      <w:t>«лап </w:t>
                    </w:r>
                    <w:r>
                      <w:rPr>
                        <w:rFonts w:ascii="Arial" w:hAnsi="Arial"/>
                        <w:spacing w:val="7"/>
                        <w:w w:val="150"/>
                        <w:sz w:val="22"/>
                      </w:rPr>
                      <w:t>ароск</w:t>
                    </w:r>
                    <w:r>
                      <w:rPr>
                        <w:rFonts w:ascii="Arial" w:hAnsi="Arial"/>
                        <w:spacing w:val="-52"/>
                        <w:w w:val="150"/>
                        <w:sz w:val="22"/>
                      </w:rPr>
                      <w:t> </w:t>
                    </w:r>
                    <w:r>
                      <w:rPr>
                        <w:rFonts w:ascii="Arial" w:hAnsi="Arial"/>
                        <w:spacing w:val="9"/>
                        <w:w w:val="150"/>
                        <w:sz w:val="22"/>
                      </w:rPr>
                      <w:t>оп</w:t>
                    </w:r>
                    <w:r>
                      <w:rPr>
                        <w:rFonts w:ascii="Arial" w:hAnsi="Arial"/>
                        <w:spacing w:val="-55"/>
                        <w:w w:val="150"/>
                        <w:sz w:val="22"/>
                      </w:rPr>
                      <w:t> </w:t>
                    </w:r>
                    <w:r>
                      <w:rPr>
                        <w:rFonts w:ascii="Arial" w:hAnsi="Arial"/>
                        <w:w w:val="150"/>
                        <w:sz w:val="22"/>
                      </w:rPr>
                      <w:t>и</w:t>
                    </w:r>
                    <w:r>
                      <w:rPr>
                        <w:rFonts w:ascii="Arial" w:hAnsi="Arial"/>
                        <w:spacing w:val="-56"/>
                        <w:w w:val="150"/>
                        <w:sz w:val="22"/>
                      </w:rPr>
                      <w:t> </w:t>
                    </w:r>
                    <w:r>
                      <w:rPr>
                        <w:rFonts w:ascii="Arial" w:hAnsi="Arial"/>
                        <w:spacing w:val="11"/>
                        <w:w w:val="150"/>
                        <w:sz w:val="22"/>
                      </w:rPr>
                      <w:t>я» </w:t>
                    </w:r>
                    <w:r>
                      <w:rPr>
                        <w:rFonts w:ascii="Arial" w:hAnsi="Arial"/>
                        <w:w w:val="150"/>
                        <w:sz w:val="22"/>
                      </w:rPr>
                      <w:t>в</w:t>
                    </w:r>
                  </w:p>
                  <w:p>
                    <w:pPr>
                      <w:tabs>
                        <w:tab w:pos="3477" w:val="left" w:leader="none"/>
                        <w:tab w:pos="7573" w:val="left" w:leader="none"/>
                      </w:tabs>
                      <w:spacing w:before="24"/>
                      <w:ind w:left="931" w:right="0" w:firstLine="0"/>
                      <w:jc w:val="left"/>
                      <w:rPr>
                        <w:rFonts w:ascii="Arial" w:hAnsi="Arial"/>
                        <w:sz w:val="22"/>
                      </w:rPr>
                    </w:pPr>
                    <w:r>
                      <w:rPr>
                        <w:w w:val="149"/>
                        <w:sz w:val="22"/>
                        <w:u w:val="single" w:color="A4A49F"/>
                      </w:rPr>
                      <w:t> </w:t>
                    </w:r>
                    <w:r>
                      <w:rPr>
                        <w:sz w:val="22"/>
                        <w:u w:val="single" w:color="A4A49F"/>
                      </w:rPr>
                      <w:tab/>
                    </w:r>
                    <w:r>
                      <w:rPr>
                        <w:rFonts w:ascii="Arial" w:hAnsi="Arial"/>
                        <w:spacing w:val="-5"/>
                        <w:w w:val="150"/>
                        <w:sz w:val="22"/>
                        <w:u w:val="single" w:color="A4A49F"/>
                      </w:rPr>
                      <w:t>ли</w:t>
                    </w:r>
                    <w:r>
                      <w:rPr>
                        <w:rFonts w:ascii="Arial" w:hAnsi="Arial"/>
                        <w:spacing w:val="-53"/>
                        <w:w w:val="150"/>
                        <w:sz w:val="22"/>
                        <w:u w:val="single" w:color="A4A49F"/>
                      </w:rPr>
                      <w:t> </w:t>
                    </w:r>
                    <w:r>
                      <w:rPr>
                        <w:rFonts w:ascii="Arial" w:hAnsi="Arial"/>
                        <w:spacing w:val="4"/>
                        <w:w w:val="150"/>
                        <w:sz w:val="22"/>
                        <w:u w:val="single" w:color="A4A49F"/>
                      </w:rPr>
                      <w:t>тературе</w:t>
                    </w:r>
                    <w:r>
                      <w:rPr>
                        <w:rFonts w:ascii="Arial" w:hAnsi="Arial"/>
                        <w:spacing w:val="4"/>
                        <w:sz w:val="22"/>
                        <w:u w:val="single" w:color="A4A49F"/>
                      </w:rPr>
                      <w:tab/>
                    </w:r>
                  </w:p>
                </w:txbxContent>
              </v:textbox>
              <w10:wrap type="none"/>
            </v:shape>
            <w10:wrap type="topAndBottom"/>
          </v:group>
        </w:pict>
      </w:r>
    </w:p>
    <w:p>
      <w:pPr>
        <w:pStyle w:val="BodyText"/>
        <w:rPr>
          <w:sz w:val="30"/>
        </w:rPr>
      </w:pPr>
    </w:p>
    <w:p>
      <w:pPr>
        <w:pStyle w:val="BodyText"/>
        <w:spacing w:before="7"/>
        <w:rPr>
          <w:sz w:val="23"/>
        </w:rPr>
      </w:pPr>
    </w:p>
    <w:p>
      <w:pPr>
        <w:pStyle w:val="BodyText"/>
        <w:tabs>
          <w:tab w:pos="8246" w:val="left" w:leader="none"/>
        </w:tabs>
        <w:spacing w:line="360" w:lineRule="auto"/>
        <w:ind w:left="102" w:right="225" w:firstLine="859"/>
        <w:jc w:val="both"/>
      </w:pPr>
      <w:r>
        <w:rPr/>
        <w:t>Первую лапароскопическую гистерэктомию по поводу рака эндометрия выполнил H. Reich в январе 1988 г. В том же году D. Querleu произвел первую лапароскопическую подвздошную лимфаденэктомию. [190, 226]. Спустя два года Targarona E. была произведена первая лапароскопическая    расширенная      </w:t>
      </w:r>
      <w:r>
        <w:rPr>
          <w:spacing w:val="66"/>
        </w:rPr>
        <w:t> </w:t>
      </w:r>
      <w:r>
        <w:rPr/>
        <w:t>пангистерэктомия  </w:t>
      </w:r>
      <w:r>
        <w:rPr>
          <w:spacing w:val="68"/>
        </w:rPr>
        <w:t> </w:t>
      </w:r>
      <w:r>
        <w:rPr/>
        <w:t>с</w:t>
        <w:tab/>
        <w:t>тазовой лимфодиссекцией</w:t>
      </w:r>
      <w:r>
        <w:rPr>
          <w:spacing w:val="-12"/>
        </w:rPr>
        <w:t> </w:t>
      </w:r>
      <w:r>
        <w:rPr/>
        <w:t>[156].</w:t>
      </w:r>
    </w:p>
    <w:p>
      <w:pPr>
        <w:spacing w:after="0" w:line="360" w:lineRule="auto"/>
        <w:jc w:val="both"/>
        <w:sectPr>
          <w:pgSz w:w="11900" w:h="16850"/>
          <w:pgMar w:header="712" w:footer="0" w:top="1020" w:bottom="280" w:left="1600" w:right="900"/>
        </w:sectPr>
      </w:pPr>
    </w:p>
    <w:p>
      <w:pPr>
        <w:pStyle w:val="BodyText"/>
        <w:rPr>
          <w:sz w:val="20"/>
        </w:rPr>
      </w:pPr>
    </w:p>
    <w:p>
      <w:pPr>
        <w:pStyle w:val="BodyText"/>
        <w:rPr>
          <w:sz w:val="20"/>
        </w:rPr>
      </w:pPr>
    </w:p>
    <w:p>
      <w:pPr>
        <w:pStyle w:val="BodyText"/>
        <w:tabs>
          <w:tab w:pos="6933" w:val="left" w:leader="none"/>
        </w:tabs>
        <w:spacing w:line="360" w:lineRule="auto" w:before="224"/>
        <w:ind w:left="102" w:right="102" w:firstLine="719"/>
        <w:jc w:val="both"/>
      </w:pPr>
      <w:r>
        <w:rPr/>
        <w:t>Одним из первых исследований, посвященных сравнительной характеристике </w:t>
      </w:r>
      <w:r>
        <w:rPr>
          <w:spacing w:val="52"/>
        </w:rPr>
        <w:t> </w:t>
      </w:r>
      <w:r>
        <w:rPr/>
        <w:t>применения </w:t>
      </w:r>
      <w:r>
        <w:rPr>
          <w:spacing w:val="53"/>
        </w:rPr>
        <w:t> </w:t>
      </w:r>
      <w:r>
        <w:rPr/>
        <w:t>лапароскопических</w:t>
        <w:tab/>
        <w:t>и </w:t>
      </w:r>
      <w:r>
        <w:rPr>
          <w:spacing w:val="50"/>
        </w:rPr>
        <w:t> </w:t>
      </w:r>
      <w:r>
        <w:rPr/>
        <w:t>абдоминальных</w:t>
      </w:r>
      <w:r>
        <w:rPr>
          <w:w w:val="100"/>
        </w:rPr>
        <w:t> </w:t>
      </w:r>
      <w:r>
        <w:rPr/>
        <w:t>гистерэктомий в лечении рака эндометрия, явилось исследование Fram et al. в котором оценены результаты операций 61 больной раком эндометрия [151]. Лапароскопическая гистерэктомия ± тазовой лимфаденэктомией выполнена 29 пациенткам, а абдоминальная гистерэктомия – 32. </w:t>
      </w:r>
      <w:r>
        <w:rPr>
          <w:spacing w:val="52"/>
        </w:rPr>
        <w:t> </w:t>
      </w:r>
      <w:r>
        <w:rPr/>
        <w:t>Число</w:t>
      </w:r>
    </w:p>
    <w:p>
      <w:pPr>
        <w:pStyle w:val="BodyText"/>
        <w:spacing w:line="360" w:lineRule="auto" w:before="205"/>
        <w:ind w:left="102" w:right="105"/>
        <w:jc w:val="both"/>
      </w:pPr>
      <w:r>
        <w:rPr/>
        <w:t>интраоперационных осложнений оказалось одинаковым в обеих группах больных. Автор сделал вывод о безопасности и эффективности данной методики. По современным литературным данным процент конверсии при лапароскопических хирургических вмешательствах колеблется от 0% до 22,4% [157,242,197].</w:t>
      </w:r>
    </w:p>
    <w:p>
      <w:pPr>
        <w:pStyle w:val="BodyText"/>
        <w:spacing w:line="360" w:lineRule="auto" w:before="206"/>
        <w:ind w:left="102" w:right="101" w:firstLine="719"/>
        <w:jc w:val="both"/>
      </w:pPr>
      <w:r>
        <w:rPr/>
        <w:t>Результаты более масштабного исследования, включившего 242 больных раком эндометрия, опубликовал в 2005г. Kim et al. В нем были подтверждены данные об онкологической адекватности и безопасности лапароскопического доступа в хирургии рак эндометрия [181]. К сходным выводам пришли и ряд других авторов [110,133,220, 264].</w:t>
      </w:r>
    </w:p>
    <w:p>
      <w:pPr>
        <w:pStyle w:val="BodyText"/>
        <w:spacing w:line="360" w:lineRule="auto" w:before="204"/>
        <w:ind w:left="102" w:right="100" w:firstLine="719"/>
        <w:jc w:val="both"/>
      </w:pPr>
      <w:r>
        <w:rPr/>
        <w:t>Помимо описания технических моментов и оценки непосредственных результатов лапароскопических операций, некоторые авторы уделяли внимание и онкологическим аспектам этих вмешательств. Так, в частности оценивалась безопасность лапароскопических операций в плане возможной диссеминации опухоли под воздействием карбоксиперитонеума, вследствие установки маточного манипулятора и применением современных электрохирургических инструментов. Достоверных данных о повышении риска прогрессирования опухоли в результате лапароскопического доступа при хирургическом лечении рака эндометрия получено не</w:t>
      </w:r>
      <w:r>
        <w:rPr>
          <w:spacing w:val="-17"/>
        </w:rPr>
        <w:t> </w:t>
      </w:r>
      <w:r>
        <w:rPr/>
        <w:t>было[175,181,195].</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2" w:firstLine="707"/>
        <w:jc w:val="both"/>
      </w:pPr>
      <w:r>
        <w:rPr/>
        <w:t>В 2005 г. опубликованы результаты исследования Obermair et al., касавшееся 78 больных раком эндометрия, страдавших ожирением. Противопоказаниями для лапароскопического вмешательства в описываемом исследовании явились декомпенсация сопутствующих заболеваний сердечно – сосудистой и дыхательной систем. Пациентки имели средний показатель массы тела 118,75 кг (100 кг - 170 кг), что позволило автору сопоставить частоту развившихся осложнений у этой</w:t>
      </w:r>
    </w:p>
    <w:p>
      <w:pPr>
        <w:pStyle w:val="BodyText"/>
        <w:spacing w:line="360" w:lineRule="auto" w:before="207"/>
        <w:ind w:left="102" w:right="320"/>
      </w:pPr>
      <w:r>
        <w:rPr/>
        <w:t>наиболее сложной категории больных в зависимости от выбранного доступа [213].</w:t>
      </w:r>
    </w:p>
    <w:p>
      <w:pPr>
        <w:pStyle w:val="BodyText"/>
        <w:spacing w:line="360" w:lineRule="auto" w:before="204"/>
        <w:ind w:left="102" w:right="100" w:firstLine="707"/>
        <w:jc w:val="both"/>
      </w:pPr>
      <w:r>
        <w:rPr/>
        <w:t>Затруднения в выполнении операционного доступа, ограниченные возможности визуализации, уменьшение пространства для операционных манипуляций являются факторами, обусловливающими хирургические риски у больных с ожирением. Это в свою очередь приводит к тому, что у больных с ожирением чаще наблюдается патологическая интраоперационная кровопотеря, длительное оперативное вмешательство, а возможность выполнения радикальных операций снижается [162]. Сопутствующая ожирению патология дыхательной и сердечно-сосудистой систем способствуют частому развитию в послеоперационном периоде пневмоний и тромбоэмболических осложнений [182, 220]. Так в исследованиях Dowdy S.C. et al. и McMahon M.D. et al. показано, что вероятность развития осложненного течения послеоперационного периода у больных с ожирением увеличивается в 2 раза. При этом уже само выполнение лапаротомии у больных, страдающих ожирением, приводит к увеличению вероятности развития осложнений в послеоперационном периоде [139,202]. В перечисленных работах убедительно показано преимущество лапароскопического доступа у больных раком эндометрия с повышенным индексом массы</w:t>
      </w:r>
      <w:r>
        <w:rPr>
          <w:spacing w:val="-6"/>
        </w:rPr>
        <w:t> </w:t>
      </w:r>
      <w:r>
        <w:rPr/>
        <w:t>тела.</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2" w:firstLine="556"/>
        <w:jc w:val="both"/>
      </w:pPr>
      <w:r>
        <w:rPr/>
        <w:t>В 2009 г. Leiserowitz G. опубликовал данные госпитальных регистров клиник Калифорнии, касавшихся более 12000 больных раком эндометрия 978 из них (7,7%) были прооперированы лапароскопическим доступом. В этом исследовании также продемонстрированы преимущества лапароскопических операций у больных с выраженной сопутствующей патологией, такой как гипертоническая болезнь, ожирение, сахарный диабет, коронарная недостаточность [192].</w:t>
      </w:r>
    </w:p>
    <w:p>
      <w:pPr>
        <w:pStyle w:val="BodyText"/>
        <w:tabs>
          <w:tab w:pos="3443" w:val="left" w:leader="none"/>
          <w:tab w:pos="6592" w:val="left" w:leader="none"/>
          <w:tab w:pos="7557" w:val="left" w:leader="none"/>
        </w:tabs>
        <w:spacing w:line="360" w:lineRule="auto" w:before="207"/>
        <w:ind w:left="102" w:right="98" w:firstLine="719"/>
        <w:jc w:val="both"/>
      </w:pPr>
      <w:r>
        <w:rPr/>
        <w:t>Сопоставление</w:t>
        <w:tab/>
        <w:t>лапароскопических</w:t>
        <w:tab/>
        <w:t>и</w:t>
        <w:tab/>
        <w:t>классических лапаротомических вмешательств при раке эндометрия было осуществлено в рамках рандомизированных исследований GOG 2222 и LAP2, завершенных в 2009г. [257,271]. При этом были доказаны преимущества лапароскопического доступа: меньшая травматичность, возможность адекватного хирургического стадирования, снижение числа послеоперационных осложнений, укорочение длительности пребывания в стационаре. В исследованиях также продемонстрировано отсутствие ограничений применения лапароскопии у пожилых больных, страдающих ожирением различной степени, сахарным диабетом, патологией сердечно - сосудистой и дыхательной</w:t>
      </w:r>
      <w:r>
        <w:rPr>
          <w:spacing w:val="-11"/>
        </w:rPr>
        <w:t> </w:t>
      </w:r>
      <w:r>
        <w:rPr/>
        <w:t>систем.</w:t>
      </w:r>
    </w:p>
    <w:p>
      <w:pPr>
        <w:pStyle w:val="BodyText"/>
        <w:tabs>
          <w:tab w:pos="2569" w:val="left" w:leader="none"/>
          <w:tab w:pos="5018" w:val="left" w:leader="none"/>
          <w:tab w:pos="7376" w:val="left" w:leader="none"/>
        </w:tabs>
        <w:spacing w:line="360" w:lineRule="auto" w:before="206"/>
        <w:ind w:left="102" w:right="104" w:firstLine="707"/>
        <w:jc w:val="both"/>
      </w:pPr>
      <w:r>
        <w:rPr/>
        <w:t>В мета-анализе, проведенном Galaal K. et al. в 2012 году, также отмечается что показатели общей и безрецидивной выживаемости не зависят от выбранного хирургического доступа. Показатели качества жизни у больных РЭ после лапароскопической и лапаротомной экстирпации матки также оказались сопоставимыми. При этом лапароскопический доступ приводил к снижению интраоперационной кровопотери,</w:t>
        <w:tab/>
        <w:t>уменьшению</w:t>
        <w:tab/>
        <w:t>вероятности</w:t>
        <w:tab/>
      </w:r>
      <w:r>
        <w:rPr>
          <w:spacing w:val="-1"/>
        </w:rPr>
        <w:t>возникновения </w:t>
      </w:r>
      <w:r>
        <w:rPr/>
        <w:t>послеоперационных осложнений, сокращению сроков госпитализации [154]. В другом, не менее репрезентативном, исследовании было</w:t>
      </w:r>
      <w:r>
        <w:rPr>
          <w:spacing w:val="-17"/>
        </w:rPr>
        <w:t> </w:t>
      </w:r>
      <w:r>
        <w:rPr/>
        <w:t>показано,</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7"/>
        <w:jc w:val="both"/>
      </w:pPr>
      <w:r>
        <w:rPr/>
        <w:t>что уровень качества жизни в «лапаротомной» группе через 1,5 месяцев оказался ниже, чем в «лапароскопической» и достигал уровня</w:t>
      </w:r>
    </w:p>
    <w:p>
      <w:pPr>
        <w:pStyle w:val="BodyText"/>
        <w:spacing w:line="360" w:lineRule="auto" w:before="207"/>
        <w:ind w:left="102" w:right="104"/>
        <w:jc w:val="both"/>
      </w:pPr>
      <w:r>
        <w:rPr/>
        <w:t>«лапароскопической» группы только к 6 месяцу наблюдения [185]. В этом разделе обзора мы остановились лишь на нескольких наиболее значимых исследованиях, посвященных описанию преимуществ лапароскопического доступа у больных раком эндометрия. Данному вопросу посвящены уже несколько тысяч публикаций и практически все они описывают те или иные преимущества малоинвазивной хирургии. В результате в 2010 году</w:t>
      </w:r>
    </w:p>
    <w:p>
      <w:pPr>
        <w:pStyle w:val="BodyText"/>
        <w:tabs>
          <w:tab w:pos="3152" w:val="left" w:leader="none"/>
        </w:tabs>
        <w:spacing w:line="360" w:lineRule="auto" w:before="204"/>
        <w:ind w:left="102" w:right="103"/>
        <w:jc w:val="both"/>
      </w:pPr>
      <w:r>
        <w:rPr/>
        <w:t>Devaja сформулировал показания для выполнения лапаротомии больным раком эндометрия. Ими оказались: высокий риск анестезии, связанный с декомпенсированными сопутствующими заболеваниями,  большие  размеры     </w:t>
      </w:r>
      <w:r>
        <w:rPr>
          <w:spacing w:val="1"/>
        </w:rPr>
        <w:t> </w:t>
      </w:r>
      <w:r>
        <w:rPr/>
        <w:t>матки,</w:t>
        <w:tab/>
        <w:t>серозно-папиллярная    </w:t>
      </w:r>
      <w:r>
        <w:rPr>
          <w:spacing w:val="66"/>
        </w:rPr>
        <w:t> </w:t>
      </w:r>
      <w:r>
        <w:rPr/>
        <w:t>карцинома,    </w:t>
      </w:r>
      <w:r>
        <w:rPr>
          <w:spacing w:val="66"/>
        </w:rPr>
        <w:t> </w:t>
      </w:r>
      <w:r>
        <w:rPr/>
        <w:t>некоторые</w:t>
      </w:r>
      <w:r>
        <w:rPr>
          <w:w w:val="100"/>
        </w:rPr>
        <w:t> </w:t>
      </w:r>
      <w:r>
        <w:rPr/>
        <w:t>предшествующие абдоминальные хирургические вмешательства,  патология яичников</w:t>
      </w:r>
      <w:r>
        <w:rPr>
          <w:spacing w:val="60"/>
        </w:rPr>
        <w:t> </w:t>
      </w:r>
      <w:r>
        <w:rPr/>
        <w:t>[133].</w:t>
      </w:r>
    </w:p>
    <w:p>
      <w:pPr>
        <w:pStyle w:val="BodyText"/>
        <w:spacing w:line="360" w:lineRule="auto" w:before="206"/>
        <w:ind w:left="102" w:right="100" w:firstLine="789"/>
        <w:jc w:val="both"/>
      </w:pPr>
      <w:r>
        <w:rPr/>
        <w:t>Как мы видим, в большинстве клиник Европы и Северной Америки лапароскопический доступ сегодня является методом выбора в лечении больных раком эндометрия. В то же время, В России и целом ряде других стран лапароскопическим операциям подвергается менее 10% больных раком тела матки. Связано это, по-видимому, с недостаточной подготовкой кадров, отсутствием необходимого оборудования, а также с хорошо известным консерватизмом многих онкологов.</w:t>
      </w:r>
    </w:p>
    <w:p>
      <w:pPr>
        <w:pStyle w:val="BodyText"/>
        <w:rPr>
          <w:sz w:val="30"/>
        </w:rPr>
      </w:pPr>
    </w:p>
    <w:p>
      <w:pPr>
        <w:pStyle w:val="BodyText"/>
        <w:rPr>
          <w:sz w:val="30"/>
        </w:rPr>
      </w:pPr>
    </w:p>
    <w:p>
      <w:pPr>
        <w:pStyle w:val="BodyText"/>
        <w:spacing w:before="6"/>
        <w:rPr>
          <w:sz w:val="24"/>
        </w:rPr>
      </w:pPr>
    </w:p>
    <w:p>
      <w:pPr>
        <w:pStyle w:val="BodyText"/>
        <w:ind w:left="1318"/>
      </w:pPr>
      <w:r>
        <w:rPr/>
        <w:t>Лапароскопические операции у больных  раком шейки матки</w:t>
      </w:r>
    </w:p>
    <w:p>
      <w:pPr>
        <w:pStyle w:val="BodyText"/>
        <w:rPr>
          <w:sz w:val="30"/>
        </w:rPr>
      </w:pPr>
    </w:p>
    <w:p>
      <w:pPr>
        <w:pStyle w:val="BodyText"/>
        <w:spacing w:before="1"/>
        <w:rPr>
          <w:sz w:val="26"/>
        </w:rPr>
      </w:pPr>
    </w:p>
    <w:p>
      <w:pPr>
        <w:pStyle w:val="BodyText"/>
        <w:spacing w:line="360" w:lineRule="auto"/>
        <w:ind w:left="102" w:firstLine="347"/>
      </w:pPr>
      <w:r>
        <w:rPr/>
        <w:t>В течение последних 20-ти лет в онкологии успешно развивается направление органосохраняющего и щадящего лечения [14,61,105,146].</w:t>
      </w:r>
    </w:p>
    <w:p>
      <w:pPr>
        <w:spacing w:after="0" w:line="360" w:lineRule="auto"/>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17" w:firstLine="487"/>
        <w:jc w:val="both"/>
      </w:pPr>
      <w:r>
        <w:rPr/>
        <w:t>Первые лапароскопические операции у больных раком шейки матки применялись с целью транспозиции яичников у больных раком шейки матки молодого возраста перед началом лучевого лечения [52,282]. Редкость метастатического поражения яичников при плоскоклеточном раке шейки матки делает оправданным выполнение подобных операций [80,187].</w:t>
      </w:r>
    </w:p>
    <w:p>
      <w:pPr>
        <w:pStyle w:val="BodyText"/>
        <w:tabs>
          <w:tab w:pos="2179" w:val="left" w:leader="none"/>
          <w:tab w:pos="3035" w:val="left" w:leader="none"/>
          <w:tab w:pos="4308" w:val="left" w:leader="none"/>
          <w:tab w:pos="5955" w:val="left" w:leader="none"/>
          <w:tab w:pos="7569" w:val="left" w:leader="none"/>
        </w:tabs>
        <w:spacing w:line="360" w:lineRule="auto" w:before="205"/>
        <w:ind w:left="102" w:right="122" w:firstLine="719"/>
      </w:pPr>
      <w:r>
        <w:rPr/>
        <w:t>Радикальным малоинвазивным вмешательствам у больных раком шейки матки посвящено относительно небольшое количество публикаций. Связано это, в первую очередь, с высокой технической сложностью выполняемых</w:t>
        <w:tab/>
        <w:t>при</w:t>
        <w:tab/>
        <w:t>данной</w:t>
        <w:tab/>
        <w:t>патологии</w:t>
        <w:tab/>
        <w:t>операций.</w:t>
        <w:tab/>
        <w:t>Радикальную лапароскопическую гистерэктомию в мире выполняют всего несколько десятков опытных хирургов. Большая часть работ посвящена вопросам хирургического стадирования и транспозиции яичников перед началом лучевой</w:t>
      </w:r>
      <w:r>
        <w:rPr>
          <w:spacing w:val="-7"/>
        </w:rPr>
        <w:t> </w:t>
      </w:r>
      <w:r>
        <w:rPr/>
        <w:t>терапии.</w:t>
      </w:r>
    </w:p>
    <w:p>
      <w:pPr>
        <w:pStyle w:val="BodyText"/>
        <w:spacing w:line="360" w:lineRule="auto" w:before="5"/>
        <w:ind w:left="102" w:right="125" w:firstLine="556"/>
        <w:jc w:val="both"/>
      </w:pPr>
      <w:r>
        <w:rPr/>
        <w:t>С 1995 года в США широко начали применяться радикальные влагалищные гистерэктомии по Шаута с лапароскопической тазовой и парааортальной лимфаденэктомией  [165,194].</w:t>
      </w:r>
    </w:p>
    <w:p>
      <w:pPr>
        <w:pStyle w:val="BodyText"/>
        <w:spacing w:line="360" w:lineRule="auto" w:before="204"/>
        <w:ind w:left="102" w:right="118" w:firstLine="556"/>
        <w:jc w:val="both"/>
      </w:pPr>
      <w:r>
        <w:rPr/>
        <w:t>В публикации от 1997 года A.Schneider et al. привели результаты ретроспективного исследования эффективности влагалищной гистерэктомии по методу Шаута с лапароскопически ассистированной тазовой и парааортальной лимфаденэктомией у 32 больных в сравнении с такой же группой пациенток, которым выполнена радикальная абдоминальная гистерэктомия по методу Вертгейма – Мейгса по поводу РШМ. При сопоставлении степени радикальности, интраоперационной кровопотери, длительности операции и пребывания в стационаре авторы сделали вывод о том, что применение лапароскопического метода оправдано при РШМ I стадии [240,241].</w:t>
      </w:r>
    </w:p>
    <w:p>
      <w:pPr>
        <w:spacing w:after="0" w:line="360" w:lineRule="auto"/>
        <w:jc w:val="both"/>
        <w:sectPr>
          <w:pgSz w:w="11900" w:h="16850"/>
          <w:pgMar w:header="712" w:footer="0" w:top="1020" w:bottom="280" w:left="1600" w:right="1000"/>
        </w:sectPr>
      </w:pPr>
    </w:p>
    <w:p>
      <w:pPr>
        <w:pStyle w:val="BodyText"/>
        <w:rPr>
          <w:sz w:val="20"/>
        </w:rPr>
      </w:pPr>
    </w:p>
    <w:p>
      <w:pPr>
        <w:pStyle w:val="BodyText"/>
        <w:rPr>
          <w:sz w:val="20"/>
        </w:rPr>
      </w:pPr>
    </w:p>
    <w:p>
      <w:pPr>
        <w:pStyle w:val="BodyText"/>
        <w:spacing w:line="360" w:lineRule="auto" w:before="224"/>
        <w:ind w:left="102" w:right="102" w:firstLine="556"/>
        <w:jc w:val="both"/>
      </w:pPr>
      <w:r>
        <w:rPr/>
        <w:t>В 2004 году M. Malzoni описал первый случай выполнения лапароскопической радикальной гистерэктомии с тазовой лимфаденэктомией у пациентки с IIA стадией   рака шейки матки [198].</w:t>
      </w:r>
    </w:p>
    <w:p>
      <w:pPr>
        <w:pStyle w:val="BodyText"/>
        <w:tabs>
          <w:tab w:pos="7498" w:val="left" w:leader="none"/>
        </w:tabs>
        <w:spacing w:line="360" w:lineRule="auto" w:before="207"/>
        <w:ind w:left="102" w:right="99" w:firstLine="487"/>
        <w:jc w:val="both"/>
      </w:pPr>
      <w:r>
        <w:rPr/>
        <w:t>В дальнейшем техника лапароскопических радикальных  гистерэктомий    </w:t>
      </w:r>
      <w:r>
        <w:rPr>
          <w:spacing w:val="43"/>
        </w:rPr>
        <w:t> </w:t>
      </w:r>
      <w:r>
        <w:rPr/>
        <w:t>совершенствовалась,    </w:t>
      </w:r>
      <w:r>
        <w:rPr>
          <w:spacing w:val="47"/>
        </w:rPr>
        <w:t> </w:t>
      </w:r>
      <w:r>
        <w:rPr/>
        <w:t>сокращалась</w:t>
        <w:tab/>
      </w:r>
      <w:r>
        <w:rPr>
          <w:spacing w:val="-1"/>
        </w:rPr>
        <w:t>длительность, </w:t>
      </w:r>
      <w:r>
        <w:rPr/>
        <w:t>расширялись показания к их выполнению [6,99,126,207,208]. В перечисленных работах продемонстрирована техническая возможность выполнения лапароскопических операций у больных раком шейки матки, однако мы не встретили каких-либо указаний на отдаленные результаты лечения в этих группах</w:t>
      </w:r>
      <w:r>
        <w:rPr>
          <w:spacing w:val="-7"/>
        </w:rPr>
        <w:t> </w:t>
      </w:r>
      <w:r>
        <w:rPr/>
        <w:t>больных.</w:t>
      </w:r>
    </w:p>
    <w:p>
      <w:pPr>
        <w:pStyle w:val="BodyText"/>
        <w:tabs>
          <w:tab w:pos="3659" w:val="left" w:leader="none"/>
          <w:tab w:pos="5800" w:val="left" w:leader="none"/>
          <w:tab w:pos="8194" w:val="left" w:leader="none"/>
        </w:tabs>
        <w:spacing w:line="360" w:lineRule="auto" w:before="207"/>
        <w:ind w:left="102" w:right="99" w:firstLine="347"/>
        <w:jc w:val="both"/>
      </w:pPr>
      <w:r>
        <w:rPr/>
        <w:t>Другим возможным направлением использования малоинвазивного доступа у больных раком шейки матки является выполнение диагностических операций. К их разработке и внедрению привели неудовлетворительные</w:t>
        <w:tab/>
        <w:t>результаты</w:t>
        <w:tab/>
        <w:t>современных</w:t>
        <w:tab/>
        <w:t>методов предоперационного обследования больных, приводящие к ошибкам в планировании</w:t>
      </w:r>
      <w:r>
        <w:rPr>
          <w:spacing w:val="-9"/>
        </w:rPr>
        <w:t> </w:t>
      </w:r>
      <w:r>
        <w:rPr/>
        <w:t>лечения.</w:t>
      </w:r>
    </w:p>
    <w:p>
      <w:pPr>
        <w:pStyle w:val="BodyText"/>
        <w:spacing w:line="360" w:lineRule="auto" w:before="204"/>
        <w:ind w:left="102" w:right="98" w:firstLine="487"/>
        <w:jc w:val="both"/>
      </w:pPr>
      <w:r>
        <w:rPr/>
        <w:t>Большое внимание в специальной литературе уделяется вопросам хирургического стадирования в онкогинекологии. Прежде всего, речь идет об уточнении степени распространения опухоли шейки матки до начала проведения специального лечения, а в некоторых случаях - для диагностики рецидивов заболевания.</w:t>
      </w:r>
    </w:p>
    <w:p>
      <w:pPr>
        <w:pStyle w:val="BodyText"/>
        <w:spacing w:line="360" w:lineRule="auto" w:before="206"/>
        <w:ind w:left="102" w:right="100" w:firstLine="559"/>
        <w:jc w:val="both"/>
      </w:pPr>
      <w:r>
        <w:rPr/>
        <w:t>Одно из первых сообщений о попытке хирургического стадирования у больных РШМ датировано 1987 годом и посвящено оценке состояния тазовых лимфатических узлов</w:t>
      </w:r>
      <w:r>
        <w:rPr>
          <w:spacing w:val="62"/>
        </w:rPr>
        <w:t> </w:t>
      </w:r>
      <w:r>
        <w:rPr/>
        <w:t>[128].</w:t>
      </w:r>
    </w:p>
    <w:p>
      <w:pPr>
        <w:pStyle w:val="BodyText"/>
        <w:spacing w:line="360" w:lineRule="auto" w:before="206"/>
        <w:ind w:left="102" w:right="99" w:firstLine="347"/>
        <w:jc w:val="both"/>
      </w:pPr>
      <w:r>
        <w:rPr/>
        <w:t>Дальнейшее изучение возможностей лапароскопических операций хирургического стадирования позволило установить высокий процент расхождений до- и послеоперационных оценок степени распространения</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22"/>
        <w:jc w:val="both"/>
      </w:pPr>
      <w:r>
        <w:rPr/>
        <w:t>опухоли, достигающих 34 - 39% [98,234,224,225]. Изменение полей облучения при выявлении метастазов в парааортальных лимфатических узлах приводит к значительному увеличению продолжительности жизни  по сравнению со стандартными методиками лучевого лечения [265]. Некоторые авторы выступали противниками подобных вмешательств, опасаясь повышения вероятности  прогрессирования  опухолевого  процесса</w:t>
      </w:r>
      <w:r>
        <w:rPr>
          <w:spacing w:val="-12"/>
        </w:rPr>
        <w:t> </w:t>
      </w:r>
      <w:r>
        <w:rPr/>
        <w:t>[156,196].</w:t>
      </w:r>
    </w:p>
    <w:p>
      <w:pPr>
        <w:pStyle w:val="BodyText"/>
        <w:spacing w:line="360" w:lineRule="auto" w:before="207"/>
        <w:ind w:left="102" w:right="122" w:firstLine="487"/>
        <w:jc w:val="both"/>
      </w:pPr>
      <w:r>
        <w:rPr/>
        <w:t>В 1993 году G. Pescetto разработали клинические рекомендации по применению лапароскопии с целью уточнения состояния парааортальных  и тазовых лимфатических узлов при РШМ [222]. При подозрении на метастатическое поражение регионарных лимфатических узлов предлагалось выполнение их</w:t>
      </w:r>
      <w:r>
        <w:rPr>
          <w:spacing w:val="-15"/>
        </w:rPr>
        <w:t> </w:t>
      </w:r>
      <w:r>
        <w:rPr/>
        <w:t>биопсии.</w:t>
      </w:r>
    </w:p>
    <w:p>
      <w:pPr>
        <w:pStyle w:val="BodyText"/>
        <w:spacing w:line="360" w:lineRule="auto" w:before="204"/>
        <w:ind w:left="102" w:right="127" w:firstLine="417"/>
        <w:jc w:val="both"/>
      </w:pPr>
      <w:r>
        <w:rPr/>
        <w:t>В литературе нам встретились разнообразные предложения по выбору объема лимфодиссекции при выполнении диагностических лапароскопий: от биопсии неизмененных лимфатических узлов до удаления отдельных групп или системной лимфаденэктомии. [128,141,150,225].</w:t>
      </w:r>
    </w:p>
    <w:p>
      <w:pPr>
        <w:pStyle w:val="BodyText"/>
        <w:spacing w:line="360" w:lineRule="auto" w:before="204"/>
        <w:ind w:left="102" w:right="120" w:firstLine="417"/>
        <w:jc w:val="both"/>
      </w:pPr>
      <w:r>
        <w:rPr/>
        <w:t>Самый большой опыт выполнения поясничных лимфодиссекций на сегодняшний день принадлежит Köhler C. Ранее мы уже упоминали о его исследовании. В своем обзоре, посвященном описанию 650 выполненных операций, автор подробно описывает технику лимфодиссекций, длительность вмешательств, количество удаленных узлов и развившиеся осложнения</w:t>
      </w:r>
      <w:r>
        <w:rPr>
          <w:spacing w:val="63"/>
        </w:rPr>
        <w:t> </w:t>
      </w:r>
      <w:r>
        <w:rPr/>
        <w:t>[184].</w:t>
      </w:r>
    </w:p>
    <w:p>
      <w:pPr>
        <w:pStyle w:val="BodyText"/>
        <w:spacing w:line="360" w:lineRule="auto" w:before="204"/>
        <w:ind w:left="102" w:right="117" w:firstLine="347"/>
        <w:jc w:val="both"/>
      </w:pPr>
      <w:r>
        <w:rPr/>
        <w:t>В России приоритет выполнения лапароскопической подвздошной и парааортальной лимфаденэктомии принадлежит К.В. Пучкову. В своих публикациях К.В. Пучков описал 85 лимфодиссекций, выполненных в период с 1999 по 2006 годы [42].</w:t>
      </w:r>
    </w:p>
    <w:p>
      <w:pPr>
        <w:spacing w:after="0" w:line="360" w:lineRule="auto"/>
        <w:jc w:val="both"/>
        <w:sectPr>
          <w:pgSz w:w="11900" w:h="16850"/>
          <w:pgMar w:header="712" w:footer="0" w:top="1020" w:bottom="280" w:left="1600" w:right="1000"/>
        </w:sectPr>
      </w:pPr>
    </w:p>
    <w:p>
      <w:pPr>
        <w:pStyle w:val="BodyText"/>
        <w:rPr>
          <w:sz w:val="20"/>
        </w:rPr>
      </w:pPr>
    </w:p>
    <w:p>
      <w:pPr>
        <w:pStyle w:val="BodyText"/>
        <w:spacing w:before="252"/>
        <w:ind w:left="1710"/>
      </w:pPr>
      <w:r>
        <w:rPr/>
        <w:t>Лапароскопический доступ у больных раком яичников</w:t>
      </w:r>
    </w:p>
    <w:p>
      <w:pPr>
        <w:pStyle w:val="BodyText"/>
        <w:rPr>
          <w:sz w:val="30"/>
        </w:rPr>
      </w:pPr>
    </w:p>
    <w:p>
      <w:pPr>
        <w:pStyle w:val="BodyText"/>
        <w:spacing w:before="1"/>
        <w:rPr>
          <w:sz w:val="26"/>
        </w:rPr>
      </w:pPr>
    </w:p>
    <w:p>
      <w:pPr>
        <w:pStyle w:val="BodyText"/>
        <w:spacing w:line="360" w:lineRule="auto"/>
        <w:ind w:left="102" w:right="123" w:firstLine="859"/>
        <w:jc w:val="both"/>
      </w:pPr>
      <w:r>
        <w:rPr/>
        <w:t>Споры вокруг использования лапароскопического доступа в лечении рака яичника продолжаются по сей день. Многие онкологи критически относятся к применению лапароскопии в лечении рака яичников, в первую очередь из-за неадекватного объема хирургического</w:t>
      </w:r>
    </w:p>
    <w:p>
      <w:pPr>
        <w:pStyle w:val="BodyText"/>
        <w:tabs>
          <w:tab w:pos="2242" w:val="left" w:leader="none"/>
          <w:tab w:pos="2923" w:val="left" w:leader="none"/>
          <w:tab w:pos="4328" w:val="left" w:leader="none"/>
          <w:tab w:pos="4743" w:val="left" w:leader="none"/>
          <w:tab w:pos="7273" w:val="left" w:leader="none"/>
          <w:tab w:pos="9019" w:val="left" w:leader="none"/>
        </w:tabs>
        <w:spacing w:line="360" w:lineRule="auto" w:before="204"/>
        <w:ind w:left="102" w:right="127"/>
      </w:pPr>
      <w:r>
        <w:rPr/>
        <w:t>вмешательства,</w:t>
        <w:tab/>
        <w:t>что</w:t>
        <w:tab/>
        <w:t>приводит</w:t>
        <w:tab/>
        <w:t>к</w:t>
        <w:tab/>
        <w:t>прогрессированию</w:t>
        <w:tab/>
        <w:t>заболевания</w:t>
        <w:tab/>
        <w:t>и ухудшению результатов лечения</w:t>
      </w:r>
      <w:r>
        <w:rPr>
          <w:spacing w:val="-12"/>
        </w:rPr>
        <w:t> </w:t>
      </w:r>
      <w:r>
        <w:rPr/>
        <w:t>[97,104].</w:t>
      </w:r>
    </w:p>
    <w:p>
      <w:pPr>
        <w:pStyle w:val="BodyText"/>
        <w:spacing w:line="360" w:lineRule="auto" w:before="206"/>
        <w:ind w:left="102" w:right="121" w:firstLine="719"/>
        <w:jc w:val="both"/>
      </w:pPr>
      <w:r>
        <w:rPr/>
        <w:t>В этой связи можно привести мнение одного из ведущих специалистов в изучении проблемы рака яичников Creasman W.T., утверждавшем, что лапароскопия не может быть операцией выбора при лечении опухоли яичника, если нет условий для выполнения радикального хирургического лечения [123].</w:t>
      </w:r>
    </w:p>
    <w:p>
      <w:pPr>
        <w:pStyle w:val="BodyText"/>
        <w:spacing w:line="360" w:lineRule="auto" w:before="5"/>
        <w:ind w:left="102" w:right="116" w:firstLine="719"/>
        <w:jc w:val="both"/>
      </w:pPr>
      <w:r>
        <w:rPr/>
        <w:t>Многие авторы указывают также на высокую частоту развития порт- сайт метастазов после лапароскопических операций при раке яичников и  на быстрое прогрессирование опухоли в условиях карбоксиперитонеума [115,170,171].</w:t>
      </w:r>
    </w:p>
    <w:p>
      <w:pPr>
        <w:pStyle w:val="BodyText"/>
        <w:spacing w:line="360" w:lineRule="auto" w:before="5"/>
        <w:ind w:left="102" w:right="125" w:firstLine="719"/>
        <w:jc w:val="both"/>
      </w:pPr>
      <w:r>
        <w:rPr/>
        <w:t>Сегодня лапароскопия рассматривается как метод уточняющей диагностики при подозрительных на малигнизацию кистах яичников, а также для оценки степени распространения, морфологической верификации, стадирования и выбора метода лечения при распространенных опухолевых процессах [36,70,79,96,112,119,120].</w:t>
      </w:r>
    </w:p>
    <w:p>
      <w:pPr>
        <w:pStyle w:val="BodyText"/>
        <w:spacing w:line="360" w:lineRule="auto" w:before="5"/>
        <w:ind w:left="102" w:right="118" w:firstLine="417"/>
        <w:jc w:val="both"/>
      </w:pPr>
      <w:r>
        <w:rPr/>
        <w:t>Одно из первых сообщений относится к 1979 г. и принадлежит Spinelli, применившему лапароскопию с целью установления степени распространения и «рестадирования» у 95  больных опухолями яичников.</w:t>
      </w:r>
    </w:p>
    <w:p>
      <w:pPr>
        <w:pStyle w:val="BodyText"/>
        <w:spacing w:line="360" w:lineRule="auto" w:before="204"/>
        <w:ind w:left="102" w:right="127" w:firstLine="719"/>
        <w:jc w:val="both"/>
      </w:pPr>
      <w:r>
        <w:rPr/>
        <w:t>Casey A.C. с соавт. привели результаты лапароскопических операций у 90 пациенток с выявленными при   ультразвуковом исследовании</w:t>
      </w:r>
    </w:p>
    <w:p>
      <w:pPr>
        <w:spacing w:after="0" w:line="360" w:lineRule="auto"/>
        <w:jc w:val="both"/>
        <w:sectPr>
          <w:pgSz w:w="11900" w:h="16850"/>
          <w:pgMar w:header="712" w:footer="0" w:top="1020" w:bottom="280" w:left="1600" w:right="1000"/>
        </w:sectPr>
      </w:pPr>
    </w:p>
    <w:p>
      <w:pPr>
        <w:pStyle w:val="BodyText"/>
        <w:rPr>
          <w:sz w:val="20"/>
        </w:rPr>
      </w:pPr>
    </w:p>
    <w:p>
      <w:pPr>
        <w:pStyle w:val="BodyText"/>
        <w:rPr>
          <w:sz w:val="20"/>
        </w:rPr>
      </w:pPr>
    </w:p>
    <w:p>
      <w:pPr>
        <w:pStyle w:val="BodyText"/>
        <w:spacing w:line="350" w:lineRule="auto" w:before="224"/>
        <w:ind w:left="102" w:right="100"/>
        <w:jc w:val="both"/>
      </w:pPr>
      <w:r>
        <w:rPr/>
        <w:t>образованиями яичников с сосочковыми разрастаниями   объемом более   10 см</w:t>
      </w:r>
      <w:r>
        <w:rPr>
          <w:position w:val="13"/>
          <w:sz w:val="18"/>
        </w:rPr>
        <w:t>3 </w:t>
      </w:r>
      <w:r>
        <w:rPr/>
        <w:t>.  Все они имели нормальный уровень СА-125. У 37 (41%) из них  при гистологическом исследовании диагностирована серозная цистаденокарцинома</w:t>
      </w:r>
      <w:r>
        <w:rPr>
          <w:spacing w:val="-13"/>
        </w:rPr>
        <w:t> </w:t>
      </w:r>
      <w:r>
        <w:rPr/>
        <w:t>[117].</w:t>
      </w:r>
    </w:p>
    <w:p>
      <w:pPr>
        <w:pStyle w:val="BodyText"/>
        <w:spacing w:line="360" w:lineRule="auto" w:before="219"/>
        <w:ind w:left="102" w:right="101" w:firstLine="487"/>
        <w:jc w:val="both"/>
      </w:pPr>
      <w:r>
        <w:rPr/>
        <w:t>Здесь следует упомянуть и о колоссальном количестве лапароскопических аднексэктомий, выполняемых ежегодно в гинекологических стационарах. Возможно, пациентки с диагностированным в результате этих вмешательств начальным раком яичников, могут оказаться кандидатами для выполнения повторных лапароскопических операций с целью стадирования, резекции второго яичника и оментэктомии.</w:t>
      </w:r>
    </w:p>
    <w:p>
      <w:pPr>
        <w:pStyle w:val="BodyText"/>
        <w:spacing w:before="9"/>
        <w:rPr>
          <w:sz w:val="24"/>
        </w:rPr>
      </w:pPr>
    </w:p>
    <w:p>
      <w:pPr>
        <w:pStyle w:val="BodyText"/>
        <w:spacing w:line="360" w:lineRule="auto"/>
        <w:ind w:left="102" w:right="99" w:firstLine="698"/>
        <w:jc w:val="both"/>
      </w:pPr>
      <w:r>
        <w:rPr/>
        <w:t>Вопрос о возможности применения лапароскопического доступа в хирургии рака яичников нуждается в дальнейшем уточнении. Большое количество рецидивов, port-site метастазов, развивающихся даже при начальном раке яичников, заставляет с настороженностью относиться к подобным операциям. К примеру, в Германии лапароскопия даже при I стадии рака яичников запрещена к применению, до получения результатов рандомизированных исследований.</w:t>
      </w:r>
    </w:p>
    <w:p>
      <w:pPr>
        <w:pStyle w:val="BodyText"/>
        <w:rPr>
          <w:sz w:val="25"/>
        </w:rPr>
      </w:pPr>
    </w:p>
    <w:p>
      <w:pPr>
        <w:pStyle w:val="BodyText"/>
        <w:spacing w:line="360" w:lineRule="auto"/>
        <w:ind w:left="102" w:right="101" w:firstLine="487"/>
        <w:jc w:val="both"/>
      </w:pPr>
      <w:r>
        <w:rPr/>
        <w:t>В ряде публикаций положительно оценивается опыт применения лапароскопии у больных, находящихся в состоянии клинической ремиссии после комбинированного лечения. Однако, авторы отмечают, что в половине случаев при лапароскопии не удавалось достичь полного обзора малого таза и брюшной полости из-за спаечного процесса в малом тазу. Nicoloso E. c соавт. провели рандоминизированное исследование у пациентов раком яичников которым на фоне клинической ремиссии после проведенного комбинированного лечения выполнялась операция Second Look.  В 11 из 46 случаев   (24%) был верифицирован рецидив заболевания.</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7"/>
        <w:jc w:val="both"/>
      </w:pPr>
      <w:r>
        <w:rPr/>
        <w:t>Несмотря на наличие незначительных остаточных опухолевых масс и проведение химиотерапии второй линии, авторы не получили ожидаемого увеличения продолжительности жизни [210].</w:t>
      </w:r>
    </w:p>
    <w:p>
      <w:pPr>
        <w:pStyle w:val="BodyText"/>
        <w:tabs>
          <w:tab w:pos="2782" w:val="left" w:leader="none"/>
        </w:tabs>
        <w:spacing w:line="360" w:lineRule="auto" w:before="207"/>
        <w:ind w:left="102" w:right="102" w:firstLine="719"/>
        <w:jc w:val="both"/>
      </w:pPr>
      <w:r>
        <w:rPr/>
        <w:t>Skret  </w:t>
      </w:r>
      <w:r>
        <w:rPr>
          <w:spacing w:val="46"/>
        </w:rPr>
        <w:t> </w:t>
      </w:r>
      <w:r>
        <w:rPr/>
        <w:t>A.,</w:t>
        <w:tab/>
        <w:t>сравнив    результаты    second-look </w:t>
      </w:r>
      <w:r>
        <w:rPr>
          <w:spacing w:val="57"/>
        </w:rPr>
        <w:t> </w:t>
      </w:r>
      <w:r>
        <w:rPr/>
        <w:t>лапаротомии  </w:t>
      </w:r>
      <w:r>
        <w:rPr>
          <w:spacing w:val="40"/>
        </w:rPr>
        <w:t> </w:t>
      </w:r>
      <w:r>
        <w:rPr/>
        <w:t>и</w:t>
      </w:r>
      <w:r>
        <w:rPr>
          <w:w w:val="100"/>
        </w:rPr>
        <w:t> </w:t>
      </w:r>
      <w:r>
        <w:rPr/>
        <w:t>лапароскопии у 17 больных раком яичников, сделал вывод об одинаковой диагностической ценности обоих хирургических доступов при достоверно меньшей травматичности второго</w:t>
      </w:r>
      <w:r>
        <w:rPr>
          <w:spacing w:val="-15"/>
        </w:rPr>
        <w:t> </w:t>
      </w:r>
      <w:r>
        <w:rPr/>
        <w:t>[248].</w:t>
      </w:r>
    </w:p>
    <w:p>
      <w:pPr>
        <w:pStyle w:val="BodyText"/>
        <w:spacing w:line="360" w:lineRule="auto" w:before="207"/>
        <w:ind w:left="102" w:right="98" w:firstLine="719"/>
        <w:jc w:val="both"/>
      </w:pPr>
      <w:r>
        <w:rPr/>
        <w:t>Shinozuka T. с соавт. оценивали диагностическую ценность повторных лапароскопий у 75 больных раком яичников. Все пациенты по клиническим и эхографическим данным находились в состоянии ремиссии. Оценивались макроскопические изменения, цитологическое исследование перитонеальных смывов и результаты интраперитонеальных биопсий. Положительные результаты получены у 19 пациентов. Уровень Са-125 у них также оказался неинформативным. Авторы сделали вывод о показаниях к повторным лапароскопиям с целью снижения числа ложноотрицательных результатов обследования [246].</w:t>
      </w:r>
    </w:p>
    <w:p>
      <w:pPr>
        <w:pStyle w:val="BodyText"/>
        <w:spacing w:line="360" w:lineRule="auto" w:before="204"/>
        <w:ind w:left="102" w:right="105" w:firstLine="789"/>
        <w:jc w:val="both"/>
      </w:pPr>
      <w:r>
        <w:rPr/>
        <w:t>Схожие результаты были получены в исследовании А.А.Ципурдеевой, посвященном изучению возможности применения лапароскопии на различных этапах лечения больных опухолями яичников. На большом клиническом материале, касавшемся более 1000 больных, были продемонстрированы преимущества лапароскопии в ранней диагностике рака яичников, уточнении состояния опухолевого процесса в ходе проведения комбинированного лечения, а также показана возможность использования малоинвазивного доступа при хирургическом лечении начального рака яичников [85].</w:t>
      </w:r>
    </w:p>
    <w:p>
      <w:pPr>
        <w:pStyle w:val="BodyText"/>
        <w:spacing w:line="360" w:lineRule="auto" w:before="206"/>
        <w:ind w:left="102" w:right="109" w:firstLine="719"/>
        <w:jc w:val="both"/>
      </w:pPr>
      <w:r>
        <w:rPr/>
        <w:t>Мы не ставили перед собой цели изучения эффективности лекарственного лечения рецидивов рака яичников, однако, в этом аспекте</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1"/>
        <w:jc w:val="both"/>
      </w:pPr>
      <w:r>
        <w:rPr/>
        <w:t>нельзя не вспомнить о завершенном недавно рандомизированном исследовании MRC-OV05 поставившем своей целью определить, насколько важно начинать химиотерапию по поводу маркерных рецидивов рака яичников. Для этого больные раком яичников с полной ремиссией после проведенного первичного лечения проходили динамическое наблюдение каждые 3 месяца и в случае роста маркера СА125 согласно критериям прогрессирования Растина рандомизировались в одну из двух групп. В первой группе больные сразу начинали химиотерапию 2 линии,</w:t>
      </w:r>
      <w:r>
        <w:rPr>
          <w:spacing w:val="-27"/>
        </w:rPr>
        <w:t> </w:t>
      </w:r>
      <w:r>
        <w:rPr/>
        <w:t>а</w:t>
      </w:r>
    </w:p>
    <w:p>
      <w:pPr>
        <w:pStyle w:val="BodyText"/>
        <w:spacing w:line="360" w:lineRule="auto" w:before="207"/>
        <w:ind w:left="102" w:right="108"/>
        <w:jc w:val="both"/>
      </w:pPr>
      <w:r>
        <w:rPr/>
        <w:t>во второй группе больные оставлялись под дальнейшим наблюдением до появления клинических симптомов прогрессирования.</w:t>
      </w:r>
    </w:p>
    <w:p>
      <w:pPr>
        <w:pStyle w:val="BodyText"/>
        <w:spacing w:line="360" w:lineRule="auto" w:before="207"/>
        <w:ind w:left="102" w:right="103" w:firstLine="487"/>
        <w:jc w:val="both"/>
      </w:pPr>
      <w:r>
        <w:rPr/>
        <w:t>Оказалось, что между маркерным рецидивом и клиническим прогрессированием средний временной интервал составляет 4,8 месяца. Отсрочка в лечении рецидива на это время никак не влияла на отдаленные результаты лечения, в частности общую продолжительность жизни, которая оказалась одинаковой в обеих группах [235].</w:t>
      </w:r>
    </w:p>
    <w:p>
      <w:pPr>
        <w:pStyle w:val="BodyText"/>
        <w:rPr>
          <w:sz w:val="30"/>
        </w:rPr>
      </w:pPr>
    </w:p>
    <w:p>
      <w:pPr>
        <w:pStyle w:val="BodyText"/>
        <w:rPr>
          <w:sz w:val="30"/>
        </w:rPr>
      </w:pPr>
    </w:p>
    <w:p>
      <w:pPr>
        <w:pStyle w:val="Heading1"/>
        <w:numPr>
          <w:ilvl w:val="1"/>
          <w:numId w:val="7"/>
        </w:numPr>
        <w:tabs>
          <w:tab w:pos="1629" w:val="left" w:leader="none"/>
        </w:tabs>
        <w:spacing w:line="240" w:lineRule="auto" w:before="203" w:after="0"/>
        <w:ind w:left="1628" w:right="0" w:hanging="492"/>
        <w:jc w:val="left"/>
      </w:pPr>
      <w:r>
        <w:rPr/>
        <w:t>Оценка качества жизни онкогинекологических</w:t>
      </w:r>
      <w:r>
        <w:rPr>
          <w:spacing w:val="-20"/>
        </w:rPr>
        <w:t> </w:t>
      </w:r>
      <w:r>
        <w:rPr/>
        <w:t>больных</w:t>
      </w:r>
    </w:p>
    <w:p>
      <w:pPr>
        <w:pStyle w:val="BodyText"/>
        <w:spacing w:before="9"/>
        <w:rPr>
          <w:b/>
          <w:sz w:val="30"/>
        </w:rPr>
      </w:pPr>
    </w:p>
    <w:p>
      <w:pPr>
        <w:pStyle w:val="BodyText"/>
        <w:spacing w:line="360" w:lineRule="auto"/>
        <w:ind w:left="102" w:right="101" w:firstLine="719"/>
        <w:jc w:val="both"/>
      </w:pPr>
      <w:r>
        <w:rPr/>
        <w:t>По определению ВОЗ качество жизни – это восприятие индивидуами их положения в жизни в контексте культуры и системе ценностей, в которых они живут, в соответствии с целями, ожиданиями, стандартами и заботами.</w:t>
      </w:r>
    </w:p>
    <w:p>
      <w:pPr>
        <w:pStyle w:val="BodyText"/>
        <w:spacing w:line="360" w:lineRule="auto" w:before="206"/>
        <w:ind w:left="102" w:right="103" w:firstLine="719"/>
        <w:jc w:val="both"/>
      </w:pPr>
      <w:r>
        <w:rPr/>
        <w:t>В онкологии на протяжение многих лет продолжительность жизни была единственным показателем эффективности лечения. Вопросы реабилитации больных, а тем более оценка качества их жизни после проведенного лечения всегда находились на втором плане [59].</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7" w:firstLine="719"/>
        <w:jc w:val="both"/>
      </w:pPr>
      <w:r>
        <w:rPr/>
        <w:t>В последние годы в зарубежной литературе все чаще делается  акцент не только на надежном излечении онкологического больного, но и на качество его дальнейшей жизни</w:t>
      </w:r>
      <w:r>
        <w:rPr>
          <w:spacing w:val="58"/>
        </w:rPr>
        <w:t> </w:t>
      </w:r>
      <w:r>
        <w:rPr/>
        <w:t>[24].</w:t>
      </w:r>
    </w:p>
    <w:p>
      <w:pPr>
        <w:pStyle w:val="BodyText"/>
        <w:spacing w:line="360" w:lineRule="auto" w:before="207"/>
        <w:ind w:left="102" w:right="105" w:firstLine="719"/>
        <w:jc w:val="both"/>
      </w:pPr>
      <w:r>
        <w:rPr/>
        <w:t>Оценку качества жизни проводят с использованием стандартизированных опросников. Для оценки качества жизни у онкологических больных используют как общие, так и специальные опросники, применяющиеся в онкологии [89].</w:t>
      </w:r>
    </w:p>
    <w:p>
      <w:pPr>
        <w:pStyle w:val="BodyText"/>
        <w:spacing w:line="360" w:lineRule="auto" w:before="207"/>
        <w:ind w:left="102" w:right="104" w:firstLine="707"/>
        <w:jc w:val="both"/>
      </w:pPr>
      <w:r>
        <w:rPr/>
        <w:t>При изучении качества жизни оценивают три основных компонента, которые могут быть определены в личной беседе или с помощью специальных анкет:</w:t>
      </w:r>
    </w:p>
    <w:p>
      <w:pPr>
        <w:pStyle w:val="ListParagraph"/>
        <w:numPr>
          <w:ilvl w:val="0"/>
          <w:numId w:val="13"/>
        </w:numPr>
        <w:tabs>
          <w:tab w:pos="623" w:val="left" w:leader="none"/>
        </w:tabs>
        <w:spacing w:line="360" w:lineRule="auto" w:before="207" w:after="0"/>
        <w:ind w:left="102" w:right="100" w:firstLine="0"/>
        <w:jc w:val="both"/>
        <w:rPr>
          <w:sz w:val="28"/>
        </w:rPr>
      </w:pPr>
      <w:r>
        <w:rPr>
          <w:sz w:val="28"/>
        </w:rPr>
        <w:t>функциональные способности — возможность осуществлять повседневную деятельность, социальную, интеллектуальную, эмоциональную функции, достигать экономической</w:t>
      </w:r>
      <w:r>
        <w:rPr>
          <w:spacing w:val="-21"/>
          <w:sz w:val="28"/>
        </w:rPr>
        <w:t> </w:t>
      </w:r>
      <w:r>
        <w:rPr>
          <w:sz w:val="28"/>
        </w:rPr>
        <w:t>обеспеченности;</w:t>
      </w:r>
    </w:p>
    <w:p>
      <w:pPr>
        <w:pStyle w:val="ListParagraph"/>
        <w:numPr>
          <w:ilvl w:val="0"/>
          <w:numId w:val="13"/>
        </w:numPr>
        <w:tabs>
          <w:tab w:pos="393" w:val="left" w:leader="none"/>
        </w:tabs>
        <w:spacing w:line="360" w:lineRule="auto" w:before="204" w:after="0"/>
        <w:ind w:left="102" w:right="105" w:firstLine="0"/>
        <w:jc w:val="both"/>
        <w:rPr>
          <w:sz w:val="28"/>
        </w:rPr>
      </w:pPr>
      <w:r>
        <w:rPr>
          <w:sz w:val="28"/>
        </w:rPr>
        <w:t>восприятие — взгляды и суждения человека о ценностях указанных выше компонентов, восприятие общего состояния здоровья, уровня благополучия, удовлетворенности</w:t>
      </w:r>
      <w:r>
        <w:rPr>
          <w:spacing w:val="-16"/>
          <w:sz w:val="28"/>
        </w:rPr>
        <w:t> </w:t>
      </w:r>
      <w:r>
        <w:rPr>
          <w:sz w:val="28"/>
        </w:rPr>
        <w:t>жизнью;</w:t>
      </w:r>
    </w:p>
    <w:p>
      <w:pPr>
        <w:pStyle w:val="ListParagraph"/>
        <w:numPr>
          <w:ilvl w:val="0"/>
          <w:numId w:val="13"/>
        </w:numPr>
        <w:tabs>
          <w:tab w:pos="335" w:val="left" w:leader="none"/>
        </w:tabs>
        <w:spacing w:line="360" w:lineRule="auto" w:before="204" w:after="0"/>
        <w:ind w:left="102" w:right="103" w:firstLine="0"/>
        <w:jc w:val="both"/>
        <w:rPr>
          <w:sz w:val="28"/>
        </w:rPr>
      </w:pPr>
      <w:r>
        <w:rPr>
          <w:sz w:val="28"/>
        </w:rPr>
        <w:t>симптомы и их последствия — они являются следствием основного или сопутствующих заболеваний, снижаются или исчезают в результате вмешательства.</w:t>
      </w:r>
    </w:p>
    <w:p>
      <w:pPr>
        <w:pStyle w:val="BodyText"/>
        <w:spacing w:line="360" w:lineRule="auto" w:before="204"/>
        <w:ind w:left="102" w:right="101" w:firstLine="707"/>
        <w:jc w:val="both"/>
      </w:pPr>
      <w:r>
        <w:rPr/>
        <w:t>На ранних стадиях онкологического заболевания физическое состояние пациента, как правило, не нарушено, однако имеет место изменение психологического и социального функционирования. Критические изменения, наблюдаемые на более поздних стадиях заболевания, относятся ко всем сферам жизни: физической; психологической и социальной. Динамика качества жизни позволяет</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pPr>
      <w:r>
        <w:rPr/>
        <w:t>осуществлять постоянный контроль над состоянием больного и вносить коррективы в программы поддерживающей и симптоматической терапии.</w:t>
      </w:r>
    </w:p>
    <w:p>
      <w:pPr>
        <w:pStyle w:val="BodyText"/>
        <w:spacing w:line="360" w:lineRule="auto" w:before="207"/>
        <w:ind w:left="102" w:right="105" w:firstLine="707"/>
        <w:jc w:val="both"/>
      </w:pPr>
      <w:r>
        <w:rPr/>
        <w:t>Применительно к теме предстоящего исследования нам представилось целесообразным сравнить качество жизни онкогинекологических больных, подвергшихся хирургическому лечению с использованием различных доступов: традиционного открытого и лапароскопического. Подобные сопоставления проведены лишь в нескольких диссертационных исследованиях последний лет и крайне скудно освещены в доступной нам литературе.</w:t>
      </w:r>
    </w:p>
    <w:p>
      <w:pPr>
        <w:pStyle w:val="BodyText"/>
        <w:rPr>
          <w:sz w:val="30"/>
        </w:rPr>
      </w:pPr>
    </w:p>
    <w:p>
      <w:pPr>
        <w:pStyle w:val="BodyText"/>
        <w:rPr>
          <w:sz w:val="30"/>
        </w:rPr>
      </w:pPr>
    </w:p>
    <w:p>
      <w:pPr>
        <w:pStyle w:val="Heading1"/>
        <w:spacing w:before="203"/>
        <w:ind w:right="380"/>
        <w:jc w:val="center"/>
      </w:pPr>
      <w:r>
        <w:rPr/>
        <w:t>Резюме</w:t>
      </w:r>
    </w:p>
    <w:p>
      <w:pPr>
        <w:pStyle w:val="BodyText"/>
        <w:rPr>
          <w:b/>
          <w:sz w:val="31"/>
        </w:rPr>
      </w:pPr>
    </w:p>
    <w:p>
      <w:pPr>
        <w:pStyle w:val="BodyText"/>
        <w:spacing w:line="360" w:lineRule="auto"/>
        <w:ind w:left="102" w:right="104" w:firstLine="417"/>
        <w:jc w:val="both"/>
      </w:pPr>
      <w:r>
        <w:rPr/>
        <w:t>Как мы видим, во всем мире, помимо постепенного роста заболеваемости раком органов репродуктивной системы, отмечается смещение пика заболеваемости в сторону более молодого возраста. Сохраняется преобладание местно-распространенных форм опухолей, за исключением рака эндометрия, при котором пока только лишь появилась тенденция к уменьшению числа I стадий заболевания.</w:t>
      </w:r>
    </w:p>
    <w:p>
      <w:pPr>
        <w:pStyle w:val="BodyText"/>
        <w:spacing w:line="360" w:lineRule="auto" w:before="204"/>
        <w:ind w:left="102" w:right="101" w:firstLine="347"/>
        <w:jc w:val="both"/>
      </w:pPr>
      <w:r>
        <w:rPr/>
        <w:t>Отмеченное некоторыми авторами повышение выживаемости онкогинекологических больных на 3-4% нельзя признать обнадеживающим. Сложившаяся ситуация требует совершенствования системы ранней диагностики, методов обследования больных и оптимизации существующих программ комбинированного и комплексного лечения.</w:t>
      </w:r>
    </w:p>
    <w:p>
      <w:pPr>
        <w:pStyle w:val="BodyText"/>
        <w:spacing w:line="360" w:lineRule="auto" w:before="204"/>
        <w:ind w:left="102" w:right="107" w:firstLine="278"/>
        <w:jc w:val="both"/>
      </w:pPr>
      <w:r>
        <w:rPr/>
        <w:t>Одним из таких путей может оказаться широкое и, в то же время, тщательно обоснованное внедрение эндоскопических хирургических</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pPr>
      <w:r>
        <w:rPr/>
        <w:t>вмешательств на всех перечисленных этапах оказания лечебной помощи онкогинекологическим больным.</w:t>
      </w:r>
    </w:p>
    <w:p>
      <w:pPr>
        <w:pStyle w:val="BodyText"/>
        <w:spacing w:line="360" w:lineRule="auto" w:before="207"/>
        <w:ind w:left="102" w:right="100" w:firstLine="719"/>
        <w:jc w:val="both"/>
      </w:pPr>
      <w:r>
        <w:rPr/>
        <w:t>В задачи настоящего исследования не входило изучение демографических и этнических особенностей заболеваемости раком органов репродуктивной системы, мы также не ставили перед собой цели описать этиологию и патогенез данных заболеваний. В работе не рассматриваются спорные вопросы выбора лечебной тактики в тех или иных клинических ситуациях. В то же время, необходимо подчеркнуть, что описанные в обзоре литературы принципы лечения онкогинекологических больных, адекватные объемы хирургических вмешательств должны неукоснительно выполняться.</w:t>
      </w:r>
    </w:p>
    <w:p>
      <w:pPr>
        <w:pStyle w:val="BodyText"/>
        <w:spacing w:line="360" w:lineRule="auto" w:before="7"/>
        <w:ind w:left="102" w:right="104" w:firstLine="556"/>
        <w:jc w:val="both"/>
      </w:pPr>
      <w:r>
        <w:rPr/>
        <w:t>В контексте сказанного, лапароскопия в настоящем исследовании рассматривается как один из возможных хирургических доступов, отличающийся малой травматичностью, быстрой реабилитацией больных, хорошим косметическим эффектом. Нам предстоит определить, в каких клинических ситуациях он, безусловно, показан, в каких, с определенными оговорками, может быть применен и, наконец, выделить ряд онкогинекологических операций, которые должны выполняться открытым доступом.</w:t>
      </w:r>
    </w:p>
    <w:p>
      <w:pPr>
        <w:pStyle w:val="BodyText"/>
        <w:spacing w:line="360" w:lineRule="auto" w:before="206"/>
        <w:ind w:left="102" w:right="99" w:firstLine="417"/>
        <w:jc w:val="both"/>
      </w:pPr>
      <w:r>
        <w:rPr/>
        <w:t>Прежде всего оправданным и перспективным представляется использование лапароскопии как операции хирургического стадирования в целом ряде клинических ситуаций. На сегодняшний день не вызывает сомнений преимущество лапароскопического доступа у больных раком эндометрия, хотя в России по целому ряду причин подобным операциям подвергается менее 10% больных. Мало изучены технические т онкологические аспекты эндовидеохирургических вмешательств у  больных раком шейки матки и</w:t>
      </w:r>
      <w:r>
        <w:rPr>
          <w:spacing w:val="-10"/>
        </w:rPr>
        <w:t> </w:t>
      </w:r>
      <w:r>
        <w:rPr/>
        <w:t>яичников.</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5" w:firstLine="628"/>
        <w:jc w:val="both"/>
      </w:pPr>
      <w:r>
        <w:rPr/>
        <w:t>Во всех рассуждениях о малоинвазивной хирургии, в  первую  очередь, должны учитываться интересы больных и возможность соблюдения онкологических принципов выполнения хирургических вмешательств, таких как абластика, антибластика, соблюдение правил футлярности и зональности, описанных основателями отечественной онкологии.</w:t>
      </w:r>
    </w:p>
    <w:p>
      <w:pPr>
        <w:pStyle w:val="BodyText"/>
        <w:spacing w:line="360" w:lineRule="auto" w:before="205"/>
        <w:ind w:left="102" w:right="107" w:firstLine="417"/>
        <w:jc w:val="both"/>
      </w:pPr>
      <w:r>
        <w:rPr/>
        <w:t>Определению показаний к лапароскопическим операциям, а также выявлению ограничений к применению данной методики у больных раком органов репродуктивной системы посвящено настоящее исследование.</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Heading1"/>
        <w:spacing w:before="228"/>
        <w:ind w:left="379" w:right="380"/>
        <w:jc w:val="center"/>
      </w:pPr>
      <w:r>
        <w:rPr/>
        <w:t>ГЛАВА II</w:t>
      </w:r>
    </w:p>
    <w:p>
      <w:pPr>
        <w:pStyle w:val="BodyText"/>
        <w:spacing w:before="2"/>
        <w:rPr>
          <w:b/>
          <w:sz w:val="31"/>
        </w:rPr>
      </w:pPr>
    </w:p>
    <w:p>
      <w:pPr>
        <w:spacing w:before="0"/>
        <w:ind w:left="378" w:right="380" w:firstLine="0"/>
        <w:jc w:val="center"/>
        <w:rPr>
          <w:b/>
          <w:sz w:val="28"/>
        </w:rPr>
      </w:pPr>
      <w:r>
        <w:rPr>
          <w:b/>
          <w:sz w:val="28"/>
        </w:rPr>
        <w:t>МАТЕРИАЛЫ И МЕТОДЫ ИССЛЕДОВАНИЯ</w:t>
      </w:r>
    </w:p>
    <w:p>
      <w:pPr>
        <w:pStyle w:val="BodyText"/>
        <w:rPr>
          <w:b/>
          <w:sz w:val="30"/>
        </w:rPr>
      </w:pPr>
    </w:p>
    <w:p>
      <w:pPr>
        <w:pStyle w:val="BodyText"/>
        <w:rPr>
          <w:b/>
          <w:sz w:val="30"/>
        </w:rPr>
      </w:pPr>
    </w:p>
    <w:p>
      <w:pPr>
        <w:pStyle w:val="BodyText"/>
        <w:spacing w:before="8"/>
        <w:rPr>
          <w:b/>
          <w:sz w:val="30"/>
        </w:rPr>
      </w:pPr>
    </w:p>
    <w:p>
      <w:pPr>
        <w:pStyle w:val="ListParagraph"/>
        <w:numPr>
          <w:ilvl w:val="1"/>
          <w:numId w:val="14"/>
        </w:numPr>
        <w:tabs>
          <w:tab w:pos="979" w:val="left" w:leader="none"/>
        </w:tabs>
        <w:spacing w:line="240" w:lineRule="auto" w:before="0" w:after="0"/>
        <w:ind w:left="978" w:right="0" w:hanging="492"/>
        <w:jc w:val="left"/>
        <w:rPr>
          <w:b/>
          <w:sz w:val="28"/>
        </w:rPr>
      </w:pPr>
      <w:r>
        <w:rPr>
          <w:b/>
          <w:sz w:val="28"/>
        </w:rPr>
        <w:t>Клиническая характеристика обследованных групп</w:t>
      </w:r>
      <w:r>
        <w:rPr>
          <w:b/>
          <w:spacing w:val="-18"/>
          <w:sz w:val="28"/>
        </w:rPr>
        <w:t> </w:t>
      </w:r>
      <w:r>
        <w:rPr>
          <w:b/>
          <w:sz w:val="28"/>
        </w:rPr>
        <w:t>больных</w:t>
      </w:r>
    </w:p>
    <w:p>
      <w:pPr>
        <w:pStyle w:val="BodyText"/>
        <w:rPr>
          <w:b/>
          <w:sz w:val="30"/>
        </w:rPr>
      </w:pPr>
    </w:p>
    <w:p>
      <w:pPr>
        <w:pStyle w:val="BodyText"/>
        <w:rPr>
          <w:b/>
          <w:sz w:val="43"/>
        </w:rPr>
      </w:pPr>
    </w:p>
    <w:p>
      <w:pPr>
        <w:pStyle w:val="BodyText"/>
        <w:spacing w:line="360" w:lineRule="auto"/>
        <w:ind w:left="102" w:right="100" w:firstLine="417"/>
        <w:jc w:val="both"/>
      </w:pPr>
      <w:r>
        <w:rPr/>
        <w:t>В связи с многоплановостью исследования в работе последовательно анализировались несколько групп пациенток, проходивших лечение в ФГБУ НИИ онкологии им.Н.Н.Петрова и в ГБУЗ СПб КНПЦСВМП(о) в период с 1990 по 2015 годы.</w:t>
      </w:r>
    </w:p>
    <w:p>
      <w:pPr>
        <w:pStyle w:val="BodyText"/>
        <w:spacing w:line="360" w:lineRule="auto" w:before="5"/>
        <w:ind w:left="102" w:right="99" w:firstLine="347"/>
        <w:jc w:val="both"/>
      </w:pPr>
      <w:r>
        <w:rPr/>
        <w:t>Для уточнения показаний и противопоказаний к лапароскопическим операциям у больных раком эндометрия в исследование включены 756 больных с гистологически верифицированной формой рака эндометрия I и IIIc стадий,   получивших хирургическое   или комбинированное   лечение в период с 2010 по 2013 годы с применением лапароскопического доступа. Контрольную группу составили ретроспективные данные о 1289 больных раком эндометрия, оперировавшихся открытым доступом в период с 1990 по 2013</w:t>
      </w:r>
      <w:r>
        <w:rPr>
          <w:spacing w:val="-6"/>
        </w:rPr>
        <w:t> </w:t>
      </w:r>
      <w:r>
        <w:rPr/>
        <w:t>годы.</w:t>
      </w:r>
    </w:p>
    <w:p>
      <w:pPr>
        <w:pStyle w:val="BodyText"/>
        <w:tabs>
          <w:tab w:pos="5228" w:val="left" w:leader="none"/>
        </w:tabs>
        <w:spacing w:line="360" w:lineRule="auto" w:before="5"/>
        <w:ind w:left="102" w:right="100" w:firstLine="208"/>
        <w:jc w:val="both"/>
      </w:pPr>
      <w:r>
        <w:rPr/>
        <w:t>В период с 2011 по 2013 годы сформирована группа из 57 больных местно – распространенным раком шейки матки, которым с целью хирургического    </w:t>
      </w:r>
      <w:r>
        <w:rPr>
          <w:spacing w:val="44"/>
        </w:rPr>
        <w:t> </w:t>
      </w:r>
      <w:r>
        <w:rPr/>
        <w:t>стадирования</w:t>
        <w:tab/>
        <w:t>выполнялась    </w:t>
      </w:r>
      <w:r>
        <w:rPr>
          <w:spacing w:val="44"/>
        </w:rPr>
        <w:t> </w:t>
      </w:r>
      <w:r>
        <w:rPr/>
        <w:t>диагностическая</w:t>
      </w:r>
      <w:r>
        <w:rPr>
          <w:w w:val="100"/>
        </w:rPr>
        <w:t> </w:t>
      </w:r>
      <w:r>
        <w:rPr/>
        <w:t>лапароскопия и парааортальная лимфаденэктомия до начала специального лечения. В группу сравнения включены 1185 больных раком шейки матки IВ - III стадии, лечение которых осуществлялось на основании  стандартных методов обследования. Отдельно проанализированы 259 пациенток РШМ с развившимися рецидивами опухоли в разные сроки после проведенного комбинированного лечения. Целью изучения этой группы больных явилось уточнение особенностей метастазирования</w:t>
      </w:r>
      <w:r>
        <w:rPr>
          <w:spacing w:val="-23"/>
        </w:rPr>
        <w:t> </w:t>
      </w:r>
      <w:r>
        <w:rPr/>
        <w:t>и</w:t>
      </w:r>
    </w:p>
    <w:p>
      <w:pPr>
        <w:spacing w:after="0" w:line="360" w:lineRule="auto"/>
        <w:jc w:val="both"/>
        <w:sectPr>
          <w:pgSz w:w="11900" w:h="16850"/>
          <w:pgMar w:header="712" w:footer="0" w:top="1020" w:bottom="280" w:left="1600" w:right="1020"/>
        </w:sectPr>
      </w:pPr>
    </w:p>
    <w:p>
      <w:pPr>
        <w:pStyle w:val="BodyText"/>
        <w:rPr>
          <w:sz w:val="20"/>
        </w:rPr>
      </w:pPr>
    </w:p>
    <w:p>
      <w:pPr>
        <w:pStyle w:val="BodyText"/>
        <w:spacing w:line="360" w:lineRule="auto" w:before="252"/>
        <w:ind w:left="102" w:right="218"/>
        <w:jc w:val="both"/>
      </w:pPr>
      <w:r>
        <w:rPr/>
        <w:t>рецидивирования. Техническая возможность и онкологическая безопасность лапароскопического доступа при выполнении радикальной гистерэктомии оценена у 75 больных начальным раком шейки матки. Группу сравнения в этом разделе составили 86 больных, подвергшихся операции Вертгейма традиционным лапаротомным доступом.</w:t>
      </w:r>
    </w:p>
    <w:p>
      <w:pPr>
        <w:pStyle w:val="BodyText"/>
        <w:spacing w:line="360" w:lineRule="auto" w:before="7"/>
        <w:ind w:left="102" w:right="219"/>
        <w:jc w:val="both"/>
      </w:pPr>
      <w:r>
        <w:rPr/>
        <w:t>И, наконец, изучены результаты обследования и лечения 349 больных опухолями яичников с подозрением на малигнизацию, 389 больных раком яичников, которым на различных этапах лечения выполнялись повторные операции. Рассмотрены непосредственные и отдаленные результаты операций у 134 больным раком яичников I стадии, у 25 из которых операция была выполнена лапароскопическим доступом (Рис.2.1).</w:t>
      </w:r>
    </w:p>
    <w:p>
      <w:pPr>
        <w:pStyle w:val="BodyText"/>
        <w:rPr>
          <w:sz w:val="30"/>
        </w:rPr>
      </w:pPr>
    </w:p>
    <w:p>
      <w:pPr>
        <w:pStyle w:val="BodyText"/>
        <w:rPr>
          <w:sz w:val="30"/>
        </w:rPr>
      </w:pPr>
    </w:p>
    <w:p>
      <w:pPr>
        <w:pStyle w:val="BodyText"/>
        <w:spacing w:before="6"/>
        <w:rPr>
          <w:sz w:val="39"/>
        </w:rPr>
      </w:pPr>
    </w:p>
    <w:p>
      <w:pPr>
        <w:pStyle w:val="BodyText"/>
        <w:spacing w:line="427" w:lineRule="auto"/>
        <w:ind w:left="1114" w:right="203" w:firstLine="6647"/>
      </w:pPr>
      <w:r>
        <w:rPr/>
        <w:t>Рисунок 2.1 Распределение 4352 больных</w:t>
      </w:r>
      <w:r>
        <w:rPr>
          <w:b/>
        </w:rPr>
        <w:t>, </w:t>
      </w:r>
      <w:r>
        <w:rPr/>
        <w:t>включенных в исследование</w:t>
      </w:r>
    </w:p>
    <w:p>
      <w:pPr>
        <w:pStyle w:val="BodyText"/>
        <w:rPr>
          <w:sz w:val="30"/>
        </w:rPr>
      </w:pPr>
    </w:p>
    <w:p>
      <w:pPr>
        <w:pStyle w:val="Heading1"/>
        <w:tabs>
          <w:tab w:pos="3457" w:val="left" w:leader="none"/>
          <w:tab w:pos="7174" w:val="left" w:leader="none"/>
        </w:tabs>
        <w:spacing w:before="235"/>
        <w:ind w:left="661"/>
      </w:pPr>
      <w:r>
        <w:rPr/>
        <w:pict>
          <v:group style="position:absolute;margin-left:138.625pt;margin-top:32.975327pt;width:19.1pt;height:20pt;mso-position-horizontal-relative:page;mso-position-vertical-relative:paragraph;z-index:1192;mso-wrap-distance-left:0;mso-wrap-distance-right:0" coordorigin="2773,660" coordsize="382,400">
            <v:shape style="position:absolute;left:2780;top:703;width:367;height:356" coordorigin="2780,703" coordsize="367,356" path="m3147,881l2780,881,2964,1059,3147,881xm3055,703l2872,703,2872,881,3055,881,3055,703xe" filled="true" fillcolor="#808080" stroked="false">
              <v:path arrowok="t"/>
              <v:fill opacity="22873f" type="solid"/>
            </v:shape>
            <v:shape style="position:absolute;left:2780;top:667;width:367;height:356" type="#_x0000_t75" stroked="false">
              <v:imagedata r:id="rId10" o:title=""/>
            </v:shape>
            <v:shape style="position:absolute;left:2780;top:667;width:367;height:356" coordorigin="2780,667" coordsize="367,356" path="m2780,845l2872,845,2872,667,3055,667,3055,845,3147,845,2964,1023,2780,845xe" filled="false" stroked="true" strokeweight=".75pt" strokecolor="#4579b8">
              <v:path arrowok="t"/>
              <v:stroke dashstyle="solid"/>
            </v:shape>
            <w10:wrap type="topAndBottom"/>
          </v:group>
        </w:pict>
      </w:r>
      <w:r>
        <w:rPr/>
        <w:pict>
          <v:group style="position:absolute;margin-left:273.674988pt;margin-top:33.625324pt;width:19.1pt;height:20pt;mso-position-horizontal-relative:page;mso-position-vertical-relative:paragraph;z-index:1216;mso-wrap-distance-left:0;mso-wrap-distance-right:0" coordorigin="5473,673" coordsize="382,400">
            <v:shape style="position:absolute;left:5481;top:716;width:367;height:356" coordorigin="5481,716" coordsize="367,356" path="m5848,894l5481,894,5664,1072,5848,894xm5756,716l5573,716,5573,894,5756,894,5756,716xe" filled="true" fillcolor="#000000" stroked="false">
              <v:path arrowok="t"/>
              <v:fill opacity="22873f" type="solid"/>
            </v:shape>
            <v:shape style="position:absolute;left:5481;top:680;width:367;height:356" type="#_x0000_t75" stroked="false">
              <v:imagedata r:id="rId11" o:title=""/>
            </v:shape>
            <v:shape style="position:absolute;left:5481;top:680;width:367;height:356" coordorigin="5481,680" coordsize="367,356" path="m5481,858l5573,858,5573,680,5756,680,5756,858,5848,858,5664,1036,5481,858xe" filled="false" stroked="true" strokeweight=".75pt" strokecolor="#4579b8">
              <v:path arrowok="t"/>
              <v:stroke dashstyle="solid"/>
            </v:shape>
            <w10:wrap type="topAndBottom"/>
          </v:group>
        </w:pict>
      </w:r>
      <w:r>
        <w:rPr/>
        <w:pict>
          <v:group style="position:absolute;margin-left:435.924988pt;margin-top:32.875324pt;width:19.1pt;height:20pt;mso-position-horizontal-relative:page;mso-position-vertical-relative:paragraph;z-index:1240;mso-wrap-distance-left:0;mso-wrap-distance-right:0" coordorigin="8718,658" coordsize="382,400">
            <v:shape style="position:absolute;left:8726;top:701;width:367;height:356" coordorigin="8726,701" coordsize="367,356" path="m9093,879l8726,879,8909,1057,9093,879xm9001,701l8818,701,8818,879,9001,879,9001,701xe" filled="true" fillcolor="#000000" stroked="false">
              <v:path arrowok="t"/>
              <v:fill opacity="22873f" type="solid"/>
            </v:shape>
            <v:shape style="position:absolute;left:8726;top:665;width:367;height:356" type="#_x0000_t75" stroked="false">
              <v:imagedata r:id="rId12" o:title=""/>
            </v:shape>
            <v:shape style="position:absolute;left:8726;top:665;width:367;height:356" coordorigin="8726,665" coordsize="367,356" path="m8726,843l8818,843,8818,665,9001,665,9001,843,9093,843,8909,1021,8726,843xe" filled="false" stroked="true" strokeweight=".75pt" strokecolor="#4579b8">
              <v:path arrowok="t"/>
              <v:stroke dashstyle="solid"/>
            </v:shape>
            <w10:wrap type="topAndBottom"/>
          </v:group>
        </w:pict>
      </w:r>
      <w:r>
        <w:rPr/>
        <w:t>Рак</w:t>
      </w:r>
      <w:r>
        <w:rPr>
          <w:spacing w:val="-2"/>
        </w:rPr>
        <w:t> </w:t>
      </w:r>
      <w:r>
        <w:rPr/>
        <w:t>эндометрия</w:t>
        <w:tab/>
        <w:t>Рак</w:t>
      </w:r>
      <w:r>
        <w:rPr>
          <w:spacing w:val="-2"/>
        </w:rPr>
        <w:t> </w:t>
      </w:r>
      <w:r>
        <w:rPr/>
        <w:t>шейки</w:t>
      </w:r>
      <w:r>
        <w:rPr>
          <w:spacing w:val="-1"/>
        </w:rPr>
        <w:t> </w:t>
      </w:r>
      <w:r>
        <w:rPr/>
        <w:t>матки</w:t>
        <w:tab/>
        <w:t>Рак</w:t>
      </w:r>
      <w:r>
        <w:rPr>
          <w:spacing w:val="-3"/>
        </w:rPr>
        <w:t> </w:t>
      </w:r>
      <w:r>
        <w:rPr/>
        <w:t>яичников</w:t>
      </w:r>
    </w:p>
    <w:p>
      <w:pPr>
        <w:spacing w:line="240" w:lineRule="auto"/>
        <w:ind w:left="93" w:right="0" w:firstLine="0"/>
        <w:rPr>
          <w:sz w:val="20"/>
        </w:rPr>
      </w:pPr>
      <w:r>
        <w:rPr>
          <w:spacing w:val="-49"/>
          <w:sz w:val="20"/>
        </w:rPr>
        <w:t> </w:t>
      </w:r>
      <w:r>
        <w:rPr>
          <w:spacing w:val="-49"/>
          <w:position w:val="12"/>
          <w:sz w:val="20"/>
        </w:rPr>
        <w:pict>
          <v:shape style="width:117.25pt;height:162pt;mso-position-horizontal-relative:char;mso-position-vertical-relative:line" type="#_x0000_t202" filled="false" stroked="true" strokeweight=".75pt" strokecolor="#4f81bc">
            <w10:anchorlock/>
            <v:textbox inset="0,0,0,0">
              <w:txbxContent>
                <w:p>
                  <w:pPr>
                    <w:spacing w:line="252" w:lineRule="exact" w:before="73"/>
                    <w:ind w:left="144" w:right="0" w:firstLine="0"/>
                    <w:jc w:val="left"/>
                    <w:rPr>
                      <w:b/>
                      <w:sz w:val="22"/>
                    </w:rPr>
                  </w:pPr>
                  <w:r>
                    <w:rPr>
                      <w:b/>
                      <w:sz w:val="22"/>
                    </w:rPr>
                    <w:t>756</w:t>
                  </w:r>
                </w:p>
                <w:p>
                  <w:pPr>
                    <w:spacing w:before="0"/>
                    <w:ind w:left="199" w:right="0" w:hanging="56"/>
                    <w:jc w:val="left"/>
                    <w:rPr>
                      <w:b/>
                      <w:sz w:val="22"/>
                    </w:rPr>
                  </w:pPr>
                  <w:r>
                    <w:rPr>
                      <w:b/>
                      <w:sz w:val="22"/>
                    </w:rPr>
                    <w:t>лапароскопических операций</w:t>
                  </w:r>
                </w:p>
                <w:p>
                  <w:pPr>
                    <w:spacing w:before="10"/>
                    <w:ind w:left="144" w:right="0" w:firstLine="0"/>
                    <w:jc w:val="left"/>
                    <w:rPr>
                      <w:b/>
                      <w:sz w:val="22"/>
                    </w:rPr>
                  </w:pPr>
                  <w:r>
                    <w:rPr>
                      <w:b/>
                      <w:sz w:val="22"/>
                    </w:rPr>
                    <w:t>1289 лапаротомий</w:t>
                  </w:r>
                </w:p>
              </w:txbxContent>
            </v:textbox>
            <v:stroke dashstyle="solid"/>
          </v:shape>
        </w:pict>
      </w:r>
      <w:r>
        <w:rPr>
          <w:spacing w:val="-49"/>
          <w:position w:val="12"/>
          <w:sz w:val="20"/>
        </w:rPr>
      </w:r>
      <w:r>
        <w:rPr>
          <w:spacing w:val="95"/>
          <w:position w:val="12"/>
          <w:sz w:val="20"/>
        </w:rPr>
        <w:t> </w:t>
      </w:r>
      <w:r>
        <w:rPr>
          <w:spacing w:val="95"/>
          <w:position w:val="3"/>
          <w:sz w:val="20"/>
        </w:rPr>
        <w:pict>
          <v:shape style="width:152.75pt;height:166.7pt;mso-position-horizontal-relative:char;mso-position-vertical-relative:line" type="#_x0000_t202" filled="false" stroked="true" strokeweight=".75pt" strokecolor="#4f81bc">
            <w10:anchorlock/>
            <v:textbox inset="0,0,0,0">
              <w:txbxContent>
                <w:p>
                  <w:pPr>
                    <w:spacing w:line="244" w:lineRule="auto" w:before="67"/>
                    <w:ind w:left="145" w:right="180" w:firstLine="0"/>
                    <w:jc w:val="left"/>
                    <w:rPr>
                      <w:b/>
                      <w:sz w:val="24"/>
                    </w:rPr>
                  </w:pPr>
                  <w:r>
                    <w:rPr>
                      <w:sz w:val="24"/>
                    </w:rPr>
                    <w:t>1</w:t>
                  </w:r>
                  <w:r>
                    <w:rPr>
                      <w:b/>
                      <w:sz w:val="24"/>
                    </w:rPr>
                    <w:t>) 1185 больных РШМ 259 рецидивов</w:t>
                  </w:r>
                </w:p>
                <w:p>
                  <w:pPr>
                    <w:spacing w:line="240" w:lineRule="auto" w:before="0"/>
                    <w:ind w:left="145" w:right="1161" w:firstLine="60"/>
                    <w:jc w:val="left"/>
                    <w:rPr>
                      <w:b/>
                      <w:sz w:val="24"/>
                    </w:rPr>
                  </w:pPr>
                  <w:r>
                    <w:rPr>
                      <w:b/>
                      <w:sz w:val="24"/>
                    </w:rPr>
                    <w:t>57 операций хирургического стадирования</w:t>
                  </w:r>
                </w:p>
                <w:p>
                  <w:pPr>
                    <w:spacing w:before="5"/>
                    <w:ind w:left="145" w:right="180" w:firstLine="0"/>
                    <w:jc w:val="left"/>
                    <w:rPr>
                      <w:b/>
                      <w:sz w:val="24"/>
                    </w:rPr>
                  </w:pPr>
                  <w:r>
                    <w:rPr>
                      <w:b/>
                      <w:sz w:val="24"/>
                    </w:rPr>
                    <w:t>2) 75 лапароскопичеслих радикальных гистерэктомий</w:t>
                  </w:r>
                </w:p>
                <w:p>
                  <w:pPr>
                    <w:spacing w:before="9"/>
                    <w:ind w:left="385" w:right="0" w:firstLine="0"/>
                    <w:jc w:val="left"/>
                    <w:rPr>
                      <w:b/>
                      <w:sz w:val="24"/>
                    </w:rPr>
                  </w:pPr>
                  <w:r>
                    <w:rPr>
                      <w:b/>
                      <w:sz w:val="24"/>
                    </w:rPr>
                    <w:t>86 лапаротомий</w:t>
                  </w:r>
                </w:p>
              </w:txbxContent>
            </v:textbox>
            <v:stroke dashstyle="solid"/>
          </v:shape>
        </w:pict>
      </w:r>
      <w:r>
        <w:rPr>
          <w:spacing w:val="95"/>
          <w:position w:val="3"/>
          <w:sz w:val="20"/>
        </w:rPr>
      </w:r>
      <w:r>
        <w:rPr>
          <w:spacing w:val="110"/>
          <w:position w:val="3"/>
          <w:sz w:val="20"/>
        </w:rPr>
        <w:t> </w:t>
      </w:r>
      <w:r>
        <w:rPr>
          <w:spacing w:val="110"/>
          <w:sz w:val="20"/>
        </w:rPr>
        <w:pict>
          <v:shape style="width:171.3pt;height:168.15pt;mso-position-horizontal-relative:char;mso-position-vertical-relative:line" type="#_x0000_t202" filled="false" stroked="true" strokeweight=".75pt" strokecolor="#4f81bc">
            <w10:anchorlock/>
            <v:textbox inset="0,0,0,0">
              <w:txbxContent>
                <w:p>
                  <w:pPr>
                    <w:pStyle w:val="ListParagraph"/>
                    <w:numPr>
                      <w:ilvl w:val="0"/>
                      <w:numId w:val="15"/>
                    </w:numPr>
                    <w:tabs>
                      <w:tab w:pos="406" w:val="left" w:leader="none"/>
                    </w:tabs>
                    <w:spacing w:line="242" w:lineRule="auto" w:before="67" w:after="0"/>
                    <w:ind w:left="145" w:right="1474" w:firstLine="0"/>
                    <w:jc w:val="left"/>
                    <w:rPr>
                      <w:b/>
                      <w:sz w:val="24"/>
                    </w:rPr>
                  </w:pPr>
                  <w:r>
                    <w:rPr>
                      <w:b/>
                      <w:sz w:val="24"/>
                    </w:rPr>
                    <w:t>349 больных с подозрением на малигнизацию</w:t>
                  </w:r>
                </w:p>
                <w:p>
                  <w:pPr>
                    <w:pStyle w:val="ListParagraph"/>
                    <w:numPr>
                      <w:ilvl w:val="0"/>
                      <w:numId w:val="15"/>
                    </w:numPr>
                    <w:tabs>
                      <w:tab w:pos="405" w:val="left" w:leader="none"/>
                    </w:tabs>
                    <w:spacing w:line="240" w:lineRule="auto" w:before="0" w:after="0"/>
                    <w:ind w:left="445" w:right="683" w:hanging="300"/>
                    <w:jc w:val="left"/>
                    <w:rPr>
                      <w:b/>
                      <w:sz w:val="24"/>
                    </w:rPr>
                  </w:pPr>
                  <w:r>
                    <w:rPr>
                      <w:b/>
                      <w:sz w:val="24"/>
                    </w:rPr>
                    <w:t>134 больных I стадии из них – 25</w:t>
                  </w:r>
                </w:p>
                <w:p>
                  <w:pPr>
                    <w:spacing w:before="2"/>
                    <w:ind w:left="145" w:right="0" w:firstLine="0"/>
                    <w:jc w:val="left"/>
                    <w:rPr>
                      <w:b/>
                      <w:sz w:val="24"/>
                    </w:rPr>
                  </w:pPr>
                  <w:r>
                    <w:rPr>
                      <w:b/>
                      <w:sz w:val="24"/>
                    </w:rPr>
                    <w:t>лапароскопических</w:t>
                  </w:r>
                </w:p>
                <w:p>
                  <w:pPr>
                    <w:pStyle w:val="ListParagraph"/>
                    <w:numPr>
                      <w:ilvl w:val="0"/>
                      <w:numId w:val="15"/>
                    </w:numPr>
                    <w:tabs>
                      <w:tab w:pos="405" w:val="left" w:leader="none"/>
                    </w:tabs>
                    <w:spacing w:line="240" w:lineRule="auto" w:before="0" w:after="0"/>
                    <w:ind w:left="404" w:right="0" w:hanging="259"/>
                    <w:jc w:val="left"/>
                    <w:rPr>
                      <w:b/>
                      <w:sz w:val="24"/>
                    </w:rPr>
                  </w:pPr>
                  <w:r>
                    <w:rPr>
                      <w:b/>
                      <w:sz w:val="24"/>
                    </w:rPr>
                    <w:t>32 диагностические</w:t>
                  </w:r>
                  <w:r>
                    <w:rPr>
                      <w:b/>
                      <w:spacing w:val="-4"/>
                      <w:sz w:val="24"/>
                    </w:rPr>
                    <w:t> </w:t>
                  </w:r>
                  <w:r>
                    <w:rPr>
                      <w:b/>
                      <w:sz w:val="24"/>
                    </w:rPr>
                    <w:t>Л/С</w:t>
                  </w:r>
                </w:p>
                <w:p>
                  <w:pPr>
                    <w:pStyle w:val="ListParagraph"/>
                    <w:numPr>
                      <w:ilvl w:val="0"/>
                      <w:numId w:val="15"/>
                    </w:numPr>
                    <w:tabs>
                      <w:tab w:pos="405" w:val="left" w:leader="none"/>
                    </w:tabs>
                    <w:spacing w:line="240" w:lineRule="auto" w:before="0" w:after="0"/>
                    <w:ind w:left="404" w:right="0" w:hanging="259"/>
                    <w:jc w:val="left"/>
                    <w:rPr>
                      <w:b/>
                      <w:sz w:val="24"/>
                    </w:rPr>
                  </w:pPr>
                  <w:r>
                    <w:rPr>
                      <w:b/>
                      <w:sz w:val="24"/>
                    </w:rPr>
                    <w:t>389 повторных</w:t>
                  </w:r>
                  <w:r>
                    <w:rPr>
                      <w:b/>
                      <w:spacing w:val="-19"/>
                      <w:sz w:val="24"/>
                    </w:rPr>
                    <w:t> </w:t>
                  </w:r>
                  <w:r>
                    <w:rPr>
                      <w:b/>
                      <w:sz w:val="24"/>
                    </w:rPr>
                    <w:t>операций</w:t>
                  </w:r>
                </w:p>
              </w:txbxContent>
            </v:textbox>
            <v:stroke dashstyle="solid"/>
          </v:shape>
        </w:pict>
      </w:r>
      <w:r>
        <w:rPr>
          <w:spacing w:val="110"/>
          <w:sz w:val="20"/>
        </w:rPr>
      </w:r>
    </w:p>
    <w:p>
      <w:pPr>
        <w:spacing w:after="0" w:line="240" w:lineRule="auto"/>
        <w:rPr>
          <w:sz w:val="20"/>
        </w:rPr>
        <w:sectPr>
          <w:pgSz w:w="11900" w:h="16850"/>
          <w:pgMar w:header="712" w:footer="0" w:top="1020" w:bottom="280" w:left="1600" w:right="900"/>
        </w:sectPr>
      </w:pPr>
    </w:p>
    <w:p>
      <w:pPr>
        <w:pStyle w:val="BodyText"/>
        <w:rPr>
          <w:b/>
          <w:sz w:val="20"/>
        </w:rPr>
      </w:pPr>
    </w:p>
    <w:p>
      <w:pPr>
        <w:pStyle w:val="BodyText"/>
        <w:rPr>
          <w:b/>
          <w:sz w:val="20"/>
        </w:rPr>
      </w:pPr>
    </w:p>
    <w:p>
      <w:pPr>
        <w:pStyle w:val="BodyText"/>
        <w:rPr>
          <w:b/>
          <w:sz w:val="20"/>
        </w:rPr>
      </w:pPr>
    </w:p>
    <w:p>
      <w:pPr>
        <w:pStyle w:val="BodyText"/>
        <w:spacing w:before="4"/>
        <w:rPr>
          <w:b/>
          <w:sz w:val="16"/>
        </w:rPr>
      </w:pPr>
    </w:p>
    <w:p>
      <w:pPr>
        <w:pStyle w:val="BodyText"/>
        <w:spacing w:line="360" w:lineRule="auto" w:before="89"/>
        <w:ind w:left="102" w:right="102" w:firstLine="347"/>
        <w:jc w:val="both"/>
      </w:pPr>
      <w:r>
        <w:rPr/>
        <w:t>В комплекс дооперационного клинико-диагностического обследования входили общеклинические анализы, УЗИ и МРТ органов малого таза с оценкой глубины инвазии опухолевого процесса, состояния тазовых и парааортальных лимфатических узлов, гистологическое исследование биопсийного материала,   оценка общего соматического статуса больных.</w:t>
      </w:r>
    </w:p>
    <w:p>
      <w:pPr>
        <w:pStyle w:val="BodyText"/>
        <w:spacing w:line="360" w:lineRule="auto" w:before="5"/>
        <w:ind w:left="102" w:right="102" w:firstLine="847"/>
        <w:jc w:val="both"/>
      </w:pPr>
      <w:r>
        <w:rPr/>
        <w:t>При анализе клинического материала использовалась анкета (кодификатор) включающая 34 основных признака, характеризующих особенности организма и опухоли, проведенного лечения и его результаты (см. приложение). Полученные данные обработаны на персональном компьютере. Изучены истории болезни, протоколы операции, описания операционных макропрепаратов и гистологических заключений, поликлинических карт, отражающие результаты наблюдения за больными после проведенного лечения. Во всех случаях проведено рестадирование в соответствии с классификацией Международной Федерации Акушеров и Гинекологов (FIGO, 2009) и 7 изданием TNM 2013 года.</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before="89"/>
        <w:ind w:left="3799" w:right="3800"/>
        <w:jc w:val="center"/>
      </w:pPr>
      <w:r>
        <w:rPr/>
        <w:t>Рак эндометрия</w:t>
      </w:r>
    </w:p>
    <w:p>
      <w:pPr>
        <w:pStyle w:val="BodyText"/>
        <w:rPr>
          <w:sz w:val="30"/>
        </w:rPr>
      </w:pPr>
    </w:p>
    <w:p>
      <w:pPr>
        <w:pStyle w:val="BodyText"/>
        <w:spacing w:before="10"/>
        <w:rPr>
          <w:sz w:val="25"/>
        </w:rPr>
      </w:pPr>
    </w:p>
    <w:p>
      <w:pPr>
        <w:pStyle w:val="BodyText"/>
        <w:spacing w:line="360" w:lineRule="auto"/>
        <w:ind w:left="222" w:right="356" w:firstLine="347"/>
      </w:pPr>
      <w:r>
        <w:rPr/>
        <w:t>В исследование включены женщины в возрасте от 24  до  71  года  (Табл.</w:t>
      </w:r>
      <w:r>
        <w:rPr>
          <w:spacing w:val="-1"/>
        </w:rPr>
        <w:t> </w:t>
      </w:r>
      <w:r>
        <w:rPr/>
        <w:t>2.1).</w:t>
      </w:r>
    </w:p>
    <w:p>
      <w:pPr>
        <w:pStyle w:val="BodyText"/>
        <w:spacing w:line="360" w:lineRule="auto" w:before="7"/>
        <w:ind w:left="685" w:right="206" w:firstLine="7187"/>
      </w:pPr>
      <w:r>
        <w:rPr/>
        <w:t>Таблица 2.1 Распределение больных раком эндометрия по видам хирургических</w:t>
      </w:r>
    </w:p>
    <w:p>
      <w:pPr>
        <w:pStyle w:val="BodyText"/>
        <w:spacing w:before="5"/>
        <w:ind w:left="3799" w:right="3798"/>
        <w:jc w:val="center"/>
      </w:pPr>
      <w:r>
        <w:rPr/>
        <w:t>вмешательств</w:t>
      </w:r>
    </w:p>
    <w:p>
      <w:pPr>
        <w:pStyle w:val="BodyText"/>
        <w:spacing w:before="6"/>
        <w:rPr>
          <w:sz w:val="14"/>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2"/>
        <w:gridCol w:w="3622"/>
        <w:gridCol w:w="3236"/>
      </w:tblGrid>
      <w:tr>
        <w:trPr>
          <w:trHeight w:val="1891" w:hRule="exact"/>
        </w:trPr>
        <w:tc>
          <w:tcPr>
            <w:tcW w:w="2432" w:type="dxa"/>
          </w:tcPr>
          <w:p>
            <w:pPr>
              <w:pStyle w:val="TableParagraph"/>
              <w:rPr>
                <w:sz w:val="30"/>
              </w:rPr>
            </w:pPr>
          </w:p>
          <w:p>
            <w:pPr>
              <w:pStyle w:val="TableParagraph"/>
              <w:spacing w:line="276" w:lineRule="auto" w:before="219"/>
              <w:ind w:left="230" w:right="233" w:hanging="2"/>
              <w:jc w:val="center"/>
              <w:rPr>
                <w:sz w:val="28"/>
              </w:rPr>
            </w:pPr>
            <w:r>
              <w:rPr>
                <w:sz w:val="28"/>
              </w:rPr>
              <w:t>Состояние репродуктивной функции</w:t>
            </w:r>
          </w:p>
        </w:tc>
        <w:tc>
          <w:tcPr>
            <w:tcW w:w="3622" w:type="dxa"/>
          </w:tcPr>
          <w:p>
            <w:pPr>
              <w:pStyle w:val="TableParagraph"/>
              <w:rPr>
                <w:sz w:val="30"/>
              </w:rPr>
            </w:pPr>
          </w:p>
          <w:p>
            <w:pPr>
              <w:pStyle w:val="TableParagraph"/>
              <w:spacing w:before="6"/>
              <w:rPr>
                <w:sz w:val="26"/>
              </w:rPr>
            </w:pPr>
          </w:p>
          <w:p>
            <w:pPr>
              <w:pStyle w:val="TableParagraph"/>
              <w:spacing w:line="424" w:lineRule="auto"/>
              <w:ind w:left="1487" w:right="996" w:hanging="478"/>
              <w:rPr>
                <w:sz w:val="28"/>
              </w:rPr>
            </w:pPr>
            <w:r>
              <w:rPr>
                <w:sz w:val="28"/>
              </w:rPr>
              <w:t>Лапаротомия n (%)</w:t>
            </w:r>
          </w:p>
        </w:tc>
        <w:tc>
          <w:tcPr>
            <w:tcW w:w="3236" w:type="dxa"/>
          </w:tcPr>
          <w:p>
            <w:pPr>
              <w:pStyle w:val="TableParagraph"/>
              <w:rPr>
                <w:sz w:val="30"/>
              </w:rPr>
            </w:pPr>
          </w:p>
          <w:p>
            <w:pPr>
              <w:pStyle w:val="TableParagraph"/>
              <w:spacing w:before="6"/>
              <w:rPr>
                <w:sz w:val="26"/>
              </w:rPr>
            </w:pPr>
          </w:p>
          <w:p>
            <w:pPr>
              <w:pStyle w:val="TableParagraph"/>
              <w:spacing w:line="424" w:lineRule="auto"/>
              <w:ind w:left="1296" w:right="749" w:hanging="536"/>
              <w:rPr>
                <w:sz w:val="28"/>
              </w:rPr>
            </w:pPr>
            <w:r>
              <w:rPr>
                <w:sz w:val="28"/>
              </w:rPr>
              <w:t>Лапароскопия n (%)</w:t>
            </w:r>
          </w:p>
        </w:tc>
      </w:tr>
      <w:tr>
        <w:trPr>
          <w:trHeight w:val="950" w:hRule="exact"/>
        </w:trPr>
        <w:tc>
          <w:tcPr>
            <w:tcW w:w="2432" w:type="dxa"/>
          </w:tcPr>
          <w:p>
            <w:pPr>
              <w:pStyle w:val="TableParagraph"/>
              <w:spacing w:line="278" w:lineRule="auto"/>
              <w:ind w:left="784" w:right="185" w:hanging="588"/>
              <w:rPr>
                <w:sz w:val="28"/>
              </w:rPr>
            </w:pPr>
            <w:r>
              <w:rPr>
                <w:sz w:val="28"/>
              </w:rPr>
              <w:t>Репродуктивный период</w:t>
            </w:r>
          </w:p>
        </w:tc>
        <w:tc>
          <w:tcPr>
            <w:tcW w:w="3622" w:type="dxa"/>
          </w:tcPr>
          <w:p>
            <w:pPr>
              <w:pStyle w:val="TableParagraph"/>
              <w:spacing w:before="180"/>
              <w:ind w:left="1014" w:right="1016"/>
              <w:jc w:val="center"/>
              <w:rPr>
                <w:sz w:val="28"/>
              </w:rPr>
            </w:pPr>
            <w:r>
              <w:rPr>
                <w:sz w:val="28"/>
              </w:rPr>
              <w:t>271 (21,1%)</w:t>
            </w:r>
          </w:p>
        </w:tc>
        <w:tc>
          <w:tcPr>
            <w:tcW w:w="3236" w:type="dxa"/>
          </w:tcPr>
          <w:p>
            <w:pPr>
              <w:pStyle w:val="TableParagraph"/>
              <w:spacing w:before="180"/>
              <w:ind w:left="890" w:right="895"/>
              <w:jc w:val="center"/>
              <w:rPr>
                <w:sz w:val="28"/>
              </w:rPr>
            </w:pPr>
            <w:r>
              <w:rPr>
                <w:sz w:val="28"/>
              </w:rPr>
              <w:t>129 (17,1%)</w:t>
            </w:r>
          </w:p>
        </w:tc>
      </w:tr>
      <w:tr>
        <w:trPr>
          <w:trHeight w:val="838" w:hRule="exact"/>
        </w:trPr>
        <w:tc>
          <w:tcPr>
            <w:tcW w:w="2432" w:type="dxa"/>
          </w:tcPr>
          <w:p>
            <w:pPr>
              <w:pStyle w:val="TableParagraph"/>
              <w:spacing w:before="123"/>
              <w:ind w:left="329" w:right="332"/>
              <w:jc w:val="center"/>
              <w:rPr>
                <w:sz w:val="28"/>
              </w:rPr>
            </w:pPr>
            <w:r>
              <w:rPr>
                <w:sz w:val="28"/>
              </w:rPr>
              <w:t>Менопауза</w:t>
            </w:r>
          </w:p>
        </w:tc>
        <w:tc>
          <w:tcPr>
            <w:tcW w:w="3622" w:type="dxa"/>
          </w:tcPr>
          <w:p>
            <w:pPr>
              <w:pStyle w:val="TableParagraph"/>
              <w:spacing w:before="123"/>
              <w:ind w:left="1014" w:right="1017"/>
              <w:jc w:val="center"/>
              <w:rPr>
                <w:sz w:val="28"/>
              </w:rPr>
            </w:pPr>
            <w:r>
              <w:rPr>
                <w:sz w:val="28"/>
              </w:rPr>
              <w:t>1018 (78,9%)</w:t>
            </w:r>
          </w:p>
        </w:tc>
        <w:tc>
          <w:tcPr>
            <w:tcW w:w="3236" w:type="dxa"/>
          </w:tcPr>
          <w:p>
            <w:pPr>
              <w:pStyle w:val="TableParagraph"/>
              <w:spacing w:before="123"/>
              <w:ind w:left="890" w:right="895"/>
              <w:jc w:val="center"/>
              <w:rPr>
                <w:sz w:val="28"/>
              </w:rPr>
            </w:pPr>
            <w:r>
              <w:rPr>
                <w:sz w:val="28"/>
              </w:rPr>
              <w:t>627 (82,9%)</w:t>
            </w:r>
          </w:p>
        </w:tc>
      </w:tr>
      <w:tr>
        <w:trPr>
          <w:trHeight w:val="840" w:hRule="exact"/>
        </w:trPr>
        <w:tc>
          <w:tcPr>
            <w:tcW w:w="2432" w:type="dxa"/>
          </w:tcPr>
          <w:p>
            <w:pPr>
              <w:pStyle w:val="TableParagraph"/>
              <w:spacing w:before="122"/>
              <w:ind w:left="329" w:right="329"/>
              <w:jc w:val="center"/>
              <w:rPr>
                <w:sz w:val="28"/>
              </w:rPr>
            </w:pPr>
            <w:r>
              <w:rPr>
                <w:sz w:val="28"/>
              </w:rPr>
              <w:t>Всего</w:t>
            </w:r>
          </w:p>
        </w:tc>
        <w:tc>
          <w:tcPr>
            <w:tcW w:w="3622" w:type="dxa"/>
          </w:tcPr>
          <w:p>
            <w:pPr>
              <w:pStyle w:val="TableParagraph"/>
              <w:spacing w:before="122"/>
              <w:ind w:left="1014" w:right="1016"/>
              <w:jc w:val="center"/>
              <w:rPr>
                <w:sz w:val="28"/>
              </w:rPr>
            </w:pPr>
            <w:r>
              <w:rPr>
                <w:sz w:val="28"/>
              </w:rPr>
              <w:t>1289</w:t>
            </w:r>
          </w:p>
        </w:tc>
        <w:tc>
          <w:tcPr>
            <w:tcW w:w="3236" w:type="dxa"/>
          </w:tcPr>
          <w:p>
            <w:pPr>
              <w:pStyle w:val="TableParagraph"/>
              <w:spacing w:before="122"/>
              <w:ind w:left="890" w:right="893"/>
              <w:jc w:val="center"/>
              <w:rPr>
                <w:sz w:val="28"/>
              </w:rPr>
            </w:pPr>
            <w:r>
              <w:rPr>
                <w:sz w:val="28"/>
              </w:rPr>
              <w:t>756</w:t>
            </w:r>
          </w:p>
        </w:tc>
      </w:tr>
    </w:tbl>
    <w:p>
      <w:pPr>
        <w:pStyle w:val="BodyText"/>
        <w:rPr>
          <w:sz w:val="30"/>
        </w:rPr>
      </w:pPr>
    </w:p>
    <w:p>
      <w:pPr>
        <w:pStyle w:val="BodyText"/>
        <w:spacing w:before="7"/>
      </w:pPr>
    </w:p>
    <w:p>
      <w:pPr>
        <w:pStyle w:val="BodyText"/>
        <w:spacing w:line="360" w:lineRule="auto"/>
        <w:ind w:left="222" w:right="221" w:firstLine="719"/>
        <w:jc w:val="both"/>
      </w:pPr>
      <w:r>
        <w:rPr/>
        <w:t>При анализе состояния репродуктивной функции установлено, что 80,4% больных  находились  в  постменопаузе,  19,6%  пациенток  оказались моложе 50</w:t>
      </w:r>
      <w:r>
        <w:rPr>
          <w:spacing w:val="-8"/>
        </w:rPr>
        <w:t> </w:t>
      </w:r>
      <w:r>
        <w:rPr/>
        <w:t>лет.</w:t>
      </w:r>
    </w:p>
    <w:p>
      <w:pPr>
        <w:pStyle w:val="BodyText"/>
        <w:spacing w:line="360" w:lineRule="auto" w:before="204"/>
        <w:ind w:left="222" w:right="220" w:firstLine="417"/>
        <w:jc w:val="both"/>
      </w:pPr>
      <w:r>
        <w:rPr/>
        <w:t>В описании материалов исследования мы несколько подробнее остановимся на наиболее часто встретившейся патологии – ожирении различной степени. Это заболевание длительное время являлась противопоказанием к лапароскопическим операциям.</w:t>
      </w:r>
    </w:p>
    <w:p>
      <w:pPr>
        <w:spacing w:after="0" w:line="360" w:lineRule="auto"/>
        <w:jc w:val="both"/>
        <w:sectPr>
          <w:pgSz w:w="11900" w:h="16850"/>
          <w:pgMar w:header="712" w:footer="0" w:top="1020" w:bottom="280" w:left="1480" w:right="900"/>
        </w:sectPr>
      </w:pPr>
    </w:p>
    <w:p>
      <w:pPr>
        <w:pStyle w:val="BodyText"/>
        <w:rPr>
          <w:sz w:val="20"/>
        </w:rPr>
      </w:pPr>
    </w:p>
    <w:p>
      <w:pPr>
        <w:pStyle w:val="BodyText"/>
        <w:spacing w:line="360" w:lineRule="auto" w:before="252"/>
        <w:ind w:left="222" w:right="224"/>
        <w:jc w:val="both"/>
      </w:pPr>
      <w:r>
        <w:rPr/>
        <w:t>Женщины с индексом массы тела более 30 составили 66%, что позволило проанализировать особенности выполнения операций различными доступами и течение послеоперационного периода у пациенток различных конституционных параметров (Табл.2.2).</w:t>
      </w:r>
    </w:p>
    <w:p>
      <w:pPr>
        <w:pStyle w:val="BodyText"/>
        <w:spacing w:line="350" w:lineRule="auto" w:before="5"/>
        <w:ind w:left="222" w:right="220" w:firstLine="347"/>
        <w:jc w:val="both"/>
      </w:pPr>
      <w:r>
        <w:rPr/>
        <w:t>Определение индекса массы тела для характеристики степени ожирения предложен в 1869 году Адольфом Кетеле. Индекс массы тела (Body Mass Index (BMI), ИМТ) это простое отношение веса (массы тела человека в кг) к росту (в</w:t>
      </w:r>
      <w:r>
        <w:rPr>
          <w:spacing w:val="-3"/>
        </w:rPr>
        <w:t> </w:t>
      </w:r>
      <w:r>
        <w:rPr/>
        <w:t>м</w:t>
      </w:r>
      <w:r>
        <w:rPr>
          <w:position w:val="13"/>
          <w:sz w:val="18"/>
        </w:rPr>
        <w:t>2</w:t>
      </w:r>
      <w:r>
        <w:rPr/>
        <w:t>).</w:t>
      </w:r>
    </w:p>
    <w:p>
      <w:pPr>
        <w:pStyle w:val="BodyText"/>
        <w:spacing w:line="321" w:lineRule="exact"/>
        <w:ind w:left="570"/>
      </w:pPr>
      <w:r>
        <w:rPr/>
        <w:t>По определению ВОЗ:</w:t>
      </w:r>
    </w:p>
    <w:p>
      <w:pPr>
        <w:pStyle w:val="ListParagraph"/>
        <w:numPr>
          <w:ilvl w:val="0"/>
          <w:numId w:val="16"/>
        </w:numPr>
        <w:tabs>
          <w:tab w:pos="503" w:val="left" w:leader="none"/>
        </w:tabs>
        <w:spacing w:line="240" w:lineRule="auto" w:before="160" w:after="0"/>
        <w:ind w:left="502" w:right="0" w:hanging="280"/>
        <w:jc w:val="both"/>
        <w:rPr>
          <w:sz w:val="28"/>
        </w:rPr>
      </w:pPr>
      <w:r>
        <w:rPr>
          <w:sz w:val="28"/>
        </w:rPr>
        <w:t>ИМТ ≥ 25, соответствует избытку массы</w:t>
      </w:r>
      <w:r>
        <w:rPr>
          <w:spacing w:val="-7"/>
          <w:sz w:val="28"/>
        </w:rPr>
        <w:t> </w:t>
      </w:r>
      <w:r>
        <w:rPr>
          <w:sz w:val="28"/>
        </w:rPr>
        <w:t>тела.</w:t>
      </w:r>
    </w:p>
    <w:p>
      <w:pPr>
        <w:pStyle w:val="ListParagraph"/>
        <w:numPr>
          <w:ilvl w:val="0"/>
          <w:numId w:val="16"/>
        </w:numPr>
        <w:tabs>
          <w:tab w:pos="503" w:val="left" w:leader="none"/>
        </w:tabs>
        <w:spacing w:line="240" w:lineRule="auto" w:before="162" w:after="0"/>
        <w:ind w:left="502" w:right="0" w:hanging="280"/>
        <w:jc w:val="both"/>
        <w:rPr>
          <w:sz w:val="28"/>
        </w:rPr>
      </w:pPr>
      <w:r>
        <w:rPr>
          <w:sz w:val="28"/>
        </w:rPr>
        <w:t>ИМТ ≥ 30, соответствует</w:t>
      </w:r>
      <w:r>
        <w:rPr>
          <w:spacing w:val="-9"/>
          <w:sz w:val="28"/>
        </w:rPr>
        <w:t> </w:t>
      </w:r>
      <w:r>
        <w:rPr>
          <w:sz w:val="28"/>
        </w:rPr>
        <w:t>ожирению.</w:t>
      </w:r>
    </w:p>
    <w:p>
      <w:pPr>
        <w:pStyle w:val="BodyText"/>
        <w:tabs>
          <w:tab w:pos="5315" w:val="left" w:leader="none"/>
        </w:tabs>
        <w:spacing w:before="123"/>
        <w:ind w:left="222"/>
        <w:jc w:val="both"/>
      </w:pPr>
      <w:r>
        <w:rPr/>
        <w:t>Расчёт производится</w:t>
      </w:r>
      <w:r>
        <w:rPr>
          <w:spacing w:val="-3"/>
        </w:rPr>
        <w:t> </w:t>
      </w:r>
      <w:r>
        <w:rPr/>
        <w:t>по</w:t>
      </w:r>
      <w:r>
        <w:rPr>
          <w:spacing w:val="-4"/>
        </w:rPr>
        <w:t> </w:t>
      </w:r>
      <w:r>
        <w:rPr/>
        <w:t>формуле:</w:t>
        <w:tab/>
        <w:t>I =</w:t>
      </w:r>
      <w:r>
        <w:rPr>
          <w:spacing w:val="1"/>
        </w:rPr>
        <w:t> </w:t>
      </w:r>
      <w:r>
        <w:rPr/>
        <w:t>m/h</w:t>
      </w:r>
      <w:r>
        <w:rPr>
          <w:position w:val="13"/>
          <w:sz w:val="18"/>
        </w:rPr>
        <w:t>2</w:t>
      </w:r>
      <w:r>
        <w:rPr/>
        <w:t>,</w:t>
      </w:r>
    </w:p>
    <w:p>
      <w:pPr>
        <w:pStyle w:val="BodyText"/>
        <w:tabs>
          <w:tab w:pos="5591" w:val="left" w:leader="none"/>
        </w:tabs>
        <w:spacing w:before="160"/>
        <w:ind w:left="222"/>
        <w:jc w:val="both"/>
      </w:pPr>
      <w:r>
        <w:rPr/>
        <w:t>где       m – масса тела</w:t>
      </w:r>
      <w:r>
        <w:rPr>
          <w:spacing w:val="-5"/>
        </w:rPr>
        <w:t> </w:t>
      </w:r>
      <w:r>
        <w:rPr/>
        <w:t>в</w:t>
      </w:r>
      <w:r>
        <w:rPr>
          <w:spacing w:val="-1"/>
        </w:rPr>
        <w:t> </w:t>
      </w:r>
      <w:r>
        <w:rPr/>
        <w:t>килограммах,</w:t>
        <w:tab/>
        <w:t>h – рост в</w:t>
      </w:r>
      <w:r>
        <w:rPr>
          <w:spacing w:val="-3"/>
        </w:rPr>
        <w:t> </w:t>
      </w:r>
      <w:r>
        <w:rPr/>
        <w:t>метрах</w:t>
      </w:r>
    </w:p>
    <w:p>
      <w:pPr>
        <w:pStyle w:val="BodyText"/>
        <w:rPr>
          <w:sz w:val="30"/>
        </w:rPr>
      </w:pPr>
    </w:p>
    <w:p>
      <w:pPr>
        <w:pStyle w:val="BodyText"/>
        <w:spacing w:before="1"/>
        <w:rPr>
          <w:sz w:val="26"/>
        </w:rPr>
      </w:pPr>
    </w:p>
    <w:p>
      <w:pPr>
        <w:pStyle w:val="BodyText"/>
        <w:spacing w:line="360" w:lineRule="auto"/>
        <w:ind w:left="322" w:right="207" w:firstLine="7549"/>
      </w:pPr>
      <w:r>
        <w:rPr/>
        <w:t>Таблица 2.2 Интерпретация показателей массы тела в соответствии с рекомендациями</w:t>
      </w:r>
    </w:p>
    <w:p>
      <w:pPr>
        <w:pStyle w:val="BodyText"/>
        <w:spacing w:before="4"/>
        <w:ind w:left="3797" w:right="3800"/>
        <w:jc w:val="center"/>
      </w:pPr>
      <w:r>
        <w:rPr/>
        <w:t>ВОЗ</w:t>
      </w:r>
    </w:p>
    <w:p>
      <w:pPr>
        <w:pStyle w:val="BodyText"/>
        <w:spacing w:before="5" w:after="1"/>
        <w:rPr>
          <w:sz w:val="14"/>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7"/>
        <w:gridCol w:w="5663"/>
      </w:tblGrid>
      <w:tr>
        <w:trPr>
          <w:trHeight w:val="950" w:hRule="exact"/>
        </w:trPr>
        <w:tc>
          <w:tcPr>
            <w:tcW w:w="3627" w:type="dxa"/>
          </w:tcPr>
          <w:p>
            <w:pPr>
              <w:pStyle w:val="TableParagraph"/>
              <w:spacing w:line="317" w:lineRule="exact"/>
              <w:ind w:left="103"/>
              <w:rPr>
                <w:sz w:val="28"/>
              </w:rPr>
            </w:pPr>
            <w:r>
              <w:rPr>
                <w:sz w:val="28"/>
              </w:rPr>
              <w:t>Индекс массы тела</w:t>
            </w:r>
          </w:p>
        </w:tc>
        <w:tc>
          <w:tcPr>
            <w:tcW w:w="5663" w:type="dxa"/>
          </w:tcPr>
          <w:p>
            <w:pPr>
              <w:pStyle w:val="TableParagraph"/>
              <w:spacing w:line="276" w:lineRule="auto"/>
              <w:ind w:left="103"/>
              <w:rPr>
                <w:sz w:val="28"/>
              </w:rPr>
            </w:pPr>
            <w:r>
              <w:rPr>
                <w:sz w:val="28"/>
              </w:rPr>
              <w:t>Соответствие между массой человека и его ростом</w:t>
            </w:r>
          </w:p>
        </w:tc>
      </w:tr>
      <w:tr>
        <w:trPr>
          <w:trHeight w:val="581" w:hRule="exact"/>
        </w:trPr>
        <w:tc>
          <w:tcPr>
            <w:tcW w:w="3627" w:type="dxa"/>
          </w:tcPr>
          <w:p>
            <w:pPr>
              <w:pStyle w:val="TableParagraph"/>
              <w:spacing w:line="317" w:lineRule="exact"/>
              <w:ind w:left="103"/>
              <w:rPr>
                <w:sz w:val="28"/>
              </w:rPr>
            </w:pPr>
            <w:r>
              <w:rPr>
                <w:sz w:val="28"/>
              </w:rPr>
              <w:t>16,5 и ниже</w:t>
            </w:r>
          </w:p>
        </w:tc>
        <w:tc>
          <w:tcPr>
            <w:tcW w:w="5663" w:type="dxa"/>
          </w:tcPr>
          <w:p>
            <w:pPr>
              <w:pStyle w:val="TableParagraph"/>
              <w:spacing w:line="317" w:lineRule="exact"/>
              <w:ind w:left="103"/>
              <w:rPr>
                <w:sz w:val="28"/>
              </w:rPr>
            </w:pPr>
            <w:r>
              <w:rPr>
                <w:sz w:val="28"/>
              </w:rPr>
              <w:t>Выраженный дефицит массы</w:t>
            </w:r>
          </w:p>
        </w:tc>
      </w:tr>
      <w:tr>
        <w:trPr>
          <w:trHeight w:val="581" w:hRule="exact"/>
        </w:trPr>
        <w:tc>
          <w:tcPr>
            <w:tcW w:w="3627" w:type="dxa"/>
          </w:tcPr>
          <w:p>
            <w:pPr>
              <w:pStyle w:val="TableParagraph"/>
              <w:spacing w:line="315" w:lineRule="exact"/>
              <w:ind w:left="103"/>
              <w:rPr>
                <w:sz w:val="28"/>
              </w:rPr>
            </w:pPr>
            <w:r>
              <w:rPr>
                <w:sz w:val="28"/>
              </w:rPr>
              <w:t>16,5 – 18,49</w:t>
            </w:r>
          </w:p>
        </w:tc>
        <w:tc>
          <w:tcPr>
            <w:tcW w:w="5663" w:type="dxa"/>
          </w:tcPr>
          <w:p>
            <w:pPr>
              <w:pStyle w:val="TableParagraph"/>
              <w:spacing w:line="315" w:lineRule="exact"/>
              <w:ind w:left="103"/>
              <w:rPr>
                <w:sz w:val="28"/>
              </w:rPr>
            </w:pPr>
            <w:r>
              <w:rPr>
                <w:sz w:val="28"/>
              </w:rPr>
              <w:t>Недостаточная (дефицит) масса тела</w:t>
            </w:r>
          </w:p>
        </w:tc>
      </w:tr>
      <w:tr>
        <w:trPr>
          <w:trHeight w:val="581" w:hRule="exact"/>
        </w:trPr>
        <w:tc>
          <w:tcPr>
            <w:tcW w:w="3627" w:type="dxa"/>
          </w:tcPr>
          <w:p>
            <w:pPr>
              <w:pStyle w:val="TableParagraph"/>
              <w:spacing w:line="315" w:lineRule="exact"/>
              <w:ind w:left="103"/>
              <w:rPr>
                <w:sz w:val="28"/>
              </w:rPr>
            </w:pPr>
            <w:r>
              <w:rPr>
                <w:sz w:val="28"/>
              </w:rPr>
              <w:t>18,5 – 24,99</w:t>
            </w:r>
          </w:p>
        </w:tc>
        <w:tc>
          <w:tcPr>
            <w:tcW w:w="5663" w:type="dxa"/>
          </w:tcPr>
          <w:p>
            <w:pPr>
              <w:pStyle w:val="TableParagraph"/>
              <w:spacing w:line="315" w:lineRule="exact"/>
              <w:ind w:left="103"/>
              <w:rPr>
                <w:sz w:val="28"/>
              </w:rPr>
            </w:pPr>
            <w:r>
              <w:rPr>
                <w:sz w:val="28"/>
              </w:rPr>
              <w:t>Нормальный вес</w:t>
            </w:r>
          </w:p>
        </w:tc>
      </w:tr>
      <w:tr>
        <w:trPr>
          <w:trHeight w:val="581" w:hRule="exact"/>
        </w:trPr>
        <w:tc>
          <w:tcPr>
            <w:tcW w:w="3627" w:type="dxa"/>
          </w:tcPr>
          <w:p>
            <w:pPr>
              <w:pStyle w:val="TableParagraph"/>
              <w:spacing w:line="315" w:lineRule="exact"/>
              <w:ind w:left="103"/>
              <w:rPr>
                <w:sz w:val="28"/>
              </w:rPr>
            </w:pPr>
            <w:r>
              <w:rPr>
                <w:sz w:val="28"/>
              </w:rPr>
              <w:t>25 – 29,99</w:t>
            </w:r>
          </w:p>
        </w:tc>
        <w:tc>
          <w:tcPr>
            <w:tcW w:w="5663" w:type="dxa"/>
          </w:tcPr>
          <w:p>
            <w:pPr>
              <w:pStyle w:val="TableParagraph"/>
              <w:spacing w:line="315" w:lineRule="exact"/>
              <w:ind w:left="103"/>
              <w:rPr>
                <w:sz w:val="28"/>
              </w:rPr>
            </w:pPr>
            <w:r>
              <w:rPr>
                <w:sz w:val="28"/>
              </w:rPr>
              <w:t>Избыточная масса тела (предожирение)</w:t>
            </w:r>
          </w:p>
        </w:tc>
      </w:tr>
      <w:tr>
        <w:trPr>
          <w:trHeight w:val="578" w:hRule="exact"/>
        </w:trPr>
        <w:tc>
          <w:tcPr>
            <w:tcW w:w="3627" w:type="dxa"/>
          </w:tcPr>
          <w:p>
            <w:pPr>
              <w:pStyle w:val="TableParagraph"/>
              <w:spacing w:line="315" w:lineRule="exact"/>
              <w:ind w:left="103"/>
              <w:rPr>
                <w:sz w:val="28"/>
              </w:rPr>
            </w:pPr>
            <w:r>
              <w:rPr>
                <w:sz w:val="28"/>
              </w:rPr>
              <w:t>30 – 34,99</w:t>
            </w:r>
          </w:p>
        </w:tc>
        <w:tc>
          <w:tcPr>
            <w:tcW w:w="5663" w:type="dxa"/>
          </w:tcPr>
          <w:p>
            <w:pPr>
              <w:pStyle w:val="TableParagraph"/>
              <w:spacing w:line="315" w:lineRule="exact"/>
              <w:ind w:left="103"/>
              <w:rPr>
                <w:sz w:val="28"/>
              </w:rPr>
            </w:pPr>
            <w:r>
              <w:rPr>
                <w:sz w:val="28"/>
              </w:rPr>
              <w:t>Ожирение первой степени</w:t>
            </w:r>
          </w:p>
        </w:tc>
      </w:tr>
      <w:tr>
        <w:trPr>
          <w:trHeight w:val="581" w:hRule="exact"/>
        </w:trPr>
        <w:tc>
          <w:tcPr>
            <w:tcW w:w="3627" w:type="dxa"/>
          </w:tcPr>
          <w:p>
            <w:pPr>
              <w:pStyle w:val="TableParagraph"/>
              <w:spacing w:line="315" w:lineRule="exact"/>
              <w:ind w:left="103"/>
              <w:rPr>
                <w:sz w:val="28"/>
              </w:rPr>
            </w:pPr>
            <w:r>
              <w:rPr>
                <w:sz w:val="28"/>
              </w:rPr>
              <w:t>35 – 39,99</w:t>
            </w:r>
          </w:p>
        </w:tc>
        <w:tc>
          <w:tcPr>
            <w:tcW w:w="5663" w:type="dxa"/>
          </w:tcPr>
          <w:p>
            <w:pPr>
              <w:pStyle w:val="TableParagraph"/>
              <w:spacing w:line="315" w:lineRule="exact"/>
              <w:ind w:left="103"/>
              <w:rPr>
                <w:sz w:val="28"/>
              </w:rPr>
            </w:pPr>
            <w:r>
              <w:rPr>
                <w:sz w:val="28"/>
              </w:rPr>
              <w:t>Ожирение второй степени</w:t>
            </w:r>
          </w:p>
        </w:tc>
      </w:tr>
      <w:tr>
        <w:trPr>
          <w:trHeight w:val="581" w:hRule="exact"/>
        </w:trPr>
        <w:tc>
          <w:tcPr>
            <w:tcW w:w="3627" w:type="dxa"/>
          </w:tcPr>
          <w:p>
            <w:pPr>
              <w:pStyle w:val="TableParagraph"/>
              <w:spacing w:line="315" w:lineRule="exact"/>
              <w:ind w:left="103"/>
              <w:rPr>
                <w:sz w:val="28"/>
              </w:rPr>
            </w:pPr>
            <w:r>
              <w:rPr>
                <w:sz w:val="28"/>
              </w:rPr>
              <w:t>40 и более</w:t>
            </w:r>
          </w:p>
        </w:tc>
        <w:tc>
          <w:tcPr>
            <w:tcW w:w="5663" w:type="dxa"/>
          </w:tcPr>
          <w:p>
            <w:pPr>
              <w:pStyle w:val="TableParagraph"/>
              <w:spacing w:line="315" w:lineRule="exact"/>
              <w:ind w:left="103"/>
              <w:rPr>
                <w:sz w:val="28"/>
              </w:rPr>
            </w:pPr>
            <w:r>
              <w:rPr>
                <w:sz w:val="28"/>
              </w:rPr>
              <w:t>Ожирение третьей степени</w:t>
            </w:r>
          </w:p>
        </w:tc>
      </w:tr>
    </w:tbl>
    <w:p>
      <w:pPr>
        <w:spacing w:after="0" w:line="315" w:lineRule="exact"/>
        <w:rPr>
          <w:sz w:val="28"/>
        </w:rPr>
        <w:sectPr>
          <w:pgSz w:w="11900" w:h="16850"/>
          <w:pgMar w:header="712" w:footer="0" w:top="1020" w:bottom="280" w:left="1480" w:right="900"/>
        </w:sectPr>
      </w:pPr>
    </w:p>
    <w:p>
      <w:pPr>
        <w:pStyle w:val="BodyText"/>
        <w:rPr>
          <w:sz w:val="20"/>
        </w:rPr>
      </w:pPr>
    </w:p>
    <w:p>
      <w:pPr>
        <w:pStyle w:val="BodyText"/>
        <w:spacing w:line="360" w:lineRule="auto" w:before="252"/>
        <w:ind w:left="102" w:right="102"/>
        <w:jc w:val="both"/>
      </w:pPr>
      <w:r>
        <w:rPr/>
        <w:t>Избыточный вес, которым  страдали  более  половины  женщин значительно усложнял хирургическое вмешательство независимо от выбранного доступа.</w:t>
      </w:r>
    </w:p>
    <w:p>
      <w:pPr>
        <w:pStyle w:val="BodyText"/>
        <w:tabs>
          <w:tab w:pos="6798" w:val="left" w:leader="none"/>
        </w:tabs>
        <w:spacing w:before="5"/>
        <w:ind w:left="1722"/>
      </w:pPr>
      <w:r>
        <w:rPr/>
        <w:t>Рисунок</w:t>
      </w:r>
      <w:r>
        <w:rPr>
          <w:spacing w:val="-2"/>
        </w:rPr>
        <w:t> </w:t>
      </w:r>
      <w:r>
        <w:rPr/>
        <w:t>2.1</w:t>
        <w:tab/>
        <w:t>Рисунок</w:t>
      </w:r>
      <w:r>
        <w:rPr>
          <w:spacing w:val="-4"/>
        </w:rPr>
        <w:t> </w:t>
      </w:r>
      <w:r>
        <w:rPr/>
        <w:t>2.2</w:t>
      </w:r>
    </w:p>
    <w:p>
      <w:pPr>
        <w:pStyle w:val="BodyText"/>
        <w:tabs>
          <w:tab w:pos="5387" w:val="left" w:leader="none"/>
          <w:tab w:pos="5985" w:val="left" w:leader="none"/>
        </w:tabs>
        <w:spacing w:line="362" w:lineRule="auto" w:before="160"/>
        <w:ind w:left="102" w:right="102"/>
        <w:jc w:val="both"/>
      </w:pPr>
      <w:r>
        <w:rPr/>
        <w:t>Высокодифференцированная</w:t>
        <w:tab/>
      </w:r>
      <w:r>
        <w:rPr>
          <w:spacing w:val="-1"/>
        </w:rPr>
        <w:t>Умереннодифференцированная </w:t>
      </w:r>
      <w:r>
        <w:rPr/>
        <w:t>аденокарцинома.</w:t>
        <w:tab/>
        <w:tab/>
        <w:t>аденокарцинома.</w:t>
      </w:r>
    </w:p>
    <w:p>
      <w:pPr>
        <w:pStyle w:val="BodyText"/>
        <w:rPr>
          <w:sz w:val="20"/>
        </w:rPr>
      </w:pPr>
    </w:p>
    <w:p>
      <w:pPr>
        <w:pStyle w:val="BodyText"/>
        <w:spacing w:before="3"/>
        <w:rPr>
          <w:sz w:val="13"/>
        </w:rPr>
      </w:pPr>
      <w:r>
        <w:rPr/>
        <w:drawing>
          <wp:anchor distT="0" distB="0" distL="0" distR="0" allowOverlap="1" layoutInCell="1" locked="0" behindDoc="0" simplePos="0" relativeHeight="1336">
            <wp:simplePos x="0" y="0"/>
            <wp:positionH relativeFrom="page">
              <wp:posOffset>1232535</wp:posOffset>
            </wp:positionH>
            <wp:positionV relativeFrom="paragraph">
              <wp:posOffset>123444</wp:posOffset>
            </wp:positionV>
            <wp:extent cx="1594871" cy="2308860"/>
            <wp:effectExtent l="0" t="0" r="0" b="0"/>
            <wp:wrapTopAndBottom/>
            <wp:docPr id="1" name="image8.jpeg" descr=""/>
            <wp:cNvGraphicFramePr>
              <a:graphicFrameLocks noChangeAspect="1"/>
            </wp:cNvGraphicFramePr>
            <a:graphic>
              <a:graphicData uri="http://schemas.openxmlformats.org/drawingml/2006/picture">
                <pic:pic>
                  <pic:nvPicPr>
                    <pic:cNvPr id="2" name="image8.jpeg"/>
                    <pic:cNvPicPr/>
                  </pic:nvPicPr>
                  <pic:blipFill>
                    <a:blip r:embed="rId13" cstate="print"/>
                    <a:stretch>
                      <a:fillRect/>
                    </a:stretch>
                  </pic:blipFill>
                  <pic:spPr>
                    <a:xfrm>
                      <a:off x="0" y="0"/>
                      <a:ext cx="1594871" cy="2308860"/>
                    </a:xfrm>
                    <a:prstGeom prst="rect">
                      <a:avLst/>
                    </a:prstGeom>
                  </pic:spPr>
                </pic:pic>
              </a:graphicData>
            </a:graphic>
          </wp:anchor>
        </w:drawing>
      </w:r>
      <w:r>
        <w:rPr/>
        <w:drawing>
          <wp:anchor distT="0" distB="0" distL="0" distR="0" allowOverlap="1" layoutInCell="1" locked="0" behindDoc="0" simplePos="0" relativeHeight="1360">
            <wp:simplePos x="0" y="0"/>
            <wp:positionH relativeFrom="page">
              <wp:posOffset>4471415</wp:posOffset>
            </wp:positionH>
            <wp:positionV relativeFrom="paragraph">
              <wp:posOffset>121920</wp:posOffset>
            </wp:positionV>
            <wp:extent cx="1579374" cy="2334387"/>
            <wp:effectExtent l="0" t="0" r="0" b="0"/>
            <wp:wrapTopAndBottom/>
            <wp:docPr id="3" name="image9.jpeg" descr=""/>
            <wp:cNvGraphicFramePr>
              <a:graphicFrameLocks noChangeAspect="1"/>
            </wp:cNvGraphicFramePr>
            <a:graphic>
              <a:graphicData uri="http://schemas.openxmlformats.org/drawingml/2006/picture">
                <pic:pic>
                  <pic:nvPicPr>
                    <pic:cNvPr id="4" name="image9.jpeg"/>
                    <pic:cNvPicPr/>
                  </pic:nvPicPr>
                  <pic:blipFill>
                    <a:blip r:embed="rId14" cstate="print"/>
                    <a:stretch>
                      <a:fillRect/>
                    </a:stretch>
                  </pic:blipFill>
                  <pic:spPr>
                    <a:xfrm>
                      <a:off x="0" y="0"/>
                      <a:ext cx="1579374" cy="2334387"/>
                    </a:xfrm>
                    <a:prstGeom prst="rect">
                      <a:avLst/>
                    </a:prstGeom>
                  </pic:spPr>
                </pic:pic>
              </a:graphicData>
            </a:graphic>
          </wp:anchor>
        </w:drawing>
      </w:r>
    </w:p>
    <w:p>
      <w:pPr>
        <w:pStyle w:val="BodyText"/>
        <w:tabs>
          <w:tab w:pos="6558" w:val="left" w:leader="none"/>
        </w:tabs>
        <w:spacing w:before="68"/>
        <w:ind w:left="1241"/>
      </w:pPr>
      <w:r>
        <w:rPr/>
        <w:t>Рисунок</w:t>
      </w:r>
      <w:r>
        <w:rPr>
          <w:spacing w:val="-4"/>
        </w:rPr>
        <w:t> </w:t>
      </w:r>
      <w:r>
        <w:rPr/>
        <w:t>2.3</w:t>
        <w:tab/>
        <w:t>Рисунок</w:t>
      </w:r>
      <w:r>
        <w:rPr>
          <w:spacing w:val="-5"/>
        </w:rPr>
        <w:t> </w:t>
      </w:r>
      <w:r>
        <w:rPr/>
        <w:t>2.4</w:t>
      </w:r>
    </w:p>
    <w:p>
      <w:pPr>
        <w:pStyle w:val="BodyText"/>
        <w:tabs>
          <w:tab w:pos="5661" w:val="left" w:leader="none"/>
        </w:tabs>
        <w:spacing w:before="162"/>
        <w:ind w:left="109"/>
        <w:jc w:val="both"/>
      </w:pPr>
      <w:r>
        <w:rPr/>
        <w:t>Низкодифференцированная</w:t>
        <w:tab/>
        <w:t>Серозная –</w:t>
      </w:r>
      <w:r>
        <w:rPr>
          <w:spacing w:val="-5"/>
        </w:rPr>
        <w:t> </w:t>
      </w:r>
      <w:r>
        <w:rPr/>
        <w:t>папиллярная</w:t>
      </w:r>
    </w:p>
    <w:p>
      <w:pPr>
        <w:pStyle w:val="BodyText"/>
        <w:tabs>
          <w:tab w:pos="5812" w:val="left" w:leader="none"/>
        </w:tabs>
        <w:spacing w:before="160"/>
        <w:ind w:left="109"/>
        <w:jc w:val="both"/>
      </w:pPr>
      <w:r>
        <w:rPr/>
        <w:t>аденокарцинома.</w:t>
        <w:tab/>
        <w:t>аденокарцинома.</w:t>
      </w:r>
    </w:p>
    <w:p>
      <w:pPr>
        <w:pStyle w:val="BodyText"/>
        <w:rPr>
          <w:sz w:val="20"/>
        </w:rPr>
      </w:pPr>
    </w:p>
    <w:p>
      <w:pPr>
        <w:pStyle w:val="BodyText"/>
        <w:spacing w:before="7"/>
        <w:rPr>
          <w:sz w:val="22"/>
        </w:rPr>
      </w:pPr>
      <w:r>
        <w:rPr/>
        <w:drawing>
          <wp:anchor distT="0" distB="0" distL="0" distR="0" allowOverlap="1" layoutInCell="1" locked="0" behindDoc="0" simplePos="0" relativeHeight="1384">
            <wp:simplePos x="0" y="0"/>
            <wp:positionH relativeFrom="page">
              <wp:posOffset>1194435</wp:posOffset>
            </wp:positionH>
            <wp:positionV relativeFrom="paragraph">
              <wp:posOffset>190029</wp:posOffset>
            </wp:positionV>
            <wp:extent cx="1599810" cy="2606040"/>
            <wp:effectExtent l="0" t="0" r="0" b="0"/>
            <wp:wrapTopAndBottom/>
            <wp:docPr id="5" name="image10.jpeg" descr=""/>
            <wp:cNvGraphicFramePr>
              <a:graphicFrameLocks noChangeAspect="1"/>
            </wp:cNvGraphicFramePr>
            <a:graphic>
              <a:graphicData uri="http://schemas.openxmlformats.org/drawingml/2006/picture">
                <pic:pic>
                  <pic:nvPicPr>
                    <pic:cNvPr id="6" name="image10.jpeg"/>
                    <pic:cNvPicPr/>
                  </pic:nvPicPr>
                  <pic:blipFill>
                    <a:blip r:embed="rId15" cstate="print"/>
                    <a:stretch>
                      <a:fillRect/>
                    </a:stretch>
                  </pic:blipFill>
                  <pic:spPr>
                    <a:xfrm>
                      <a:off x="0" y="0"/>
                      <a:ext cx="1599810" cy="2606040"/>
                    </a:xfrm>
                    <a:prstGeom prst="rect">
                      <a:avLst/>
                    </a:prstGeom>
                  </pic:spPr>
                </pic:pic>
              </a:graphicData>
            </a:graphic>
          </wp:anchor>
        </w:drawing>
      </w:r>
      <w:r>
        <w:rPr/>
        <w:drawing>
          <wp:anchor distT="0" distB="0" distL="0" distR="0" allowOverlap="1" layoutInCell="1" locked="0" behindDoc="0" simplePos="0" relativeHeight="1408">
            <wp:simplePos x="0" y="0"/>
            <wp:positionH relativeFrom="page">
              <wp:posOffset>4642484</wp:posOffset>
            </wp:positionH>
            <wp:positionV relativeFrom="paragraph">
              <wp:posOffset>584364</wp:posOffset>
            </wp:positionV>
            <wp:extent cx="1599840" cy="2354580"/>
            <wp:effectExtent l="0" t="0" r="0" b="0"/>
            <wp:wrapTopAndBottom/>
            <wp:docPr id="7" name="image11.jpeg" descr=""/>
            <wp:cNvGraphicFramePr>
              <a:graphicFrameLocks noChangeAspect="1"/>
            </wp:cNvGraphicFramePr>
            <a:graphic>
              <a:graphicData uri="http://schemas.openxmlformats.org/drawingml/2006/picture">
                <pic:pic>
                  <pic:nvPicPr>
                    <pic:cNvPr id="8" name="image11.jpeg"/>
                    <pic:cNvPicPr/>
                  </pic:nvPicPr>
                  <pic:blipFill>
                    <a:blip r:embed="rId16" cstate="print"/>
                    <a:stretch>
                      <a:fillRect/>
                    </a:stretch>
                  </pic:blipFill>
                  <pic:spPr>
                    <a:xfrm>
                      <a:off x="0" y="0"/>
                      <a:ext cx="1599840" cy="2354580"/>
                    </a:xfrm>
                    <a:prstGeom prst="rect">
                      <a:avLst/>
                    </a:prstGeom>
                  </pic:spPr>
                </pic:pic>
              </a:graphicData>
            </a:graphic>
          </wp:anchor>
        </w:drawing>
      </w:r>
    </w:p>
    <w:p>
      <w:pPr>
        <w:pStyle w:val="BodyText"/>
        <w:spacing w:before="227"/>
        <w:ind w:left="1009"/>
      </w:pPr>
      <w:r>
        <w:rPr/>
        <w:t>(Окраска  гематоксилин-эозин ,  х 100).</w:t>
      </w:r>
    </w:p>
    <w:p>
      <w:pPr>
        <w:spacing w:after="0"/>
        <w:sectPr>
          <w:pgSz w:w="11900" w:h="16850"/>
          <w:pgMar w:header="712" w:footer="0" w:top="1020" w:bottom="280" w:left="1600" w:right="1020"/>
        </w:sectPr>
      </w:pPr>
    </w:p>
    <w:p>
      <w:pPr>
        <w:pStyle w:val="BodyText"/>
        <w:spacing w:before="4"/>
      </w:pPr>
    </w:p>
    <w:p>
      <w:pPr>
        <w:pStyle w:val="BodyText"/>
        <w:spacing w:line="360" w:lineRule="auto" w:before="89"/>
        <w:ind w:left="102" w:right="102" w:firstLine="719"/>
        <w:jc w:val="both"/>
      </w:pPr>
      <w:r>
        <w:rPr/>
        <w:t>При анализе распределения больных раком эндометрия по гистологическим типам установлено, что наиболее частым оказалась эндометриоидная аденокарцинома (89,1%) с преобладанием умеренной степени дифференцировки (Рис. 2.1-2.4). Наиболее редкими гистологическими формами оказались низкодифференцированная аденокарцинома (11,5%) и серозная папиллярная (2,3%).</w:t>
      </w:r>
    </w:p>
    <w:p>
      <w:pPr>
        <w:pStyle w:val="BodyText"/>
        <w:spacing w:line="360" w:lineRule="auto" w:before="5"/>
        <w:ind w:left="102" w:right="107" w:firstLine="719"/>
        <w:jc w:val="both"/>
      </w:pPr>
      <w:r>
        <w:rPr/>
        <w:t>Метастазы в регионарных лимфатических узлах встретились у 11% больных раком тела матки (Рис. 2.5).</w:t>
      </w:r>
    </w:p>
    <w:p>
      <w:pPr>
        <w:pStyle w:val="BodyText"/>
        <w:spacing w:before="6"/>
        <w:rPr>
          <w:sz w:val="42"/>
        </w:rPr>
      </w:pPr>
    </w:p>
    <w:p>
      <w:pPr>
        <w:pStyle w:val="BodyText"/>
        <w:spacing w:line="360" w:lineRule="auto" w:before="1"/>
        <w:ind w:left="1141" w:right="87" w:firstLine="6616"/>
      </w:pPr>
      <w:r>
        <w:rPr/>
        <w:t>Рисунок 2.5 Метастазы рака тела матки в подвздошные лимфатические узлы</w:t>
      </w:r>
    </w:p>
    <w:p>
      <w:pPr>
        <w:pStyle w:val="BodyText"/>
        <w:spacing w:before="7"/>
        <w:rPr>
          <w:sz w:val="22"/>
        </w:rPr>
      </w:pPr>
      <w:r>
        <w:rPr/>
        <w:drawing>
          <wp:anchor distT="0" distB="0" distL="0" distR="0" allowOverlap="1" layoutInCell="1" locked="0" behindDoc="0" simplePos="0" relativeHeight="1432">
            <wp:simplePos x="0" y="0"/>
            <wp:positionH relativeFrom="page">
              <wp:posOffset>1303218</wp:posOffset>
            </wp:positionH>
            <wp:positionV relativeFrom="paragraph">
              <wp:posOffset>224836</wp:posOffset>
            </wp:positionV>
            <wp:extent cx="1867831" cy="3128010"/>
            <wp:effectExtent l="0" t="0" r="0" b="0"/>
            <wp:wrapTopAndBottom/>
            <wp:docPr id="9" name="image12.png" descr=""/>
            <wp:cNvGraphicFramePr>
              <a:graphicFrameLocks noChangeAspect="1"/>
            </wp:cNvGraphicFramePr>
            <a:graphic>
              <a:graphicData uri="http://schemas.openxmlformats.org/drawingml/2006/picture">
                <pic:pic>
                  <pic:nvPicPr>
                    <pic:cNvPr id="10" name="image12.png"/>
                    <pic:cNvPicPr/>
                  </pic:nvPicPr>
                  <pic:blipFill>
                    <a:blip r:embed="rId17" cstate="print"/>
                    <a:stretch>
                      <a:fillRect/>
                    </a:stretch>
                  </pic:blipFill>
                  <pic:spPr>
                    <a:xfrm>
                      <a:off x="0" y="0"/>
                      <a:ext cx="1867831" cy="3128010"/>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4852034</wp:posOffset>
            </wp:positionH>
            <wp:positionV relativeFrom="paragraph">
              <wp:posOffset>190165</wp:posOffset>
            </wp:positionV>
            <wp:extent cx="1968686" cy="3126962"/>
            <wp:effectExtent l="0" t="0" r="0" b="0"/>
            <wp:wrapTopAndBottom/>
            <wp:docPr id="11" name="image13.jpeg" descr=""/>
            <wp:cNvGraphicFramePr>
              <a:graphicFrameLocks noChangeAspect="1"/>
            </wp:cNvGraphicFramePr>
            <a:graphic>
              <a:graphicData uri="http://schemas.openxmlformats.org/drawingml/2006/picture">
                <pic:pic>
                  <pic:nvPicPr>
                    <pic:cNvPr id="12" name="image13.jpeg"/>
                    <pic:cNvPicPr/>
                  </pic:nvPicPr>
                  <pic:blipFill>
                    <a:blip r:embed="rId18" cstate="print"/>
                    <a:stretch>
                      <a:fillRect/>
                    </a:stretch>
                  </pic:blipFill>
                  <pic:spPr>
                    <a:xfrm>
                      <a:off x="0" y="0"/>
                      <a:ext cx="1968686" cy="3126962"/>
                    </a:xfrm>
                    <a:prstGeom prst="rect">
                      <a:avLst/>
                    </a:prstGeom>
                  </pic:spPr>
                </pic:pic>
              </a:graphicData>
            </a:graphic>
          </wp:anchor>
        </w:drawing>
      </w:r>
    </w:p>
    <w:p>
      <w:pPr>
        <w:pStyle w:val="BodyText"/>
        <w:tabs>
          <w:tab w:pos="7007" w:val="left" w:leader="none"/>
        </w:tabs>
        <w:spacing w:before="236"/>
        <w:ind w:left="821"/>
      </w:pPr>
      <w:r>
        <w:rPr/>
        <w:t>Макропрепарат</w:t>
        <w:tab/>
        <w:t>Микропрепарат</w:t>
      </w:r>
    </w:p>
    <w:p>
      <w:pPr>
        <w:pStyle w:val="BodyText"/>
        <w:tabs>
          <w:tab w:pos="4631" w:val="left" w:leader="none"/>
        </w:tabs>
        <w:spacing w:before="160"/>
        <w:ind w:left="821"/>
      </w:pPr>
      <w:r>
        <w:rPr/>
        <w:t>окраска гематоксилин</w:t>
      </w:r>
      <w:r>
        <w:rPr>
          <w:spacing w:val="-3"/>
        </w:rPr>
        <w:t> </w:t>
      </w:r>
      <w:r>
        <w:rPr/>
        <w:t>–</w:t>
      </w:r>
      <w:r>
        <w:rPr>
          <w:spacing w:val="-2"/>
        </w:rPr>
        <w:t> </w:t>
      </w:r>
      <w:r>
        <w:rPr/>
        <w:t>эозин</w:t>
        <w:tab/>
        <w:t>х</w:t>
      </w:r>
      <w:r>
        <w:rPr>
          <w:spacing w:val="-4"/>
        </w:rPr>
        <w:t> </w:t>
      </w:r>
      <w:r>
        <w:rPr/>
        <w:t>100.</w:t>
      </w:r>
    </w:p>
    <w:p>
      <w:pPr>
        <w:pStyle w:val="BodyText"/>
        <w:rPr>
          <w:sz w:val="30"/>
        </w:rPr>
      </w:pPr>
    </w:p>
    <w:p>
      <w:pPr>
        <w:pStyle w:val="BodyText"/>
        <w:spacing w:line="360" w:lineRule="auto" w:before="231"/>
        <w:ind w:left="102" w:right="100" w:firstLine="719"/>
        <w:jc w:val="both"/>
      </w:pPr>
      <w:r>
        <w:rPr/>
        <w:t>Разнообразные особенности организма и опухоли, а также применявшиеся методы лечения и его результаты в обеих группах пациенток подробно проанализированы в соответствующей главе исследования.</w:t>
      </w:r>
    </w:p>
    <w:p>
      <w:pPr>
        <w:spacing w:after="0" w:line="360" w:lineRule="auto"/>
        <w:jc w:val="both"/>
        <w:sectPr>
          <w:pgSz w:w="11900" w:h="16850"/>
          <w:pgMar w:header="712" w:footer="0" w:top="1020" w:bottom="280" w:left="1600" w:right="1020"/>
        </w:sectPr>
      </w:pPr>
    </w:p>
    <w:p>
      <w:pPr>
        <w:pStyle w:val="BodyText"/>
        <w:rPr>
          <w:sz w:val="20"/>
        </w:rPr>
      </w:pPr>
      <w:r>
        <w:rPr/>
        <w:drawing>
          <wp:anchor distT="0" distB="0" distL="0" distR="0" allowOverlap="1" layoutInCell="1" locked="0" behindDoc="1" simplePos="0" relativeHeight="268094927">
            <wp:simplePos x="0" y="0"/>
            <wp:positionH relativeFrom="page">
              <wp:posOffset>5605271</wp:posOffset>
            </wp:positionH>
            <wp:positionV relativeFrom="page">
              <wp:posOffset>8388350</wp:posOffset>
            </wp:positionV>
            <wp:extent cx="74549" cy="219075"/>
            <wp:effectExtent l="0" t="0" r="0" b="0"/>
            <wp:wrapNone/>
            <wp:docPr id="13" name="image14.png" descr=""/>
            <wp:cNvGraphicFramePr>
              <a:graphicFrameLocks noChangeAspect="1"/>
            </wp:cNvGraphicFramePr>
            <a:graphic>
              <a:graphicData uri="http://schemas.openxmlformats.org/drawingml/2006/picture">
                <pic:pic>
                  <pic:nvPicPr>
                    <pic:cNvPr id="14" name="image14.png"/>
                    <pic:cNvPicPr/>
                  </pic:nvPicPr>
                  <pic:blipFill>
                    <a:blip r:embed="rId19" cstate="print"/>
                    <a:stretch>
                      <a:fillRect/>
                    </a:stretch>
                  </pic:blipFill>
                  <pic:spPr>
                    <a:xfrm>
                      <a:off x="0" y="0"/>
                      <a:ext cx="74549" cy="219075"/>
                    </a:xfrm>
                    <a:prstGeom prst="rect">
                      <a:avLst/>
                    </a:prstGeom>
                  </pic:spPr>
                </pic:pic>
              </a:graphicData>
            </a:graphic>
          </wp:anchor>
        </w:drawing>
      </w:r>
    </w:p>
    <w:p>
      <w:pPr>
        <w:pStyle w:val="BodyText"/>
        <w:rPr>
          <w:sz w:val="20"/>
        </w:rPr>
      </w:pPr>
    </w:p>
    <w:p>
      <w:pPr>
        <w:pStyle w:val="BodyText"/>
        <w:rPr>
          <w:sz w:val="20"/>
        </w:rPr>
      </w:pPr>
    </w:p>
    <w:p>
      <w:pPr>
        <w:pStyle w:val="BodyText"/>
        <w:spacing w:before="4"/>
        <w:rPr>
          <w:sz w:val="16"/>
        </w:rPr>
      </w:pPr>
    </w:p>
    <w:p>
      <w:pPr>
        <w:pStyle w:val="BodyText"/>
        <w:spacing w:before="89"/>
        <w:ind w:left="3713" w:right="4065"/>
        <w:jc w:val="center"/>
      </w:pPr>
      <w:r>
        <w:rPr/>
        <w:t>Рак шейки матки</w:t>
      </w:r>
    </w:p>
    <w:p>
      <w:pPr>
        <w:pStyle w:val="BodyText"/>
        <w:rPr>
          <w:sz w:val="30"/>
        </w:rPr>
      </w:pPr>
    </w:p>
    <w:p>
      <w:pPr>
        <w:pStyle w:val="BodyText"/>
        <w:spacing w:before="10"/>
        <w:rPr>
          <w:sz w:val="25"/>
        </w:rPr>
      </w:pPr>
    </w:p>
    <w:p>
      <w:pPr>
        <w:pStyle w:val="BodyText"/>
        <w:spacing w:line="360" w:lineRule="auto"/>
        <w:ind w:left="302" w:right="476" w:firstLine="556"/>
        <w:jc w:val="both"/>
      </w:pPr>
      <w:r>
        <w:rPr/>
        <w:t>В первую группу вошли 57 больных раком шейки матки IB – III стадии, которым до начала комбинированного лечения выполнены операции хирургического стадирования. Объем операции заключался в тщательной ревизии органов брюшной полости, выполнении при необходимости биопсии брюшины и цитологических смывов, парааортальной и в ряде случаев подвздошной лимфодиссекции.</w:t>
      </w:r>
    </w:p>
    <w:p>
      <w:pPr>
        <w:pStyle w:val="BodyText"/>
        <w:spacing w:line="360" w:lineRule="auto" w:before="5"/>
        <w:ind w:left="302" w:right="476" w:firstLine="417"/>
        <w:jc w:val="both"/>
      </w:pPr>
      <w:r>
        <w:rPr/>
        <w:t>На следующем рисунке представлена схема лечения больных местно- распространенным РШМ, применяемая в НИИ онкологии  им.  Н.Н.Петрова (Рис.</w:t>
      </w:r>
      <w:r>
        <w:rPr>
          <w:spacing w:val="-4"/>
        </w:rPr>
        <w:t> </w:t>
      </w:r>
      <w:r>
        <w:rPr/>
        <w:t>2.6).</w:t>
      </w:r>
    </w:p>
    <w:p>
      <w:pPr>
        <w:pStyle w:val="BodyText"/>
        <w:rPr>
          <w:sz w:val="20"/>
        </w:rPr>
      </w:pPr>
    </w:p>
    <w:p>
      <w:pPr>
        <w:pStyle w:val="BodyText"/>
        <w:spacing w:before="257"/>
        <w:ind w:right="482"/>
        <w:jc w:val="right"/>
      </w:pPr>
      <w:r>
        <w:rPr/>
        <w:t>Рисунок 2.6</w:t>
      </w:r>
    </w:p>
    <w:p>
      <w:pPr>
        <w:pStyle w:val="BodyText"/>
        <w:spacing w:before="162"/>
        <w:ind w:left="2145"/>
      </w:pPr>
      <w:r>
        <w:rPr/>
        <w:t>Схема лечения больных РШМ IB2-III стадии</w:t>
      </w:r>
    </w:p>
    <w:p>
      <w:pPr>
        <w:pStyle w:val="BodyText"/>
        <w:rPr>
          <w:sz w:val="20"/>
        </w:rPr>
      </w:pPr>
    </w:p>
    <w:p>
      <w:pPr>
        <w:pStyle w:val="BodyText"/>
        <w:rPr>
          <w:sz w:val="20"/>
        </w:rPr>
      </w:pPr>
    </w:p>
    <w:p>
      <w:pPr>
        <w:pStyle w:val="BodyText"/>
        <w:rPr>
          <w:sz w:val="20"/>
        </w:rPr>
      </w:pPr>
      <w:r>
        <w:rPr/>
        <w:pict>
          <v:shape style="position:absolute;margin-left:94.050003pt;margin-top:13.895918pt;width:432pt;height:36pt;mso-position-horizontal-relative:page;mso-position-vertical-relative:paragraph;z-index:1480;mso-wrap-distance-left:0;mso-wrap-distance-right:0" type="#_x0000_t202" filled="false" stroked="true" strokeweight=".75pt" strokecolor="#000000">
            <v:textbox inset="0,0,0,0">
              <w:txbxContent>
                <w:p>
                  <w:pPr>
                    <w:pStyle w:val="BodyText"/>
                    <w:spacing w:before="67"/>
                    <w:ind w:left="3580" w:right="3578"/>
                    <w:jc w:val="center"/>
                  </w:pPr>
                  <w:r>
                    <w:rPr/>
                    <w:t>РШМ TIB-3</w:t>
                  </w:r>
                </w:p>
              </w:txbxContent>
            </v:textbox>
            <v:stroke dashstyle="solid"/>
            <w10:wrap type="topAndBottom"/>
          </v:shape>
        </w:pict>
      </w:r>
    </w:p>
    <w:p>
      <w:pPr>
        <w:pStyle w:val="BodyText"/>
        <w:rPr>
          <w:sz w:val="20"/>
        </w:rPr>
      </w:pPr>
    </w:p>
    <w:p>
      <w:pPr>
        <w:pStyle w:val="BodyText"/>
        <w:spacing w:before="1"/>
        <w:rPr>
          <w:sz w:val="23"/>
        </w:rPr>
      </w:pPr>
      <w:r>
        <w:rPr/>
        <w:pict>
          <v:shape style="position:absolute;margin-left:85.050003pt;margin-top:15.650976pt;width:450pt;height:61pt;mso-position-horizontal-relative:page;mso-position-vertical-relative:paragraph;z-index:1504;mso-wrap-distance-left:0;mso-wrap-distance-right:0" type="#_x0000_t202" filled="false" stroked="true" strokeweight=".75pt" strokecolor="#000000">
            <v:textbox inset="0,0,0,0">
              <w:txbxContent>
                <w:p>
                  <w:pPr>
                    <w:pStyle w:val="BodyText"/>
                    <w:spacing w:line="307" w:lineRule="exact" w:before="68"/>
                    <w:ind w:left="418"/>
                  </w:pPr>
                  <w:r>
                    <w:rPr/>
                    <w:t>Неоадьювантное химиолучевое лечение (Дистанционное облучение</w:t>
                  </w:r>
                </w:p>
                <w:p>
                  <w:pPr>
                    <w:spacing w:line="162" w:lineRule="exact" w:before="0"/>
                    <w:ind w:left="0" w:right="833" w:firstLine="0"/>
                    <w:jc w:val="right"/>
                    <w:rPr>
                      <w:sz w:val="18"/>
                    </w:rPr>
                  </w:pPr>
                  <w:r>
                    <w:rPr>
                      <w:sz w:val="18"/>
                    </w:rPr>
                    <w:t>2</w:t>
                  </w:r>
                </w:p>
                <w:p>
                  <w:pPr>
                    <w:pStyle w:val="BodyText"/>
                    <w:spacing w:line="292" w:lineRule="exact"/>
                    <w:ind w:left="351"/>
                  </w:pPr>
                  <w:r>
                    <w:rPr/>
                    <w:t>малого таза (30Гр) + еженедельное введение Цисплатина 40мг/м  х 4)</w:t>
                  </w:r>
                </w:p>
              </w:txbxContent>
            </v:textbox>
            <v:stroke dashstyle="solid"/>
            <w10:wrap type="topAndBottom"/>
          </v:shape>
        </w:pict>
      </w:r>
      <w:r>
        <w:rPr/>
        <w:drawing>
          <wp:anchor distT="0" distB="0" distL="0" distR="0" allowOverlap="1" layoutInCell="1" locked="0" behindDoc="0" simplePos="0" relativeHeight="1528">
            <wp:simplePos x="0" y="0"/>
            <wp:positionH relativeFrom="page">
              <wp:posOffset>2515742</wp:posOffset>
            </wp:positionH>
            <wp:positionV relativeFrom="paragraph">
              <wp:posOffset>1063129</wp:posOffset>
            </wp:positionV>
            <wp:extent cx="74514" cy="233362"/>
            <wp:effectExtent l="0" t="0" r="0" b="0"/>
            <wp:wrapTopAndBottom/>
            <wp:docPr id="15" name="image15.png" descr=""/>
            <wp:cNvGraphicFramePr>
              <a:graphicFrameLocks noChangeAspect="1"/>
            </wp:cNvGraphicFramePr>
            <a:graphic>
              <a:graphicData uri="http://schemas.openxmlformats.org/drawingml/2006/picture">
                <pic:pic>
                  <pic:nvPicPr>
                    <pic:cNvPr id="16" name="image15.png"/>
                    <pic:cNvPicPr/>
                  </pic:nvPicPr>
                  <pic:blipFill>
                    <a:blip r:embed="rId20" cstate="print"/>
                    <a:stretch>
                      <a:fillRect/>
                    </a:stretch>
                  </pic:blipFill>
                  <pic:spPr>
                    <a:xfrm>
                      <a:off x="0" y="0"/>
                      <a:ext cx="74514" cy="233362"/>
                    </a:xfrm>
                    <a:prstGeom prst="rect">
                      <a:avLst/>
                    </a:prstGeom>
                  </pic:spPr>
                </pic:pic>
              </a:graphicData>
            </a:graphic>
          </wp:anchor>
        </w:drawing>
      </w:r>
      <w:r>
        <w:rPr/>
        <w:pict>
          <v:shape style="position:absolute;margin-left:434.76001pt;margin-top:83.690979pt;width:7.8pt;height:22.15pt;mso-position-horizontal-relative:page;mso-position-vertical-relative:paragraph;z-index:1552;mso-wrap-distance-left:0;mso-wrap-distance-right:0" coordorigin="8695,1674" coordsize="156,443" path="m8695,1984l8721,2116,8798,2031,8750,2031,8745,2029,8740,2028,8737,2022,8738,2017,8743,1998,8695,1984xm8743,1998l8738,2017,8737,2022,8740,2028,8745,2029,8750,2031,8756,2028,8757,2022,8763,2003,8743,1998xm8763,2003l8757,2022,8756,2028,8750,2031,8798,2031,8811,2016,8763,2003xm8837,1674l8832,1677,8830,1682,8743,1998,8763,2003,8850,1688,8851,1682,8848,1677,8843,1675,8837,1674xe" filled="true" fillcolor="#000000" stroked="false">
            <v:path arrowok="t"/>
            <v:fill type="solid"/>
            <w10:wrap type="topAndBottom"/>
          </v:shape>
        </w:pict>
      </w:r>
      <w:r>
        <w:rPr/>
        <w:pict>
          <v:shape style="position:absolute;margin-left:76.099998pt;margin-top:113.250977pt;width:226.75pt;height:36pt;mso-position-horizontal-relative:page;mso-position-vertical-relative:paragraph;z-index:1576;mso-wrap-distance-left:0;mso-wrap-distance-right:0" type="#_x0000_t202" filled="false" stroked="true" strokeweight=".75pt" strokecolor="#000000">
            <v:textbox inset="0,0,0,0">
              <w:txbxContent>
                <w:p>
                  <w:pPr>
                    <w:pStyle w:val="BodyText"/>
                    <w:spacing w:before="75"/>
                    <w:ind w:left="1012"/>
                  </w:pPr>
                  <w:r>
                    <w:rPr/>
                    <w:t>Операция Вертгейма</w:t>
                  </w:r>
                </w:p>
              </w:txbxContent>
            </v:textbox>
            <v:stroke dashstyle="solid"/>
            <w10:wrap type="topAndBottom"/>
          </v:shape>
        </w:pict>
      </w:r>
      <w:r>
        <w:rPr/>
        <w:pict>
          <v:shape style="position:absolute;margin-left:328.049988pt;margin-top:113.250977pt;width:221.1pt;height:31.5pt;mso-position-horizontal-relative:page;mso-position-vertical-relative:paragraph;z-index:1600;mso-wrap-distance-left:0;mso-wrap-distance-right:0" type="#_x0000_t202" filled="false" stroked="true" strokeweight=".75pt" strokecolor="#000000">
            <v:textbox inset="0,0,0,0">
              <w:txbxContent>
                <w:p>
                  <w:pPr>
                    <w:pStyle w:val="BodyText"/>
                    <w:spacing w:before="72"/>
                    <w:ind w:left="508"/>
                  </w:pPr>
                  <w:r>
                    <w:rPr/>
                    <w:t>Сочетанная лучевая терапия</w:t>
                  </w:r>
                </w:p>
              </w:txbxContent>
            </v:textbox>
            <v:stroke dashstyle="solid"/>
            <w10:wrap type="topAndBottom"/>
          </v:shape>
        </w:pict>
      </w:r>
    </w:p>
    <w:p>
      <w:pPr>
        <w:pStyle w:val="BodyText"/>
        <w:spacing w:before="7"/>
        <w:rPr>
          <w:sz w:val="5"/>
        </w:rPr>
      </w:pPr>
    </w:p>
    <w:p>
      <w:pPr>
        <w:pStyle w:val="BodyText"/>
        <w:spacing w:before="4"/>
        <w:rPr>
          <w:sz w:val="6"/>
        </w:rPr>
      </w:pPr>
    </w:p>
    <w:p>
      <w:pPr>
        <w:pStyle w:val="BodyText"/>
        <w:spacing w:before="5"/>
        <w:rPr>
          <w:sz w:val="4"/>
        </w:rPr>
      </w:pPr>
    </w:p>
    <w:p>
      <w:pPr>
        <w:pStyle w:val="BodyText"/>
        <w:ind w:left="1846"/>
        <w:rPr>
          <w:sz w:val="20"/>
        </w:rPr>
      </w:pPr>
      <w:r>
        <w:rPr>
          <w:sz w:val="20"/>
        </w:rPr>
        <w:drawing>
          <wp:inline distT="0" distB="0" distL="0" distR="0">
            <wp:extent cx="74011" cy="233362"/>
            <wp:effectExtent l="0" t="0" r="0" b="0"/>
            <wp:docPr id="17" name="image16.png" descr=""/>
            <wp:cNvGraphicFramePr>
              <a:graphicFrameLocks noChangeAspect="1"/>
            </wp:cNvGraphicFramePr>
            <a:graphic>
              <a:graphicData uri="http://schemas.openxmlformats.org/drawingml/2006/picture">
                <pic:pic>
                  <pic:nvPicPr>
                    <pic:cNvPr id="18" name="image16.png"/>
                    <pic:cNvPicPr/>
                  </pic:nvPicPr>
                  <pic:blipFill>
                    <a:blip r:embed="rId21" cstate="print"/>
                    <a:stretch>
                      <a:fillRect/>
                    </a:stretch>
                  </pic:blipFill>
                  <pic:spPr>
                    <a:xfrm>
                      <a:off x="0" y="0"/>
                      <a:ext cx="74011" cy="233362"/>
                    </a:xfrm>
                    <a:prstGeom prst="rect">
                      <a:avLst/>
                    </a:prstGeom>
                  </pic:spPr>
                </pic:pic>
              </a:graphicData>
            </a:graphic>
          </wp:inline>
        </w:drawing>
      </w:r>
      <w:r>
        <w:rPr>
          <w:sz w:val="20"/>
        </w:rPr>
      </w:r>
    </w:p>
    <w:p>
      <w:pPr>
        <w:tabs>
          <w:tab w:pos="5002" w:val="left" w:leader="none"/>
          <w:tab w:pos="5679" w:val="left" w:leader="none"/>
        </w:tabs>
        <w:spacing w:line="240" w:lineRule="auto"/>
        <w:ind w:left="99" w:right="0" w:firstLine="0"/>
        <w:rPr>
          <w:sz w:val="20"/>
        </w:rPr>
      </w:pPr>
      <w:r>
        <w:rPr>
          <w:spacing w:val="-49"/>
          <w:sz w:val="20"/>
        </w:rPr>
        <w:t> </w:t>
      </w:r>
      <w:r>
        <w:rPr>
          <w:spacing w:val="-49"/>
          <w:sz w:val="20"/>
        </w:rPr>
        <w:pict>
          <v:shape style="width:227.7pt;height:36pt;mso-position-horizontal-relative:char;mso-position-vertical-relative:line" type="#_x0000_t202" filled="false" stroked="true" strokeweight=".75pt" strokecolor="#000000">
            <w10:anchorlock/>
            <v:textbox inset="0,0,0,0">
              <w:txbxContent>
                <w:p>
                  <w:pPr>
                    <w:pStyle w:val="BodyText"/>
                    <w:spacing w:before="67"/>
                    <w:ind w:left="1800" w:right="566" w:hanging="1234"/>
                  </w:pPr>
                  <w:r>
                    <w:rPr/>
                    <w:t>Послеоперационная лучевая терапия</w:t>
                  </w:r>
                </w:p>
              </w:txbxContent>
            </v:textbox>
            <v:stroke dashstyle="solid"/>
          </v:shape>
        </w:pict>
      </w:r>
      <w:r>
        <w:rPr>
          <w:spacing w:val="-49"/>
          <w:sz w:val="20"/>
        </w:rPr>
      </w:r>
      <w:r>
        <w:rPr>
          <w:spacing w:val="-49"/>
          <w:sz w:val="20"/>
        </w:rPr>
        <w:tab/>
      </w:r>
      <w:r>
        <w:rPr>
          <w:spacing w:val="-49"/>
          <w:position w:val="50"/>
          <w:sz w:val="20"/>
        </w:rPr>
        <w:drawing>
          <wp:inline distT="0" distB="0" distL="0" distR="0">
            <wp:extent cx="189864" cy="76200"/>
            <wp:effectExtent l="0" t="0" r="0" b="0"/>
            <wp:docPr id="19" name="image17.png" descr=""/>
            <wp:cNvGraphicFramePr>
              <a:graphicFrameLocks noChangeAspect="1"/>
            </wp:cNvGraphicFramePr>
            <a:graphic>
              <a:graphicData uri="http://schemas.openxmlformats.org/drawingml/2006/picture">
                <pic:pic>
                  <pic:nvPicPr>
                    <pic:cNvPr id="20" name="image17.png"/>
                    <pic:cNvPicPr/>
                  </pic:nvPicPr>
                  <pic:blipFill>
                    <a:blip r:embed="rId22" cstate="print"/>
                    <a:stretch>
                      <a:fillRect/>
                    </a:stretch>
                  </pic:blipFill>
                  <pic:spPr>
                    <a:xfrm>
                      <a:off x="0" y="0"/>
                      <a:ext cx="189864" cy="76200"/>
                    </a:xfrm>
                    <a:prstGeom prst="rect">
                      <a:avLst/>
                    </a:prstGeom>
                  </pic:spPr>
                </pic:pic>
              </a:graphicData>
            </a:graphic>
          </wp:inline>
        </w:drawing>
      </w:r>
      <w:r>
        <w:rPr>
          <w:spacing w:val="-49"/>
          <w:position w:val="50"/>
          <w:sz w:val="20"/>
        </w:rPr>
      </w:r>
      <w:r>
        <w:rPr>
          <w:spacing w:val="-49"/>
          <w:position w:val="50"/>
          <w:sz w:val="20"/>
        </w:rPr>
        <w:tab/>
      </w:r>
      <w:r>
        <w:rPr>
          <w:spacing w:val="-49"/>
          <w:sz w:val="20"/>
        </w:rPr>
        <w:pict>
          <v:shape style="width:203.1pt;height:45pt;mso-position-horizontal-relative:char;mso-position-vertical-relative:line" type="#_x0000_t202" filled="false" stroked="true" strokeweight=".75pt" strokecolor="#000000">
            <w10:anchorlock/>
            <v:textbox inset="0,0,0,0">
              <w:txbxContent>
                <w:p>
                  <w:pPr>
                    <w:pStyle w:val="BodyText"/>
                    <w:spacing w:line="244" w:lineRule="auto" w:before="67"/>
                    <w:ind w:left="237" w:right="228" w:firstLine="513"/>
                  </w:pPr>
                  <w:r>
                    <w:rPr/>
                    <w:t>3 цикла адьювантной химиотерапии (при IIIстадии)</w:t>
                  </w:r>
                </w:p>
              </w:txbxContent>
            </v:textbox>
            <v:stroke dashstyle="solid"/>
          </v:shape>
        </w:pict>
      </w:r>
      <w:r>
        <w:rPr>
          <w:spacing w:val="-49"/>
          <w:sz w:val="20"/>
        </w:rPr>
      </w:r>
    </w:p>
    <w:p>
      <w:pPr>
        <w:spacing w:after="0" w:line="240" w:lineRule="auto"/>
        <w:rPr>
          <w:sz w:val="20"/>
        </w:rPr>
        <w:sectPr>
          <w:pgSz w:w="11900" w:h="16850"/>
          <w:pgMar w:header="712" w:footer="0" w:top="1020" w:bottom="280" w:left="1400" w:right="640"/>
        </w:sectPr>
      </w:pPr>
    </w:p>
    <w:p>
      <w:pPr>
        <w:pStyle w:val="BodyText"/>
        <w:spacing w:line="360" w:lineRule="auto"/>
        <w:ind w:left="122" w:right="105" w:firstLine="347"/>
        <w:jc w:val="both"/>
      </w:pPr>
      <w:r>
        <w:rPr/>
        <w:t>В   исследование   включены    женщины  в  возрасте  от  24  до  71   года, из них женщины репродуктивного возраста составили 35,4% (Рис. 2.7).</w:t>
      </w:r>
    </w:p>
    <w:p>
      <w:pPr>
        <w:pStyle w:val="BodyText"/>
        <w:spacing w:before="5"/>
        <w:rPr>
          <w:sz w:val="42"/>
        </w:rPr>
      </w:pPr>
    </w:p>
    <w:p>
      <w:pPr>
        <w:pStyle w:val="BodyText"/>
        <w:spacing w:line="360" w:lineRule="auto"/>
        <w:ind w:left="1283" w:right="559" w:firstLine="6022"/>
      </w:pPr>
      <w:r>
        <w:rPr/>
        <w:t>Рисунок 2.7 Распределение больных раком шейки матки по возрасту</w:t>
      </w:r>
    </w:p>
    <w:p>
      <w:pPr>
        <w:pStyle w:val="BodyText"/>
        <w:rPr>
          <w:sz w:val="20"/>
        </w:rPr>
      </w:pPr>
    </w:p>
    <w:p>
      <w:pPr>
        <w:pStyle w:val="BodyText"/>
        <w:rPr>
          <w:sz w:val="19"/>
        </w:rPr>
      </w:pPr>
      <w:r>
        <w:rPr/>
        <w:pict>
          <v:group style="position:absolute;margin-left:84.675003pt;margin-top:12.916851pt;width:423.75pt;height:189.55pt;mso-position-horizontal-relative:page;mso-position-vertical-relative:paragraph;z-index:1720;mso-wrap-distance-left:0;mso-wrap-distance-right:0" coordorigin="1694,258" coordsize="8475,3791">
            <v:line style="position:absolute" from="7267,3058" to="7462,3058" stroked="true" strokeweight=".72pt" strokecolor="#858585">
              <v:stroke dashstyle="solid"/>
            </v:line>
            <v:line style="position:absolute" from="6622,3058" to="7008,3058" stroked="true" strokeweight=".72pt" strokecolor="#858585">
              <v:stroke dashstyle="solid"/>
            </v:line>
            <v:line style="position:absolute" from="5976,3058" to="6365,3058" stroked="true" strokeweight=".72pt" strokecolor="#858585">
              <v:stroke dashstyle="solid"/>
            </v:line>
            <v:line style="position:absolute" from="5330,3058" to="5719,3058" stroked="true" strokeweight=".72pt" strokecolor="#858585">
              <v:stroke dashstyle="solid"/>
            </v:line>
            <v:line style="position:absolute" from="4687,3058" to="5074,3058" stroked="true" strokeweight=".72pt" strokecolor="#858585">
              <v:stroke dashstyle="solid"/>
            </v:line>
            <v:line style="position:absolute" from="4042,3058" to="4428,3058" stroked="true" strokeweight=".72pt" strokecolor="#858585">
              <v:stroke dashstyle="solid"/>
            </v:line>
            <v:line style="position:absolute" from="3396,3058" to="3782,3058" stroked="true" strokeweight=".72pt" strokecolor="#858585">
              <v:stroke dashstyle="solid"/>
            </v:line>
            <v:line style="position:absolute" from="2945,3058" to="3137,3058" stroked="true" strokeweight=".72pt" strokecolor="#858585">
              <v:stroke dashstyle="solid"/>
            </v:line>
            <v:line style="position:absolute" from="3396,2791" to="3782,2791" stroked="true" strokeweight=".72pt" strokecolor="#858585">
              <v:stroke dashstyle="solid"/>
            </v:line>
            <v:line style="position:absolute" from="2945,2791" to="3137,2791" stroked="true" strokeweight=".72pt" strokecolor="#858585">
              <v:stroke dashstyle="solid"/>
            </v:line>
            <v:line style="position:absolute" from="2945,2525" to="5074,2525" stroked="true" strokeweight=".72pt" strokecolor="#858585">
              <v:stroke dashstyle="solid"/>
            </v:line>
            <v:rect style="position:absolute;left:3137;top:2525;width:259;height:799" filled="true" fillcolor="#4f81bc" stroked="false">
              <v:fill type="solid"/>
            </v:rect>
            <v:line style="position:absolute" from="4042,2791" to="4428,2791" stroked="true" strokeweight=".72pt" strokecolor="#858585">
              <v:stroke dashstyle="solid"/>
            </v:line>
            <v:rect style="position:absolute;left:3782;top:2525;width:259;height:799" filled="true" fillcolor="#4f81bc" stroked="false">
              <v:fill type="solid"/>
            </v:rect>
            <v:line style="position:absolute" from="4687,2791" to="5074,2791" stroked="true" strokeweight=".72pt" strokecolor="#858585">
              <v:stroke dashstyle="solid"/>
            </v:line>
            <v:rect style="position:absolute;left:4428;top:2657;width:259;height:667" filled="true" fillcolor="#4f81bc" stroked="false">
              <v:fill type="solid"/>
            </v:rect>
            <v:line style="position:absolute" from="5330,2791" to="5719,2791" stroked="true" strokeweight=".72pt" strokecolor="#858585">
              <v:stroke dashstyle="solid"/>
            </v:line>
            <v:line style="position:absolute" from="5330,2525" to="5719,2525" stroked="true" strokeweight=".72pt" strokecolor="#858585">
              <v:stroke dashstyle="solid"/>
            </v:line>
            <v:line style="position:absolute" from="5330,2258" to="5719,2258" stroked="true" strokeweight=".72pt" strokecolor="#858585">
              <v:stroke dashstyle="solid"/>
            </v:line>
            <v:line style="position:absolute" from="2945,2258" to="5074,2258" stroked="true" strokeweight=".72pt" strokecolor="#858585">
              <v:stroke dashstyle="solid"/>
            </v:line>
            <v:line style="position:absolute" from="5330,1992" to="7462,1992" stroked="true" strokeweight=".72pt" strokecolor="#858585">
              <v:stroke dashstyle="solid"/>
            </v:line>
            <v:line style="position:absolute" from="2945,1992" to="5074,1992" stroked="true" strokeweight=".72pt" strokecolor="#858585">
              <v:stroke dashstyle="solid"/>
            </v:line>
            <v:line style="position:absolute" from="5330,1726" to="7462,1726" stroked="true" strokeweight=".72pt" strokecolor="#858585">
              <v:stroke dashstyle="solid"/>
            </v:line>
            <v:line style="position:absolute" from="2945,1726" to="5074,1726" stroked="true" strokeweight=".72pt" strokecolor="#858585">
              <v:stroke dashstyle="solid"/>
            </v:line>
            <v:line style="position:absolute" from="5330,1459" to="7462,1459" stroked="true" strokeweight=".72pt" strokecolor="#858585">
              <v:stroke dashstyle="solid"/>
            </v:line>
            <v:line style="position:absolute" from="2945,1459" to="5074,1459" stroked="true" strokeweight=".72pt" strokecolor="#858585">
              <v:stroke dashstyle="solid"/>
            </v:line>
            <v:line style="position:absolute" from="2945,1193" to="7462,1193" stroked="true" strokeweight=".72pt" strokecolor="#858585">
              <v:stroke dashstyle="solid"/>
            </v:line>
            <v:rect style="position:absolute;left:5074;top:1193;width:257;height:2131" filled="true" fillcolor="#4f81bc" stroked="false">
              <v:fill type="solid"/>
            </v:rect>
            <v:line style="position:absolute" from="5976,2791" to="7462,2791" stroked="true" strokeweight=".72pt" strokecolor="#858585">
              <v:stroke dashstyle="solid"/>
            </v:line>
            <v:line style="position:absolute" from="5976,2525" to="7462,2525" stroked="true" strokeweight=".72pt" strokecolor="#858585">
              <v:stroke dashstyle="solid"/>
            </v:line>
            <v:line style="position:absolute" from="5976,2258" to="7462,2258" stroked="true" strokeweight=".72pt" strokecolor="#858585">
              <v:stroke dashstyle="solid"/>
            </v:line>
            <v:rect style="position:absolute;left:5719;top:2124;width:257;height:1200" filled="true" fillcolor="#4f81bc" stroked="false">
              <v:fill type="solid"/>
            </v:rect>
            <v:rect style="position:absolute;left:6365;top:2923;width:257;height:401" filled="true" fillcolor="#4f81bc" stroked="false">
              <v:fill type="solid"/>
            </v:rect>
            <v:rect style="position:absolute;left:7008;top:2923;width:259;height:401" filled="true" fillcolor="#4f81bc" stroked="false">
              <v:fill type="solid"/>
            </v:rect>
            <v:line style="position:absolute" from="2945,3324" to="7462,3324" stroked="true" strokeweight=".72pt" strokecolor="#858585">
              <v:stroke dashstyle="solid"/>
            </v:line>
            <v:line style="position:absolute" from="2945,926" to="7462,926" stroked="true" strokeweight=".72pt" strokecolor="#858585">
              <v:stroke dashstyle="solid"/>
            </v:line>
            <v:rect style="position:absolute;left:1701;top:266;width:8459;height:3776" filled="false" stroked="true" strokeweight=".75pt" strokecolor="#858585">
              <v:stroke dashstyle="solid"/>
            </v:rect>
            <v:shape style="position:absolute;left:1694;top:258;width:8475;height:3791" type="#_x0000_t202"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before="161"/>
                      <w:ind w:left="1309" w:right="2763" w:firstLine="0"/>
                      <w:jc w:val="center"/>
                      <w:rPr>
                        <w:sz w:val="22"/>
                      </w:rPr>
                    </w:pPr>
                    <w:r>
                      <w:rPr>
                        <w:sz w:val="22"/>
                      </w:rPr>
                      <w:t>24 - 3031 - 3738 - 4445 - 5152 - 5859 - 6566 - 71</w:t>
                    </w:r>
                  </w:p>
                  <w:p>
                    <w:pPr>
                      <w:spacing w:before="58"/>
                      <w:ind w:left="1308" w:right="2763" w:firstLine="0"/>
                      <w:jc w:val="center"/>
                      <w:rPr>
                        <w:rFonts w:ascii="Cambria" w:hAnsi="Cambria"/>
                        <w:b/>
                        <w:sz w:val="20"/>
                      </w:rPr>
                    </w:pPr>
                    <w:r>
                      <w:rPr>
                        <w:rFonts w:ascii="Cambria" w:hAnsi="Cambria"/>
                        <w:b/>
                        <w:sz w:val="20"/>
                      </w:rPr>
                      <w:t>возраст</w:t>
                    </w:r>
                  </w:p>
                </w:txbxContent>
              </v:textbox>
              <w10:wrap type="none"/>
            </v:shape>
            <w10:wrap type="topAndBottom"/>
          </v:group>
        </w:pict>
      </w:r>
    </w:p>
    <w:p>
      <w:pPr>
        <w:pStyle w:val="BodyText"/>
        <w:rPr>
          <w:sz w:val="30"/>
        </w:rPr>
      </w:pPr>
    </w:p>
    <w:p>
      <w:pPr>
        <w:pStyle w:val="BodyText"/>
        <w:spacing w:line="360" w:lineRule="auto" w:before="188"/>
        <w:ind w:left="122" w:right="99" w:firstLine="139"/>
        <w:jc w:val="both"/>
      </w:pPr>
      <w:r>
        <w:rPr/>
        <w:t>К репродуктивному периоду относилось 20 пациенток (35,4%), перименопаузальному – 13 (22,9%) менопаузальному – 24 (41,7%) соответственно.</w:t>
      </w:r>
    </w:p>
    <w:p>
      <w:pPr>
        <w:pStyle w:val="BodyText"/>
        <w:spacing w:line="360" w:lineRule="auto" w:before="4"/>
        <w:ind w:left="122" w:right="100" w:firstLine="347"/>
        <w:jc w:val="both"/>
      </w:pPr>
      <w:r>
        <w:rPr/>
        <w:t>Женщины с индексом массы тела (ИМТ) более 30 составили 14,6%, что позволило проанализировать особенности течения послеоперационного периода у пациенток разных возрастных групп и конституционных параметров. По характеру и выраженности сопутствующей патологии пациентки исследуемой группы не продемонстрировали существенных отличий от популяции. Выявленная сопутствующая патология не явилась противопоказанием к хирургическому вмешательству и не потребовала дополнительной предоперационной подготовки.</w:t>
      </w:r>
    </w:p>
    <w:p>
      <w:pPr>
        <w:pStyle w:val="BodyText"/>
        <w:spacing w:line="360" w:lineRule="auto" w:before="4"/>
        <w:ind w:left="122" w:right="108" w:firstLine="347"/>
        <w:jc w:val="both"/>
      </w:pPr>
      <w:r>
        <w:rPr/>
        <w:t>В исследование, посвященное изучению роли хирургического стадирования у больных раком шейки матки вошли   пациентки с IB2, II,</w:t>
      </w:r>
    </w:p>
    <w:p>
      <w:pPr>
        <w:spacing w:after="0" w:line="360" w:lineRule="auto"/>
        <w:jc w:val="both"/>
        <w:sectPr>
          <w:pgSz w:w="11900" w:h="16850"/>
          <w:pgMar w:header="712" w:footer="0" w:top="1020" w:bottom="280" w:left="1580" w:right="1020"/>
        </w:sectPr>
      </w:pPr>
    </w:p>
    <w:p>
      <w:pPr>
        <w:pStyle w:val="BodyText"/>
        <w:rPr>
          <w:sz w:val="20"/>
        </w:rPr>
      </w:pPr>
    </w:p>
    <w:p>
      <w:pPr>
        <w:pStyle w:val="BodyText"/>
        <w:spacing w:line="360" w:lineRule="auto" w:before="252"/>
        <w:ind w:left="102" w:right="99"/>
        <w:jc w:val="both"/>
      </w:pPr>
      <w:r>
        <w:rPr/>
        <w:t>III, IVB стадиями, с преобладанием II и III стадий. По гистологическому типу больные распределились следующим образом: в 14,6% был выявлен плоскоклеточный ороговевающий рак шейки матки, в 66,7% случаях - плоскоклеточный неороговевающий  рак, в 18,7%   - аденокарцинома.</w:t>
      </w:r>
    </w:p>
    <w:p>
      <w:pPr>
        <w:pStyle w:val="BodyText"/>
        <w:spacing w:line="360" w:lineRule="auto" w:before="5"/>
        <w:ind w:left="102" w:right="102" w:firstLine="278"/>
        <w:jc w:val="both"/>
      </w:pPr>
      <w:r>
        <w:rPr/>
        <w:t>На следующих снимках приведены примеры результатов морфологического исследования первичной опухоли шейки матки и выявленных метастазов в регионарных и парааортальных лимфатических узлах (Рис. 2.8-2.13).</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line="360" w:lineRule="auto" w:before="212"/>
        <w:ind w:left="1806" w:right="416" w:firstLine="5622"/>
      </w:pPr>
      <w:r>
        <w:rPr/>
        <w:t>Рисунок 2.8 Инвазивный ороговевающий плоскоклеточный</w:t>
      </w:r>
    </w:p>
    <w:p>
      <w:pPr>
        <w:pStyle w:val="BodyText"/>
        <w:spacing w:line="360" w:lineRule="auto" w:before="7"/>
        <w:ind w:left="4254" w:hanging="3947"/>
      </w:pPr>
      <w:r>
        <w:rPr/>
        <w:t>умереннодифференцированный рак шейки матки (х 100, гематоксилин- эозин)</w:t>
      </w:r>
    </w:p>
    <w:p>
      <w:pPr>
        <w:pStyle w:val="BodyText"/>
        <w:rPr>
          <w:sz w:val="20"/>
        </w:rPr>
      </w:pPr>
    </w:p>
    <w:p>
      <w:pPr>
        <w:pStyle w:val="BodyText"/>
        <w:spacing w:before="6"/>
        <w:rPr>
          <w:sz w:val="13"/>
        </w:rPr>
      </w:pPr>
      <w:r>
        <w:rPr/>
        <w:drawing>
          <wp:anchor distT="0" distB="0" distL="0" distR="0" allowOverlap="1" layoutInCell="1" locked="0" behindDoc="0" simplePos="0" relativeHeight="1744">
            <wp:simplePos x="0" y="0"/>
            <wp:positionH relativeFrom="page">
              <wp:posOffset>1423035</wp:posOffset>
            </wp:positionH>
            <wp:positionV relativeFrom="paragraph">
              <wp:posOffset>124108</wp:posOffset>
            </wp:positionV>
            <wp:extent cx="4182518" cy="2887027"/>
            <wp:effectExtent l="0" t="0" r="0" b="0"/>
            <wp:wrapTopAndBottom/>
            <wp:docPr id="21" name="image18.jpeg" descr=""/>
            <wp:cNvGraphicFramePr>
              <a:graphicFrameLocks noChangeAspect="1"/>
            </wp:cNvGraphicFramePr>
            <a:graphic>
              <a:graphicData uri="http://schemas.openxmlformats.org/drawingml/2006/picture">
                <pic:pic>
                  <pic:nvPicPr>
                    <pic:cNvPr id="22" name="image18.jpeg"/>
                    <pic:cNvPicPr/>
                  </pic:nvPicPr>
                  <pic:blipFill>
                    <a:blip r:embed="rId23" cstate="print"/>
                    <a:stretch>
                      <a:fillRect/>
                    </a:stretch>
                  </pic:blipFill>
                  <pic:spPr>
                    <a:xfrm>
                      <a:off x="0" y="0"/>
                      <a:ext cx="4182518" cy="2887027"/>
                    </a:xfrm>
                    <a:prstGeom prst="rect">
                      <a:avLst/>
                    </a:prstGeom>
                  </pic:spPr>
                </pic:pic>
              </a:graphicData>
            </a:graphic>
          </wp:anchor>
        </w:drawing>
      </w:r>
    </w:p>
    <w:p>
      <w:pPr>
        <w:spacing w:after="0"/>
        <w:rPr>
          <w:sz w:val="13"/>
        </w:rPr>
        <w:sectPr>
          <w:pgSz w:w="11900" w:h="16850"/>
          <w:pgMar w:header="712" w:footer="0" w:top="1020" w:bottom="280" w:left="1600" w:right="1020"/>
        </w:sectPr>
      </w:pPr>
    </w:p>
    <w:p>
      <w:pPr>
        <w:pStyle w:val="BodyText"/>
        <w:rPr>
          <w:sz w:val="20"/>
        </w:rPr>
      </w:pPr>
    </w:p>
    <w:p>
      <w:pPr>
        <w:pStyle w:val="BodyText"/>
        <w:rPr>
          <w:sz w:val="20"/>
        </w:rPr>
      </w:pPr>
    </w:p>
    <w:p>
      <w:pPr>
        <w:pStyle w:val="BodyText"/>
        <w:rPr>
          <w:sz w:val="20"/>
        </w:rPr>
      </w:pPr>
    </w:p>
    <w:p>
      <w:pPr>
        <w:pStyle w:val="BodyText"/>
        <w:spacing w:before="11"/>
        <w:rPr>
          <w:sz w:val="15"/>
        </w:rPr>
      </w:pPr>
    </w:p>
    <w:p>
      <w:pPr>
        <w:pStyle w:val="BodyText"/>
        <w:spacing w:before="89"/>
        <w:ind w:left="7679"/>
      </w:pPr>
      <w:r>
        <w:rPr/>
        <w:t>Рисунок 2.9</w:t>
      </w:r>
    </w:p>
    <w:p>
      <w:pPr>
        <w:pStyle w:val="BodyText"/>
        <w:rPr>
          <w:sz w:val="35"/>
        </w:rPr>
      </w:pPr>
    </w:p>
    <w:p>
      <w:pPr>
        <w:pStyle w:val="BodyText"/>
        <w:spacing w:line="276" w:lineRule="auto"/>
        <w:ind w:left="375" w:right="460"/>
        <w:jc w:val="center"/>
      </w:pPr>
      <w:r>
        <w:rPr/>
        <w:t>Низкодифференцированный неороговевающий плоскоклеточный рак шейки матки</w:t>
      </w:r>
    </w:p>
    <w:p>
      <w:pPr>
        <w:pStyle w:val="BodyText"/>
        <w:spacing w:before="240"/>
        <w:ind w:left="375" w:right="453"/>
        <w:jc w:val="center"/>
      </w:pPr>
      <w:r>
        <w:rPr/>
        <w:t>(х 100, гематоксилин</w:t>
      </w:r>
      <w:r>
        <w:rPr>
          <w:b/>
        </w:rPr>
        <w:t>-</w:t>
      </w:r>
      <w:r>
        <w:rPr/>
        <w:t>эозин)</w:t>
      </w:r>
    </w:p>
    <w:p>
      <w:pPr>
        <w:pStyle w:val="BodyText"/>
        <w:spacing w:before="2"/>
        <w:rPr>
          <w:sz w:val="22"/>
        </w:rPr>
      </w:pPr>
      <w:r>
        <w:rPr/>
        <w:drawing>
          <wp:anchor distT="0" distB="0" distL="0" distR="0" allowOverlap="1" layoutInCell="1" locked="0" behindDoc="0" simplePos="0" relativeHeight="1768">
            <wp:simplePos x="0" y="0"/>
            <wp:positionH relativeFrom="page">
              <wp:posOffset>1384935</wp:posOffset>
            </wp:positionH>
            <wp:positionV relativeFrom="paragraph">
              <wp:posOffset>187231</wp:posOffset>
            </wp:positionV>
            <wp:extent cx="4356036" cy="2692907"/>
            <wp:effectExtent l="0" t="0" r="0" b="0"/>
            <wp:wrapTopAndBottom/>
            <wp:docPr id="23" name="image19.jpeg" descr=""/>
            <wp:cNvGraphicFramePr>
              <a:graphicFrameLocks noChangeAspect="1"/>
            </wp:cNvGraphicFramePr>
            <a:graphic>
              <a:graphicData uri="http://schemas.openxmlformats.org/drawingml/2006/picture">
                <pic:pic>
                  <pic:nvPicPr>
                    <pic:cNvPr id="24" name="image19.jpeg"/>
                    <pic:cNvPicPr/>
                  </pic:nvPicPr>
                  <pic:blipFill>
                    <a:blip r:embed="rId24" cstate="print"/>
                    <a:stretch>
                      <a:fillRect/>
                    </a:stretch>
                  </pic:blipFill>
                  <pic:spPr>
                    <a:xfrm>
                      <a:off x="0" y="0"/>
                      <a:ext cx="4356036" cy="2692907"/>
                    </a:xfrm>
                    <a:prstGeom prst="rect">
                      <a:avLst/>
                    </a:prstGeom>
                  </pic:spPr>
                </pic:pic>
              </a:graphicData>
            </a:graphic>
          </wp:anchor>
        </w:drawing>
      </w:r>
    </w:p>
    <w:p>
      <w:pPr>
        <w:pStyle w:val="BodyText"/>
        <w:rPr>
          <w:sz w:val="30"/>
        </w:rPr>
      </w:pPr>
    </w:p>
    <w:p>
      <w:pPr>
        <w:pStyle w:val="BodyText"/>
        <w:rPr>
          <w:sz w:val="30"/>
        </w:rPr>
      </w:pPr>
    </w:p>
    <w:p>
      <w:pPr>
        <w:pStyle w:val="BodyText"/>
        <w:spacing w:line="360" w:lineRule="auto" w:before="241"/>
        <w:ind w:left="283" w:right="85" w:firstLine="7256"/>
      </w:pPr>
      <w:r>
        <w:rPr/>
        <w:t>Рисунок 2.10 Неороговевающий плоскоклеточный рак шейки матки, патологические</w:t>
      </w:r>
    </w:p>
    <w:p>
      <w:pPr>
        <w:pStyle w:val="BodyText"/>
        <w:spacing w:before="5"/>
        <w:ind w:left="375" w:right="450"/>
        <w:jc w:val="center"/>
      </w:pPr>
      <w:r>
        <w:rPr/>
        <w:t>митозы ( х 400, гематоксилин-эозин)</w:t>
      </w:r>
    </w:p>
    <w:p>
      <w:pPr>
        <w:pStyle w:val="BodyText"/>
        <w:spacing w:before="3"/>
        <w:rPr>
          <w:sz w:val="11"/>
        </w:rPr>
      </w:pPr>
      <w:r>
        <w:rPr/>
        <w:drawing>
          <wp:anchor distT="0" distB="0" distL="0" distR="0" allowOverlap="1" layoutInCell="1" locked="0" behindDoc="0" simplePos="0" relativeHeight="1792">
            <wp:simplePos x="0" y="0"/>
            <wp:positionH relativeFrom="page">
              <wp:posOffset>1575435</wp:posOffset>
            </wp:positionH>
            <wp:positionV relativeFrom="paragraph">
              <wp:posOffset>106995</wp:posOffset>
            </wp:positionV>
            <wp:extent cx="3943474" cy="2819019"/>
            <wp:effectExtent l="0" t="0" r="0" b="0"/>
            <wp:wrapTopAndBottom/>
            <wp:docPr id="25" name="image20.png" descr=""/>
            <wp:cNvGraphicFramePr>
              <a:graphicFrameLocks noChangeAspect="1"/>
            </wp:cNvGraphicFramePr>
            <a:graphic>
              <a:graphicData uri="http://schemas.openxmlformats.org/drawingml/2006/picture">
                <pic:pic>
                  <pic:nvPicPr>
                    <pic:cNvPr id="26" name="image20.png"/>
                    <pic:cNvPicPr/>
                  </pic:nvPicPr>
                  <pic:blipFill>
                    <a:blip r:embed="rId25" cstate="print"/>
                    <a:stretch>
                      <a:fillRect/>
                    </a:stretch>
                  </pic:blipFill>
                  <pic:spPr>
                    <a:xfrm>
                      <a:off x="0" y="0"/>
                      <a:ext cx="3943474" cy="2819019"/>
                    </a:xfrm>
                    <a:prstGeom prst="rect">
                      <a:avLst/>
                    </a:prstGeom>
                  </pic:spPr>
                </pic:pic>
              </a:graphicData>
            </a:graphic>
          </wp:anchor>
        </w:drawing>
      </w:r>
    </w:p>
    <w:p>
      <w:pPr>
        <w:spacing w:after="0"/>
        <w:rPr>
          <w:sz w:val="11"/>
        </w:rPr>
        <w:sectPr>
          <w:pgSz w:w="11900" w:h="16850"/>
          <w:pgMar w:header="712" w:footer="0" w:top="1020" w:bottom="280" w:left="1680" w:right="1020"/>
        </w:sectPr>
      </w:pPr>
    </w:p>
    <w:p>
      <w:pPr>
        <w:pStyle w:val="BodyText"/>
        <w:rPr>
          <w:sz w:val="20"/>
        </w:rPr>
      </w:pPr>
    </w:p>
    <w:p>
      <w:pPr>
        <w:pStyle w:val="BodyText"/>
        <w:rPr>
          <w:sz w:val="20"/>
        </w:rPr>
      </w:pPr>
    </w:p>
    <w:p>
      <w:pPr>
        <w:pStyle w:val="BodyText"/>
        <w:rPr>
          <w:sz w:val="20"/>
        </w:rPr>
      </w:pPr>
    </w:p>
    <w:p>
      <w:pPr>
        <w:pStyle w:val="BodyText"/>
        <w:spacing w:before="205"/>
        <w:ind w:left="7540"/>
      </w:pPr>
      <w:r>
        <w:rPr/>
        <w:t>Рисунок 2.11</w:t>
      </w:r>
    </w:p>
    <w:p>
      <w:pPr>
        <w:pStyle w:val="BodyText"/>
        <w:spacing w:before="9"/>
        <w:rPr>
          <w:sz w:val="34"/>
        </w:rPr>
      </w:pPr>
    </w:p>
    <w:p>
      <w:pPr>
        <w:pStyle w:val="BodyText"/>
        <w:spacing w:line="360" w:lineRule="auto"/>
        <w:ind w:left="375" w:right="459"/>
        <w:jc w:val="center"/>
      </w:pPr>
      <w:r>
        <w:rPr/>
        <w:t>Метастаз плоскоклеточного неороговевающего рака шейки матки в парааортальном лимфатическом узле  ( х 50, гематоксилин-эозин)</w:t>
      </w:r>
    </w:p>
    <w:p>
      <w:pPr>
        <w:pStyle w:val="BodyText"/>
        <w:rPr>
          <w:sz w:val="20"/>
        </w:rPr>
      </w:pPr>
    </w:p>
    <w:p>
      <w:pPr>
        <w:pStyle w:val="BodyText"/>
        <w:rPr>
          <w:sz w:val="20"/>
        </w:rPr>
      </w:pPr>
    </w:p>
    <w:p>
      <w:pPr>
        <w:pStyle w:val="BodyText"/>
        <w:spacing w:before="6"/>
        <w:rPr>
          <w:sz w:val="14"/>
        </w:rPr>
      </w:pPr>
      <w:r>
        <w:rPr/>
        <w:drawing>
          <wp:anchor distT="0" distB="0" distL="0" distR="0" allowOverlap="1" layoutInCell="1" locked="0" behindDoc="0" simplePos="0" relativeHeight="1816">
            <wp:simplePos x="0" y="0"/>
            <wp:positionH relativeFrom="page">
              <wp:posOffset>1842135</wp:posOffset>
            </wp:positionH>
            <wp:positionV relativeFrom="paragraph">
              <wp:posOffset>131118</wp:posOffset>
            </wp:positionV>
            <wp:extent cx="3998786" cy="2793492"/>
            <wp:effectExtent l="0" t="0" r="0" b="0"/>
            <wp:wrapTopAndBottom/>
            <wp:docPr id="27" name="image21.jpeg" descr=""/>
            <wp:cNvGraphicFramePr>
              <a:graphicFrameLocks noChangeAspect="1"/>
            </wp:cNvGraphicFramePr>
            <a:graphic>
              <a:graphicData uri="http://schemas.openxmlformats.org/drawingml/2006/picture">
                <pic:pic>
                  <pic:nvPicPr>
                    <pic:cNvPr id="28" name="image21.jpeg"/>
                    <pic:cNvPicPr/>
                  </pic:nvPicPr>
                  <pic:blipFill>
                    <a:blip r:embed="rId26" cstate="print"/>
                    <a:stretch>
                      <a:fillRect/>
                    </a:stretch>
                  </pic:blipFill>
                  <pic:spPr>
                    <a:xfrm>
                      <a:off x="0" y="0"/>
                      <a:ext cx="3998786" cy="2793492"/>
                    </a:xfrm>
                    <a:prstGeom prst="rect">
                      <a:avLst/>
                    </a:prstGeom>
                  </pic:spPr>
                </pic:pic>
              </a:graphicData>
            </a:graphic>
          </wp:anchor>
        </w:drawing>
      </w:r>
    </w:p>
    <w:p>
      <w:pPr>
        <w:pStyle w:val="BodyText"/>
        <w:spacing w:line="720" w:lineRule="atLeast"/>
        <w:ind w:left="353" w:right="84" w:firstLine="7187"/>
      </w:pPr>
      <w:r>
        <w:rPr/>
        <w:t>Рисунок 2.12 Метастаз низкодифференцированной аденокарциномы шейки матки в</w:t>
      </w:r>
    </w:p>
    <w:p>
      <w:pPr>
        <w:pStyle w:val="BodyText"/>
        <w:spacing w:before="160"/>
        <w:ind w:left="375" w:right="450"/>
        <w:jc w:val="center"/>
      </w:pPr>
      <w:r>
        <w:rPr/>
        <w:t>парааортальный лимфатический узел  (х 50, гематоксилин-эозин)</w:t>
      </w:r>
    </w:p>
    <w:p>
      <w:pPr>
        <w:pStyle w:val="BodyText"/>
        <w:rPr>
          <w:sz w:val="20"/>
        </w:rPr>
      </w:pPr>
    </w:p>
    <w:p>
      <w:pPr>
        <w:pStyle w:val="BodyText"/>
        <w:spacing w:before="11"/>
        <w:rPr>
          <w:sz w:val="11"/>
        </w:rPr>
      </w:pPr>
      <w:r>
        <w:rPr/>
        <w:drawing>
          <wp:anchor distT="0" distB="0" distL="0" distR="0" allowOverlap="1" layoutInCell="1" locked="0" behindDoc="0" simplePos="0" relativeHeight="1840">
            <wp:simplePos x="0" y="0"/>
            <wp:positionH relativeFrom="page">
              <wp:posOffset>1918335</wp:posOffset>
            </wp:positionH>
            <wp:positionV relativeFrom="paragraph">
              <wp:posOffset>112182</wp:posOffset>
            </wp:positionV>
            <wp:extent cx="3910051" cy="2638425"/>
            <wp:effectExtent l="0" t="0" r="0" b="0"/>
            <wp:wrapTopAndBottom/>
            <wp:docPr id="29" name="image22.jpeg" descr=""/>
            <wp:cNvGraphicFramePr>
              <a:graphicFrameLocks noChangeAspect="1"/>
            </wp:cNvGraphicFramePr>
            <a:graphic>
              <a:graphicData uri="http://schemas.openxmlformats.org/drawingml/2006/picture">
                <pic:pic>
                  <pic:nvPicPr>
                    <pic:cNvPr id="30" name="image22.jpeg"/>
                    <pic:cNvPicPr/>
                  </pic:nvPicPr>
                  <pic:blipFill>
                    <a:blip r:embed="rId27" cstate="print"/>
                    <a:stretch>
                      <a:fillRect/>
                    </a:stretch>
                  </pic:blipFill>
                  <pic:spPr>
                    <a:xfrm>
                      <a:off x="0" y="0"/>
                      <a:ext cx="3910051" cy="2638425"/>
                    </a:xfrm>
                    <a:prstGeom prst="rect">
                      <a:avLst/>
                    </a:prstGeom>
                  </pic:spPr>
                </pic:pic>
              </a:graphicData>
            </a:graphic>
          </wp:anchor>
        </w:drawing>
      </w:r>
    </w:p>
    <w:p>
      <w:pPr>
        <w:spacing w:after="0"/>
        <w:rPr>
          <w:sz w:val="11"/>
        </w:rPr>
        <w:sectPr>
          <w:pgSz w:w="11900" w:h="16850"/>
          <w:pgMar w:header="712" w:footer="0" w:top="1020" w:bottom="280" w:left="1680" w:right="1020"/>
        </w:sectPr>
      </w:pPr>
    </w:p>
    <w:p>
      <w:pPr>
        <w:pStyle w:val="BodyText"/>
        <w:rPr>
          <w:sz w:val="20"/>
        </w:rPr>
      </w:pPr>
      <w:r>
        <w:rPr/>
        <w:pict>
          <v:rect style="position:absolute;margin-left:376.799988pt;margin-top:644.639954pt;width:5.4pt;height:5.4pt;mso-position-horizontal-relative:page;mso-position-vertical-relative:page;z-index:-340264" filled="true" fillcolor="#c0504d" stroked="false">
            <v:fill type="solid"/>
            <w10:wrap type="none"/>
          </v:rect>
        </w:pict>
      </w:r>
      <w:r>
        <w:rPr/>
        <w:pict>
          <v:rect style="position:absolute;margin-left:376.799988pt;margin-top:668.159973pt;width:5.4pt;height:5.4pt;mso-position-horizontal-relative:page;mso-position-vertical-relative:page;z-index:-340240" filled="true" fillcolor="#9bba58" stroked="false">
            <v:fill type="solid"/>
            <w10:wrap type="none"/>
          </v:rect>
        </w:pict>
      </w:r>
      <w:r>
        <w:rPr/>
        <w:pict>
          <v:rect style="position:absolute;margin-left:376.799988pt;margin-top:691.679993pt;width:5.4pt;height:5.4pt;mso-position-horizontal-relative:page;mso-position-vertical-relative:page;z-index:-340216" filled="true" fillcolor="#8063a1" stroked="false">
            <v:fill type="solid"/>
            <w10:wrap type="none"/>
          </v:rect>
        </w:pict>
      </w:r>
    </w:p>
    <w:p>
      <w:pPr>
        <w:pStyle w:val="BodyText"/>
        <w:spacing w:line="360" w:lineRule="auto" w:before="252"/>
        <w:ind w:left="122" w:right="385"/>
        <w:jc w:val="both"/>
      </w:pPr>
      <w:r>
        <w:rPr/>
        <w:t>С целью изучения особенностей метастазирования и рецидивирования рака шейки матки у 259 пациенток РШМ, получивших комбинированного лечения в период с 1990 до 2005 год были проанализированы частота и характер выявленных рецидивов.</w:t>
      </w:r>
    </w:p>
    <w:p>
      <w:pPr>
        <w:pStyle w:val="BodyText"/>
        <w:spacing w:line="360" w:lineRule="auto" w:before="5"/>
        <w:ind w:left="122" w:right="381" w:firstLine="347"/>
        <w:jc w:val="both"/>
      </w:pPr>
      <w:r>
        <w:rPr/>
        <w:t>Отдельный раздел исследования посвящен оценке технической возможности и онкологической безопасности выполнения лапароскопической радикальной гистерэктомии. Помимо стандартных исследований в изучаемых группах из 75 больных раком шейки матки, прооперированных лапароскопически и 86 больных, подвергнутых традиционной операции Вертгейма, оценивалось также качество жизни по шкале больных(FACT-G) "Functional Assessment of Cancer Therapy ".</w:t>
      </w:r>
    </w:p>
    <w:p>
      <w:pPr>
        <w:pStyle w:val="BodyText"/>
        <w:spacing w:line="360" w:lineRule="auto" w:before="5"/>
        <w:ind w:left="122" w:right="381" w:firstLine="851"/>
        <w:jc w:val="both"/>
      </w:pPr>
      <w:r>
        <w:rPr/>
        <w:t>Опросник оценки качества жизни онкогинекологических больных (FACT-G) отражал 4 сферы жизнедеятельности пациентов: социальное благополучие, эмоциональное благополучие, функциональное и физическое благополучие (рис. 2.13) .</w:t>
      </w:r>
    </w:p>
    <w:p>
      <w:pPr>
        <w:pStyle w:val="BodyText"/>
        <w:rPr>
          <w:sz w:val="30"/>
        </w:rPr>
      </w:pPr>
    </w:p>
    <w:p>
      <w:pPr>
        <w:pStyle w:val="BodyText"/>
        <w:spacing w:before="2"/>
        <w:rPr>
          <w:sz w:val="41"/>
        </w:rPr>
      </w:pPr>
    </w:p>
    <w:p>
      <w:pPr>
        <w:pStyle w:val="BodyText"/>
        <w:ind w:right="101"/>
        <w:jc w:val="right"/>
      </w:pPr>
      <w:r>
        <w:rPr/>
        <w:t>Рисунок 2.13</w:t>
      </w:r>
    </w:p>
    <w:p>
      <w:pPr>
        <w:pStyle w:val="BodyText"/>
        <w:spacing w:before="5"/>
        <w:rPr>
          <w:sz w:val="31"/>
        </w:rPr>
      </w:pPr>
    </w:p>
    <w:p>
      <w:pPr>
        <w:pStyle w:val="BodyText"/>
        <w:ind w:left="2469"/>
      </w:pPr>
      <w:r>
        <w:rPr/>
        <w:pict>
          <v:rect style="position:absolute;margin-left:376.799988pt;margin-top:108.7603pt;width:5.4pt;height:5.4pt;mso-position-horizontal-relative:page;mso-position-vertical-relative:paragraph;z-index:-340288" filled="true" fillcolor="#4f81bc" stroked="false">
            <v:fill type="solid"/>
            <w10:wrap type="none"/>
          </v:rect>
        </w:pict>
      </w:r>
      <w:r>
        <w:rPr/>
        <w:t>Сферы жизнедеятельсноти пациента</w:t>
      </w:r>
    </w:p>
    <w:p>
      <w:pPr>
        <w:pStyle w:val="BodyText"/>
        <w:rPr>
          <w:sz w:val="20"/>
        </w:rPr>
      </w:pPr>
    </w:p>
    <w:p>
      <w:pPr>
        <w:pStyle w:val="BodyText"/>
        <w:rPr>
          <w:sz w:val="20"/>
        </w:rPr>
      </w:pPr>
    </w:p>
    <w:p>
      <w:pPr>
        <w:pStyle w:val="BodyText"/>
        <w:spacing w:before="8"/>
        <w:rPr>
          <w:sz w:val="23"/>
        </w:rPr>
      </w:pPr>
      <w:r>
        <w:rPr/>
        <w:pict>
          <v:group style="position:absolute;margin-left:84.675003pt;margin-top:15.594919pt;width:436.85pt;height:153.450pt;mso-position-horizontal-relative:page;mso-position-vertical-relative:paragraph;z-index:1888;mso-wrap-distance-left:0;mso-wrap-distance-right:0" coordorigin="1694,312" coordsize="8737,3069">
            <v:shape style="position:absolute;left:4646;top:1143;width:1006;height:1006" coordorigin="4646,1143" coordsize="1006,1006" path="m4646,1143l4646,2149,5652,2149,5649,2074,5641,2000,5628,1929,5609,1859,5586,1791,5559,1725,5526,1662,5490,1601,5450,1544,5405,1489,5357,1438,5306,1390,5252,1346,5194,1305,5133,1269,5070,1237,5005,1209,4937,1186,4867,1168,4795,1154,4721,1146,4646,1143xe" filled="true" fillcolor="#4f81bc" stroked="false">
              <v:path arrowok="t"/>
              <v:fill type="solid"/>
            </v:shape>
            <v:shape style="position:absolute;left:4646;top:2149;width:1006;height:1006" coordorigin="4646,2149" coordsize="1006,1006" path="m5652,2149l4646,2149,4646,3155,4721,3152,4795,3144,4867,3130,4937,3112,5005,3089,5070,3061,5133,3029,5194,2993,5252,2952,5306,2908,5357,2860,5405,2809,5450,2754,5490,2697,5526,2636,5559,2573,5586,2507,5609,2439,5628,2369,5641,2298,5649,2224,5652,2149xe" filled="true" fillcolor="#c0504d" stroked="false">
              <v:path arrowok="t"/>
              <v:fill type="solid"/>
            </v:shape>
            <v:shape style="position:absolute;left:3641;top:2149;width:1006;height:1006" coordorigin="3641,2149" coordsize="1006,1006" path="m4646,2149l3641,2149,3644,2224,3652,2298,3665,2369,3683,2439,3707,2507,3734,2573,3766,2636,3803,2697,3843,2754,3887,2809,3935,2860,3987,2908,4041,2952,4099,2993,4159,3029,4222,3061,4288,3089,4356,3112,4426,3130,4498,3144,4571,3152,4646,3155,4646,2149xe" filled="true" fillcolor="#9bba58" stroked="false">
              <v:path arrowok="t"/>
              <v:fill type="solid"/>
            </v:shape>
            <v:shape style="position:absolute;left:3641;top:1143;width:1006;height:1006" coordorigin="3641,1143" coordsize="1006,1006" path="m4646,1143l4571,1146,4498,1154,4426,1168,4356,1186,4288,1209,4222,1237,4159,1269,4099,1305,4041,1346,3987,1390,3935,1438,3887,1489,3843,1544,3803,1601,3766,1662,3734,1725,3707,1791,3683,1859,3665,1929,3652,2000,3644,2074,3641,2149,4646,2149,4646,1143xe" filled="true" fillcolor="#8063a1" stroked="false">
              <v:path arrowok="t"/>
              <v:fill type="solid"/>
            </v:shape>
            <v:shape style="position:absolute;left:1701;top:319;width:8722;height:3054" type="#_x0000_t202" filled="false" stroked="true" strokeweight=".75pt" strokecolor="#858585">
              <v:textbox inset="0,0,0,0">
                <w:txbxContent>
                  <w:p>
                    <w:pPr>
                      <w:spacing w:before="107"/>
                      <w:ind w:left="749" w:right="0" w:firstLine="0"/>
                      <w:jc w:val="left"/>
                      <w:rPr>
                        <w:rFonts w:ascii="Cambria" w:hAnsi="Cambria"/>
                        <w:b/>
                        <w:sz w:val="36"/>
                      </w:rPr>
                    </w:pPr>
                    <w:r>
                      <w:rPr>
                        <w:rFonts w:ascii="Cambria" w:hAnsi="Cambria"/>
                        <w:b/>
                        <w:sz w:val="36"/>
                      </w:rPr>
                      <w:t>Сферы жизнедеятельности пациента</w:t>
                    </w:r>
                  </w:p>
                  <w:p>
                    <w:pPr>
                      <w:spacing w:line="240" w:lineRule="auto" w:before="3"/>
                      <w:rPr>
                        <w:sz w:val="40"/>
                      </w:rPr>
                    </w:pPr>
                  </w:p>
                  <w:p>
                    <w:pPr>
                      <w:spacing w:before="0"/>
                      <w:ind w:left="5978" w:right="0" w:firstLine="0"/>
                      <w:jc w:val="left"/>
                      <w:rPr>
                        <w:rFonts w:ascii="Cambria" w:hAnsi="Cambria"/>
                        <w:sz w:val="20"/>
                      </w:rPr>
                    </w:pPr>
                    <w:r>
                      <w:rPr>
                        <w:rFonts w:ascii="Cambria" w:hAnsi="Cambria"/>
                        <w:sz w:val="20"/>
                      </w:rPr>
                      <w:t>социальное благополучие</w:t>
                    </w:r>
                  </w:p>
                  <w:p>
                    <w:pPr>
                      <w:spacing w:line="240" w:lineRule="auto" w:before="5"/>
                      <w:rPr>
                        <w:sz w:val="20"/>
                      </w:rPr>
                    </w:pPr>
                  </w:p>
                  <w:p>
                    <w:pPr>
                      <w:spacing w:before="0"/>
                      <w:ind w:left="5978" w:right="1170" w:firstLine="0"/>
                      <w:jc w:val="left"/>
                      <w:rPr>
                        <w:rFonts w:ascii="Cambria" w:hAnsi="Cambria"/>
                        <w:sz w:val="20"/>
                      </w:rPr>
                    </w:pPr>
                    <w:r>
                      <w:rPr>
                        <w:rFonts w:ascii="Cambria" w:hAnsi="Cambria"/>
                        <w:sz w:val="20"/>
                      </w:rPr>
                      <w:t>эмоциональное благополучие функциональное благополучие</w:t>
                    </w:r>
                  </w:p>
                  <w:p>
                    <w:pPr>
                      <w:spacing w:before="0"/>
                      <w:ind w:left="0" w:right="356" w:firstLine="0"/>
                      <w:jc w:val="right"/>
                      <w:rPr>
                        <w:rFonts w:ascii="Cambria" w:hAnsi="Cambria"/>
                        <w:sz w:val="20"/>
                      </w:rPr>
                    </w:pPr>
                    <w:r>
                      <w:rPr>
                        <w:rFonts w:ascii="Cambria" w:hAnsi="Cambria"/>
                        <w:sz w:val="20"/>
                      </w:rPr>
                      <w:t>физическое благополучие</w:t>
                    </w:r>
                  </w:p>
                </w:txbxContent>
              </v:textbox>
              <v:stroke dashstyle="solid"/>
              <w10:wrap type="none"/>
            </v:shape>
            <w10:wrap type="topAndBottom"/>
          </v:group>
        </w:pict>
      </w:r>
    </w:p>
    <w:p>
      <w:pPr>
        <w:spacing w:after="0"/>
        <w:rPr>
          <w:sz w:val="23"/>
        </w:rPr>
        <w:sectPr>
          <w:pgSz w:w="11900" w:h="16850"/>
          <w:pgMar w:header="712" w:footer="0" w:top="1020" w:bottom="280" w:left="1580" w:right="1020"/>
        </w:sectPr>
      </w:pPr>
    </w:p>
    <w:p>
      <w:pPr>
        <w:pStyle w:val="BodyText"/>
        <w:rPr>
          <w:sz w:val="20"/>
        </w:rPr>
      </w:pPr>
    </w:p>
    <w:p>
      <w:pPr>
        <w:pStyle w:val="BodyText"/>
        <w:spacing w:before="7"/>
        <w:rPr>
          <w:sz w:val="25"/>
        </w:rPr>
      </w:pPr>
    </w:p>
    <w:p>
      <w:pPr>
        <w:pStyle w:val="BodyText"/>
        <w:spacing w:line="360" w:lineRule="auto" w:before="89"/>
        <w:ind w:left="102" w:right="108" w:firstLine="60"/>
        <w:jc w:val="both"/>
      </w:pPr>
      <w:r>
        <w:rPr/>
        <w:t>Модифицированная шкала функциональной оценки лечения больных раком шейки матки включала 12 вопросов. Текст опросников представлен в</w:t>
      </w:r>
      <w:r>
        <w:rPr>
          <w:spacing w:val="-4"/>
        </w:rPr>
        <w:t> </w:t>
      </w:r>
      <w:r>
        <w:rPr/>
        <w:t>приложении.</w:t>
      </w:r>
    </w:p>
    <w:p>
      <w:pPr>
        <w:pStyle w:val="BodyText"/>
        <w:rPr>
          <w:sz w:val="30"/>
        </w:rPr>
      </w:pPr>
    </w:p>
    <w:p>
      <w:pPr>
        <w:pStyle w:val="BodyText"/>
        <w:spacing w:before="9"/>
        <w:rPr>
          <w:sz w:val="23"/>
        </w:rPr>
      </w:pPr>
    </w:p>
    <w:p>
      <w:pPr>
        <w:pStyle w:val="BodyText"/>
        <w:ind w:left="380" w:right="380"/>
        <w:jc w:val="center"/>
      </w:pPr>
      <w:r>
        <w:rPr/>
        <w:t>Рак яичников</w:t>
      </w:r>
    </w:p>
    <w:p>
      <w:pPr>
        <w:pStyle w:val="BodyText"/>
        <w:rPr>
          <w:sz w:val="30"/>
        </w:rPr>
      </w:pPr>
    </w:p>
    <w:p>
      <w:pPr>
        <w:pStyle w:val="BodyText"/>
        <w:rPr>
          <w:sz w:val="26"/>
        </w:rPr>
      </w:pPr>
    </w:p>
    <w:p>
      <w:pPr>
        <w:pStyle w:val="BodyText"/>
        <w:spacing w:line="360" w:lineRule="auto"/>
        <w:ind w:left="102" w:right="108" w:firstLine="208"/>
        <w:jc w:val="both"/>
      </w:pPr>
      <w:r>
        <w:rPr/>
        <w:t>В целях уточнения возможностей использования лапароскопического доступа при операциях у больных раком яичников мы рассмотрели три наиболее частых варианта:</w:t>
      </w:r>
    </w:p>
    <w:p>
      <w:pPr>
        <w:pStyle w:val="ListParagraph"/>
        <w:numPr>
          <w:ilvl w:val="0"/>
          <w:numId w:val="17"/>
        </w:numPr>
        <w:tabs>
          <w:tab w:pos="822" w:val="left" w:leader="none"/>
        </w:tabs>
        <w:spacing w:line="360" w:lineRule="auto" w:before="7" w:after="0"/>
        <w:ind w:left="822" w:right="108" w:hanging="360"/>
        <w:jc w:val="both"/>
        <w:rPr>
          <w:sz w:val="28"/>
        </w:rPr>
      </w:pPr>
      <w:r>
        <w:rPr>
          <w:sz w:val="28"/>
        </w:rPr>
        <w:t>лапароскопия с диагностической целью у больных с опухолями яичников, подозрительными на</w:t>
      </w:r>
      <w:r>
        <w:rPr>
          <w:spacing w:val="-13"/>
          <w:sz w:val="28"/>
        </w:rPr>
        <w:t> </w:t>
      </w:r>
      <w:r>
        <w:rPr>
          <w:sz w:val="28"/>
        </w:rPr>
        <w:t>малигнизацию.</w:t>
      </w:r>
    </w:p>
    <w:p>
      <w:pPr>
        <w:pStyle w:val="ListParagraph"/>
        <w:numPr>
          <w:ilvl w:val="0"/>
          <w:numId w:val="17"/>
        </w:numPr>
        <w:tabs>
          <w:tab w:pos="822" w:val="left" w:leader="none"/>
        </w:tabs>
        <w:spacing w:line="360" w:lineRule="auto" w:before="5" w:after="0"/>
        <w:ind w:left="822" w:right="107" w:hanging="360"/>
        <w:jc w:val="both"/>
        <w:rPr>
          <w:sz w:val="28"/>
        </w:rPr>
      </w:pPr>
      <w:r>
        <w:rPr>
          <w:sz w:val="28"/>
        </w:rPr>
        <w:t>лапароскопический доступ в хирургическом лечении пограничных опухолей и начального рака</w:t>
      </w:r>
      <w:r>
        <w:rPr>
          <w:spacing w:val="-13"/>
          <w:sz w:val="28"/>
        </w:rPr>
        <w:t> </w:t>
      </w:r>
      <w:r>
        <w:rPr>
          <w:sz w:val="28"/>
        </w:rPr>
        <w:t>яичников.</w:t>
      </w:r>
    </w:p>
    <w:p>
      <w:pPr>
        <w:pStyle w:val="ListParagraph"/>
        <w:numPr>
          <w:ilvl w:val="0"/>
          <w:numId w:val="17"/>
        </w:numPr>
        <w:tabs>
          <w:tab w:pos="822" w:val="left" w:leader="none"/>
        </w:tabs>
        <w:spacing w:line="360" w:lineRule="auto" w:before="8" w:after="0"/>
        <w:ind w:left="822" w:right="103" w:hanging="360"/>
        <w:jc w:val="both"/>
        <w:rPr>
          <w:sz w:val="28"/>
        </w:rPr>
      </w:pPr>
      <w:r>
        <w:rPr>
          <w:sz w:val="28"/>
        </w:rPr>
        <w:t>диагностическая лапароскопия выполняемая на различных этапах лечения больных распространенным раком яичников с целью уточнения состояния опухолевого процесса или после завершения лечения при подозрении на рецидив</w:t>
      </w:r>
      <w:r>
        <w:rPr>
          <w:spacing w:val="-17"/>
          <w:sz w:val="28"/>
        </w:rPr>
        <w:t> </w:t>
      </w:r>
      <w:r>
        <w:rPr>
          <w:sz w:val="28"/>
        </w:rPr>
        <w:t>заболевания.</w:t>
      </w:r>
    </w:p>
    <w:p>
      <w:pPr>
        <w:pStyle w:val="BodyText"/>
        <w:spacing w:line="360" w:lineRule="auto" w:before="8"/>
        <w:ind w:left="102" w:right="98" w:firstLine="278"/>
        <w:jc w:val="both"/>
      </w:pPr>
      <w:r>
        <w:rPr/>
        <w:t>В первую группу вошли данные, касающиеся 349 больных, подвергшихся лапароскопическим операциям по поводу новообразований яичников в СПбКНПЦСВМП(о) в период с 2013 по 2015 годы. Проанализированы результаты обследования, истории болезни, протоколы операций, в ряде случаев пересмотрены результаты гистологических исследований.</w:t>
      </w:r>
    </w:p>
    <w:p>
      <w:pPr>
        <w:pStyle w:val="BodyText"/>
        <w:spacing w:line="360" w:lineRule="auto" w:before="5"/>
        <w:ind w:left="102" w:right="107"/>
        <w:jc w:val="both"/>
      </w:pPr>
      <w:r>
        <w:rPr/>
        <w:t>Распределение больных по возрастным группам представлено в следующей таблице</w:t>
      </w:r>
      <w:r>
        <w:rPr>
          <w:spacing w:val="-4"/>
        </w:rPr>
        <w:t> </w:t>
      </w:r>
      <w:r>
        <w:rPr/>
        <w:t>(Табл.2.3).</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508" w:lineRule="auto" w:before="215"/>
        <w:ind w:left="1477" w:right="84" w:firstLine="6277"/>
      </w:pPr>
      <w:r>
        <w:rPr/>
        <w:pict>
          <v:shape style="position:absolute;margin-left:91.944pt;margin-top:75.420288pt;width:433.2pt;height:236.35pt;mso-position-horizontal-relative:page;mso-position-vertical-relative:paragraph;z-index:200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9"/>
                    <w:gridCol w:w="4040"/>
                  </w:tblGrid>
                  <w:tr>
                    <w:trPr>
                      <w:trHeight w:val="1525" w:hRule="exact"/>
                    </w:trPr>
                    <w:tc>
                      <w:tcPr>
                        <w:tcW w:w="4609" w:type="dxa"/>
                      </w:tcPr>
                      <w:p>
                        <w:pPr>
                          <w:pStyle w:val="TableParagraph"/>
                          <w:spacing w:before="6"/>
                          <w:rPr>
                            <w:sz w:val="42"/>
                          </w:rPr>
                        </w:pPr>
                      </w:p>
                      <w:p>
                        <w:pPr>
                          <w:pStyle w:val="TableParagraph"/>
                          <w:spacing w:before="1"/>
                          <w:ind w:left="1097" w:right="1098"/>
                          <w:jc w:val="center"/>
                          <w:rPr>
                            <w:sz w:val="28"/>
                          </w:rPr>
                        </w:pPr>
                        <w:r>
                          <w:rPr>
                            <w:sz w:val="28"/>
                          </w:rPr>
                          <w:t>Возрастные группы</w:t>
                        </w:r>
                      </w:p>
                    </w:tc>
                    <w:tc>
                      <w:tcPr>
                        <w:tcW w:w="4040" w:type="dxa"/>
                      </w:tcPr>
                      <w:p>
                        <w:pPr>
                          <w:pStyle w:val="TableParagraph"/>
                          <w:spacing w:before="6"/>
                          <w:rPr>
                            <w:sz w:val="42"/>
                          </w:rPr>
                        </w:pPr>
                      </w:p>
                      <w:p>
                        <w:pPr>
                          <w:pStyle w:val="TableParagraph"/>
                          <w:spacing w:before="1"/>
                          <w:ind w:left="744" w:right="747"/>
                          <w:jc w:val="center"/>
                          <w:rPr>
                            <w:sz w:val="28"/>
                          </w:rPr>
                        </w:pPr>
                        <w:r>
                          <w:rPr>
                            <w:sz w:val="28"/>
                          </w:rPr>
                          <w:t>Количество больных</w:t>
                        </w:r>
                      </w:p>
                    </w:tc>
                  </w:tr>
                  <w:tr>
                    <w:trPr>
                      <w:trHeight w:val="533" w:hRule="exact"/>
                    </w:trPr>
                    <w:tc>
                      <w:tcPr>
                        <w:tcW w:w="4609" w:type="dxa"/>
                      </w:tcPr>
                      <w:p>
                        <w:pPr>
                          <w:pStyle w:val="TableParagraph"/>
                          <w:spacing w:line="315" w:lineRule="exact"/>
                          <w:ind w:left="1097" w:right="1097"/>
                          <w:jc w:val="center"/>
                          <w:rPr>
                            <w:sz w:val="28"/>
                          </w:rPr>
                        </w:pPr>
                        <w:r>
                          <w:rPr>
                            <w:sz w:val="28"/>
                          </w:rPr>
                          <w:t>До 30 лет</w:t>
                        </w:r>
                      </w:p>
                    </w:tc>
                    <w:tc>
                      <w:tcPr>
                        <w:tcW w:w="4040" w:type="dxa"/>
                      </w:tcPr>
                      <w:p>
                        <w:pPr>
                          <w:pStyle w:val="TableParagraph"/>
                          <w:spacing w:line="315" w:lineRule="exact"/>
                          <w:ind w:left="744" w:right="745"/>
                          <w:jc w:val="center"/>
                          <w:rPr>
                            <w:sz w:val="28"/>
                          </w:rPr>
                        </w:pPr>
                        <w:r>
                          <w:rPr>
                            <w:sz w:val="28"/>
                          </w:rPr>
                          <w:t>64 (18,3%)</w:t>
                        </w:r>
                      </w:p>
                    </w:tc>
                  </w:tr>
                  <w:tr>
                    <w:trPr>
                      <w:trHeight w:val="530" w:hRule="exact"/>
                    </w:trPr>
                    <w:tc>
                      <w:tcPr>
                        <w:tcW w:w="4609" w:type="dxa"/>
                      </w:tcPr>
                      <w:p>
                        <w:pPr>
                          <w:pStyle w:val="TableParagraph"/>
                          <w:spacing w:line="315" w:lineRule="exact"/>
                          <w:ind w:left="1097" w:right="1096"/>
                          <w:jc w:val="center"/>
                          <w:rPr>
                            <w:sz w:val="28"/>
                          </w:rPr>
                        </w:pPr>
                        <w:r>
                          <w:rPr>
                            <w:sz w:val="28"/>
                          </w:rPr>
                          <w:t>30-39 лет</w:t>
                        </w:r>
                      </w:p>
                    </w:tc>
                    <w:tc>
                      <w:tcPr>
                        <w:tcW w:w="4040" w:type="dxa"/>
                      </w:tcPr>
                      <w:p>
                        <w:pPr>
                          <w:pStyle w:val="TableParagraph"/>
                          <w:spacing w:line="315" w:lineRule="exact"/>
                          <w:ind w:left="744" w:right="745"/>
                          <w:jc w:val="center"/>
                          <w:rPr>
                            <w:sz w:val="28"/>
                          </w:rPr>
                        </w:pPr>
                        <w:r>
                          <w:rPr>
                            <w:sz w:val="28"/>
                          </w:rPr>
                          <w:t>68 (19,5%)</w:t>
                        </w:r>
                      </w:p>
                    </w:tc>
                  </w:tr>
                  <w:tr>
                    <w:trPr>
                      <w:trHeight w:val="533" w:hRule="exact"/>
                    </w:trPr>
                    <w:tc>
                      <w:tcPr>
                        <w:tcW w:w="4609" w:type="dxa"/>
                      </w:tcPr>
                      <w:p>
                        <w:pPr>
                          <w:pStyle w:val="TableParagraph"/>
                          <w:spacing w:line="317" w:lineRule="exact"/>
                          <w:ind w:left="1097" w:right="1096"/>
                          <w:jc w:val="center"/>
                          <w:rPr>
                            <w:sz w:val="28"/>
                          </w:rPr>
                        </w:pPr>
                        <w:r>
                          <w:rPr>
                            <w:sz w:val="28"/>
                          </w:rPr>
                          <w:t>40-49 лет</w:t>
                        </w:r>
                      </w:p>
                    </w:tc>
                    <w:tc>
                      <w:tcPr>
                        <w:tcW w:w="4040" w:type="dxa"/>
                      </w:tcPr>
                      <w:p>
                        <w:pPr>
                          <w:pStyle w:val="TableParagraph"/>
                          <w:spacing w:line="317" w:lineRule="exact"/>
                          <w:ind w:left="744" w:right="746"/>
                          <w:jc w:val="center"/>
                          <w:rPr>
                            <w:sz w:val="28"/>
                          </w:rPr>
                        </w:pPr>
                        <w:r>
                          <w:rPr>
                            <w:sz w:val="28"/>
                          </w:rPr>
                          <w:t>102 (29,2%)</w:t>
                        </w:r>
                      </w:p>
                    </w:tc>
                  </w:tr>
                  <w:tr>
                    <w:trPr>
                      <w:trHeight w:val="533" w:hRule="exact"/>
                    </w:trPr>
                    <w:tc>
                      <w:tcPr>
                        <w:tcW w:w="4609" w:type="dxa"/>
                      </w:tcPr>
                      <w:p>
                        <w:pPr>
                          <w:pStyle w:val="TableParagraph"/>
                          <w:spacing w:line="315" w:lineRule="exact"/>
                          <w:ind w:left="1097" w:right="1096"/>
                          <w:jc w:val="center"/>
                          <w:rPr>
                            <w:sz w:val="28"/>
                          </w:rPr>
                        </w:pPr>
                        <w:r>
                          <w:rPr>
                            <w:sz w:val="28"/>
                          </w:rPr>
                          <w:t>50-59 лет</w:t>
                        </w:r>
                      </w:p>
                    </w:tc>
                    <w:tc>
                      <w:tcPr>
                        <w:tcW w:w="4040" w:type="dxa"/>
                      </w:tcPr>
                      <w:p>
                        <w:pPr>
                          <w:pStyle w:val="TableParagraph"/>
                          <w:spacing w:line="315" w:lineRule="exact"/>
                          <w:ind w:left="744" w:right="745"/>
                          <w:jc w:val="center"/>
                          <w:rPr>
                            <w:sz w:val="28"/>
                          </w:rPr>
                        </w:pPr>
                        <w:r>
                          <w:rPr>
                            <w:sz w:val="28"/>
                          </w:rPr>
                          <w:t>62 (17,8%)</w:t>
                        </w:r>
                      </w:p>
                    </w:tc>
                  </w:tr>
                  <w:tr>
                    <w:trPr>
                      <w:trHeight w:val="530" w:hRule="exact"/>
                    </w:trPr>
                    <w:tc>
                      <w:tcPr>
                        <w:tcW w:w="4609" w:type="dxa"/>
                      </w:tcPr>
                      <w:p>
                        <w:pPr>
                          <w:pStyle w:val="TableParagraph"/>
                          <w:spacing w:line="315" w:lineRule="exact"/>
                          <w:ind w:left="1097" w:right="1096"/>
                          <w:jc w:val="center"/>
                          <w:rPr>
                            <w:sz w:val="28"/>
                          </w:rPr>
                        </w:pPr>
                        <w:r>
                          <w:rPr>
                            <w:sz w:val="28"/>
                          </w:rPr>
                          <w:t>60-69 лет</w:t>
                        </w:r>
                      </w:p>
                    </w:tc>
                    <w:tc>
                      <w:tcPr>
                        <w:tcW w:w="4040" w:type="dxa"/>
                      </w:tcPr>
                      <w:p>
                        <w:pPr>
                          <w:pStyle w:val="TableParagraph"/>
                          <w:spacing w:line="315" w:lineRule="exact"/>
                          <w:ind w:left="744" w:right="744"/>
                          <w:jc w:val="center"/>
                          <w:rPr>
                            <w:sz w:val="28"/>
                          </w:rPr>
                        </w:pPr>
                        <w:r>
                          <w:rPr>
                            <w:sz w:val="28"/>
                          </w:rPr>
                          <w:t>41 (11,7%)</w:t>
                        </w:r>
                      </w:p>
                    </w:tc>
                  </w:tr>
                  <w:tr>
                    <w:trPr>
                      <w:trHeight w:val="533" w:hRule="exact"/>
                    </w:trPr>
                    <w:tc>
                      <w:tcPr>
                        <w:tcW w:w="4609" w:type="dxa"/>
                      </w:tcPr>
                      <w:p>
                        <w:pPr>
                          <w:pStyle w:val="TableParagraph"/>
                          <w:spacing w:line="317" w:lineRule="exact"/>
                          <w:ind w:left="1097" w:right="1098"/>
                          <w:jc w:val="center"/>
                          <w:rPr>
                            <w:sz w:val="28"/>
                          </w:rPr>
                        </w:pPr>
                        <w:r>
                          <w:rPr>
                            <w:sz w:val="28"/>
                          </w:rPr>
                          <w:t>Старше 70 лет</w:t>
                        </w:r>
                      </w:p>
                    </w:tc>
                    <w:tc>
                      <w:tcPr>
                        <w:tcW w:w="4040" w:type="dxa"/>
                      </w:tcPr>
                      <w:p>
                        <w:pPr>
                          <w:pStyle w:val="TableParagraph"/>
                          <w:spacing w:line="317" w:lineRule="exact"/>
                          <w:ind w:left="744" w:right="744"/>
                          <w:jc w:val="center"/>
                          <w:rPr>
                            <w:sz w:val="28"/>
                          </w:rPr>
                        </w:pPr>
                        <w:r>
                          <w:rPr>
                            <w:sz w:val="28"/>
                          </w:rPr>
                          <w:t>12 (3,4%)</w:t>
                        </w:r>
                      </w:p>
                    </w:tc>
                  </w:tr>
                </w:tbl>
                <w:p>
                  <w:pPr>
                    <w:pStyle w:val="BodyText"/>
                  </w:pPr>
                </w:p>
              </w:txbxContent>
            </v:textbox>
            <w10:wrap type="none"/>
          </v:shape>
        </w:pict>
      </w:r>
      <w:r>
        <w:rPr/>
        <w:t>Таблица 2.3 Распределение больных раком яичников по возрасту</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7"/>
        <w:rPr>
          <w:sz w:val="44"/>
        </w:rPr>
      </w:pPr>
    </w:p>
    <w:p>
      <w:pPr>
        <w:pStyle w:val="BodyText"/>
        <w:spacing w:line="360" w:lineRule="auto"/>
        <w:ind w:left="102" w:right="107"/>
        <w:jc w:val="both"/>
      </w:pPr>
      <w:r>
        <w:rPr/>
        <w:t>Средний возраст пациенток составил 48,7 лет. Злокачественные опухоли в результате выполненных лапароскопических операций выявлены у 63 больных (18%).</w:t>
      </w:r>
    </w:p>
    <w:p>
      <w:pPr>
        <w:pStyle w:val="BodyText"/>
        <w:spacing w:line="360" w:lineRule="auto" w:before="206"/>
        <w:ind w:left="102" w:right="102" w:firstLine="719"/>
        <w:jc w:val="both"/>
      </w:pPr>
      <w:r>
        <w:rPr/>
        <w:t>Вторую группу исследования, вызывающего наибольшее количество споров и разногласий, составили 122 больные первой стадией рака яичников и 12 больных пограничными опухолями, проходивших лечение в НИИ онкологии им. Н.Н.Петрова и в СПбКНПЦСВМП(о) в период с 1995 по 2013 годы.</w:t>
      </w:r>
    </w:p>
    <w:p>
      <w:pPr>
        <w:pStyle w:val="BodyText"/>
        <w:spacing w:line="360" w:lineRule="auto" w:before="5"/>
        <w:ind w:left="102" w:right="102" w:firstLine="628"/>
        <w:jc w:val="both"/>
      </w:pPr>
      <w:r>
        <w:rPr/>
        <w:t>В ней сопоставлены ближайшие и отдаленные результаты лечения больных раком яичников в зависимости от клинико–морфологических особенностей опухоли, объема хирургического вмешательства, адъювантного лечения.  Отдельно рассмотрено возможное влияние</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222" w:right="503"/>
        <w:jc w:val="both"/>
      </w:pPr>
      <w:r>
        <w:rPr/>
        <w:t>хирургического доступа на ход операции, течение послеоперационного периода и прогноз заболевания. Данные об этих больных были получены из историй болезни, амбулаторных карт, операционных и гистологических журналов, компьютерного архива канцеррегистра г.СПб, запросов в лечебные учреждения по месту жительства больных, а также опроса и обследования самих пациентов и  их</w:t>
      </w:r>
      <w:r>
        <w:rPr>
          <w:spacing w:val="-13"/>
        </w:rPr>
        <w:t> </w:t>
      </w:r>
      <w:r>
        <w:rPr/>
        <w:t>родственников.</w:t>
      </w:r>
    </w:p>
    <w:p>
      <w:pPr>
        <w:pStyle w:val="BodyText"/>
        <w:spacing w:line="360" w:lineRule="auto" w:before="205"/>
        <w:ind w:left="222" w:right="501" w:firstLine="487"/>
        <w:jc w:val="both"/>
      </w:pPr>
      <w:r>
        <w:rPr/>
        <w:t>После выписки пациентки прослежены в течение не менее 3 лет (в  ряде случаев – 10 и более лет), что позволило судить об исходе  заболевания у каждой больной. Ретроспективное исследование было проведено у больных эпителиальными злокачественными опухолями яичников I стадии в возрасте от 16 до 78 лет. Средний возраст составил 51,1</w:t>
      </w:r>
      <w:r>
        <w:rPr>
          <w:u w:val="single"/>
        </w:rPr>
        <w:t>+</w:t>
      </w:r>
      <w:r>
        <w:rPr/>
        <w:t>1,1 лет. Из 134 больных 63 (47%) находились в репродуктивном периоде, а 71 (53 %) – в менопаузе (табл.</w:t>
      </w:r>
      <w:r>
        <w:rPr>
          <w:spacing w:val="-10"/>
        </w:rPr>
        <w:t> </w:t>
      </w:r>
      <w:r>
        <w:rPr/>
        <w:t>2.4).</w:t>
      </w:r>
    </w:p>
    <w:p>
      <w:pPr>
        <w:pStyle w:val="BodyText"/>
        <w:spacing w:line="362" w:lineRule="auto" w:before="204"/>
        <w:ind w:left="750" w:right="484" w:firstLine="7124"/>
      </w:pPr>
      <w:r>
        <w:rPr/>
        <w:t>Таблица 2.4 Распределение больных раком яичников I стадии в зависимости от</w:t>
      </w:r>
    </w:p>
    <w:p>
      <w:pPr>
        <w:pStyle w:val="BodyText"/>
        <w:spacing w:before="1"/>
        <w:ind w:left="2202"/>
      </w:pPr>
      <w:r>
        <w:rPr/>
        <w:t>возраста и гистологического типа опухоли</w:t>
      </w:r>
    </w:p>
    <w:p>
      <w:pPr>
        <w:pStyle w:val="BodyText"/>
        <w:rPr>
          <w:sz w:val="20"/>
        </w:rPr>
      </w:pPr>
    </w:p>
    <w:p>
      <w:pPr>
        <w:pStyle w:val="BodyText"/>
        <w:spacing w:before="9"/>
        <w:rPr>
          <w:sz w:val="1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1702"/>
        <w:gridCol w:w="1560"/>
        <w:gridCol w:w="1702"/>
        <w:gridCol w:w="1666"/>
      </w:tblGrid>
      <w:tr>
        <w:trPr>
          <w:trHeight w:val="694" w:hRule="exact"/>
        </w:trPr>
        <w:tc>
          <w:tcPr>
            <w:tcW w:w="2943" w:type="dxa"/>
            <w:vMerge w:val="restart"/>
          </w:tcPr>
          <w:p>
            <w:pPr>
              <w:pStyle w:val="TableParagraph"/>
              <w:rPr>
                <w:sz w:val="30"/>
              </w:rPr>
            </w:pPr>
          </w:p>
          <w:p>
            <w:pPr>
              <w:pStyle w:val="TableParagraph"/>
              <w:spacing w:before="8"/>
              <w:rPr>
                <w:sz w:val="29"/>
              </w:rPr>
            </w:pPr>
          </w:p>
          <w:p>
            <w:pPr>
              <w:pStyle w:val="TableParagraph"/>
              <w:spacing w:line="511" w:lineRule="auto"/>
              <w:ind w:left="967" w:right="166" w:hanging="780"/>
              <w:rPr>
                <w:sz w:val="28"/>
              </w:rPr>
            </w:pPr>
            <w:r>
              <w:rPr>
                <w:sz w:val="28"/>
              </w:rPr>
              <w:t>Гистологический тип опухоли</w:t>
            </w:r>
          </w:p>
        </w:tc>
        <w:tc>
          <w:tcPr>
            <w:tcW w:w="6630" w:type="dxa"/>
            <w:gridSpan w:val="4"/>
          </w:tcPr>
          <w:p>
            <w:pPr>
              <w:pStyle w:val="TableParagraph"/>
              <w:spacing w:line="317" w:lineRule="exact"/>
              <w:ind w:left="2267" w:right="2267"/>
              <w:jc w:val="center"/>
              <w:rPr>
                <w:sz w:val="28"/>
              </w:rPr>
            </w:pPr>
            <w:r>
              <w:rPr>
                <w:sz w:val="28"/>
              </w:rPr>
              <w:t>Возраст больных</w:t>
            </w:r>
          </w:p>
        </w:tc>
      </w:tr>
      <w:tr>
        <w:trPr>
          <w:trHeight w:val="694" w:hRule="exact"/>
        </w:trPr>
        <w:tc>
          <w:tcPr>
            <w:tcW w:w="2943" w:type="dxa"/>
            <w:vMerge/>
          </w:tcPr>
          <w:p>
            <w:pPr/>
          </w:p>
        </w:tc>
        <w:tc>
          <w:tcPr>
            <w:tcW w:w="3262" w:type="dxa"/>
            <w:gridSpan w:val="2"/>
          </w:tcPr>
          <w:p>
            <w:pPr>
              <w:pStyle w:val="TableParagraph"/>
              <w:spacing w:line="315" w:lineRule="exact"/>
              <w:ind w:left="623"/>
              <w:rPr>
                <w:sz w:val="28"/>
              </w:rPr>
            </w:pPr>
            <w:r>
              <w:rPr>
                <w:sz w:val="28"/>
              </w:rPr>
              <w:t>репродуктивный</w:t>
            </w:r>
          </w:p>
        </w:tc>
        <w:tc>
          <w:tcPr>
            <w:tcW w:w="3368" w:type="dxa"/>
            <w:gridSpan w:val="2"/>
          </w:tcPr>
          <w:p>
            <w:pPr>
              <w:pStyle w:val="TableParagraph"/>
              <w:spacing w:line="315" w:lineRule="exact"/>
              <w:ind w:left="789"/>
              <w:rPr>
                <w:sz w:val="28"/>
              </w:rPr>
            </w:pPr>
            <w:r>
              <w:rPr>
                <w:sz w:val="28"/>
              </w:rPr>
              <w:t>постменопауза</w:t>
            </w:r>
          </w:p>
        </w:tc>
      </w:tr>
      <w:tr>
        <w:trPr>
          <w:trHeight w:val="694" w:hRule="exact"/>
        </w:trPr>
        <w:tc>
          <w:tcPr>
            <w:tcW w:w="2943" w:type="dxa"/>
            <w:vMerge/>
          </w:tcPr>
          <w:p>
            <w:pPr/>
          </w:p>
        </w:tc>
        <w:tc>
          <w:tcPr>
            <w:tcW w:w="1702" w:type="dxa"/>
          </w:tcPr>
          <w:p>
            <w:pPr>
              <w:pStyle w:val="TableParagraph"/>
              <w:spacing w:line="316" w:lineRule="exact"/>
              <w:ind w:right="1"/>
              <w:jc w:val="center"/>
              <w:rPr>
                <w:sz w:val="28"/>
              </w:rPr>
            </w:pPr>
            <w:r>
              <w:rPr>
                <w:w w:val="100"/>
                <w:sz w:val="28"/>
              </w:rPr>
              <w:t>n</w:t>
            </w:r>
          </w:p>
        </w:tc>
        <w:tc>
          <w:tcPr>
            <w:tcW w:w="1560" w:type="dxa"/>
          </w:tcPr>
          <w:p>
            <w:pPr>
              <w:pStyle w:val="TableParagraph"/>
              <w:spacing w:line="316" w:lineRule="exact"/>
              <w:jc w:val="center"/>
              <w:rPr>
                <w:sz w:val="28"/>
              </w:rPr>
            </w:pPr>
            <w:r>
              <w:rPr>
                <w:w w:val="100"/>
                <w:sz w:val="28"/>
              </w:rPr>
              <w:t>%</w:t>
            </w:r>
          </w:p>
        </w:tc>
        <w:tc>
          <w:tcPr>
            <w:tcW w:w="1702" w:type="dxa"/>
          </w:tcPr>
          <w:p>
            <w:pPr>
              <w:pStyle w:val="TableParagraph"/>
              <w:spacing w:line="316" w:lineRule="exact"/>
              <w:ind w:right="1"/>
              <w:jc w:val="center"/>
              <w:rPr>
                <w:sz w:val="28"/>
              </w:rPr>
            </w:pPr>
            <w:r>
              <w:rPr>
                <w:w w:val="100"/>
                <w:sz w:val="28"/>
              </w:rPr>
              <w:t>n</w:t>
            </w:r>
          </w:p>
        </w:tc>
        <w:tc>
          <w:tcPr>
            <w:tcW w:w="1666" w:type="dxa"/>
          </w:tcPr>
          <w:p>
            <w:pPr>
              <w:pStyle w:val="TableParagraph"/>
              <w:spacing w:line="316" w:lineRule="exact"/>
              <w:ind w:right="1"/>
              <w:jc w:val="center"/>
              <w:rPr>
                <w:sz w:val="28"/>
              </w:rPr>
            </w:pPr>
            <w:r>
              <w:rPr>
                <w:w w:val="100"/>
                <w:sz w:val="28"/>
              </w:rPr>
              <w:t>%</w:t>
            </w:r>
          </w:p>
        </w:tc>
      </w:tr>
      <w:tr>
        <w:trPr>
          <w:trHeight w:val="691" w:hRule="exact"/>
        </w:trPr>
        <w:tc>
          <w:tcPr>
            <w:tcW w:w="2943" w:type="dxa"/>
          </w:tcPr>
          <w:p>
            <w:pPr>
              <w:pStyle w:val="TableParagraph"/>
              <w:spacing w:before="192"/>
              <w:ind w:left="321" w:right="321"/>
              <w:jc w:val="center"/>
              <w:rPr>
                <w:sz w:val="28"/>
              </w:rPr>
            </w:pPr>
            <w:r>
              <w:rPr>
                <w:color w:val="404040"/>
                <w:sz w:val="28"/>
              </w:rPr>
              <w:t>Серозный</w:t>
            </w:r>
          </w:p>
        </w:tc>
        <w:tc>
          <w:tcPr>
            <w:tcW w:w="1702" w:type="dxa"/>
          </w:tcPr>
          <w:p>
            <w:pPr>
              <w:pStyle w:val="TableParagraph"/>
              <w:spacing w:line="315" w:lineRule="exact"/>
              <w:ind w:left="312" w:right="310"/>
              <w:jc w:val="center"/>
              <w:rPr>
                <w:sz w:val="28"/>
              </w:rPr>
            </w:pPr>
            <w:r>
              <w:rPr>
                <w:sz w:val="28"/>
              </w:rPr>
              <w:t>42</w:t>
            </w:r>
          </w:p>
        </w:tc>
        <w:tc>
          <w:tcPr>
            <w:tcW w:w="1560" w:type="dxa"/>
          </w:tcPr>
          <w:p>
            <w:pPr>
              <w:pStyle w:val="TableParagraph"/>
              <w:spacing w:line="315" w:lineRule="exact"/>
              <w:ind w:left="188" w:right="188"/>
              <w:jc w:val="center"/>
              <w:rPr>
                <w:sz w:val="28"/>
              </w:rPr>
            </w:pPr>
            <w:r>
              <w:rPr>
                <w:sz w:val="28"/>
              </w:rPr>
              <w:t>66,7</w:t>
            </w:r>
          </w:p>
        </w:tc>
        <w:tc>
          <w:tcPr>
            <w:tcW w:w="1702" w:type="dxa"/>
          </w:tcPr>
          <w:p>
            <w:pPr>
              <w:pStyle w:val="TableParagraph"/>
              <w:spacing w:line="315" w:lineRule="exact"/>
              <w:ind w:left="313" w:right="312"/>
              <w:jc w:val="center"/>
              <w:rPr>
                <w:sz w:val="28"/>
              </w:rPr>
            </w:pPr>
            <w:r>
              <w:rPr>
                <w:sz w:val="28"/>
              </w:rPr>
              <w:t>58</w:t>
            </w:r>
          </w:p>
        </w:tc>
        <w:tc>
          <w:tcPr>
            <w:tcW w:w="1666" w:type="dxa"/>
          </w:tcPr>
          <w:p>
            <w:pPr>
              <w:pStyle w:val="TableParagraph"/>
              <w:spacing w:line="315" w:lineRule="exact"/>
              <w:ind w:left="492" w:right="492"/>
              <w:jc w:val="center"/>
              <w:rPr>
                <w:sz w:val="28"/>
              </w:rPr>
            </w:pPr>
            <w:r>
              <w:rPr>
                <w:sz w:val="28"/>
              </w:rPr>
              <w:t>81,7</w:t>
            </w:r>
          </w:p>
        </w:tc>
      </w:tr>
      <w:tr>
        <w:trPr>
          <w:trHeight w:val="694" w:hRule="exact"/>
        </w:trPr>
        <w:tc>
          <w:tcPr>
            <w:tcW w:w="2943" w:type="dxa"/>
          </w:tcPr>
          <w:p>
            <w:pPr>
              <w:pStyle w:val="TableParagraph"/>
              <w:spacing w:line="317" w:lineRule="exact"/>
              <w:ind w:left="320" w:right="321"/>
              <w:jc w:val="center"/>
              <w:rPr>
                <w:sz w:val="28"/>
              </w:rPr>
            </w:pPr>
            <w:r>
              <w:rPr>
                <w:sz w:val="28"/>
              </w:rPr>
              <w:t>Муцинозный</w:t>
            </w:r>
          </w:p>
        </w:tc>
        <w:tc>
          <w:tcPr>
            <w:tcW w:w="1702" w:type="dxa"/>
          </w:tcPr>
          <w:p>
            <w:pPr>
              <w:pStyle w:val="TableParagraph"/>
              <w:spacing w:line="317" w:lineRule="exact"/>
              <w:ind w:right="1"/>
              <w:jc w:val="center"/>
              <w:rPr>
                <w:sz w:val="28"/>
              </w:rPr>
            </w:pPr>
            <w:r>
              <w:rPr>
                <w:w w:val="100"/>
                <w:sz w:val="28"/>
              </w:rPr>
              <w:t>7</w:t>
            </w:r>
          </w:p>
        </w:tc>
        <w:tc>
          <w:tcPr>
            <w:tcW w:w="1560" w:type="dxa"/>
          </w:tcPr>
          <w:p>
            <w:pPr>
              <w:pStyle w:val="TableParagraph"/>
              <w:spacing w:line="317" w:lineRule="exact"/>
              <w:ind w:left="188" w:right="188"/>
              <w:jc w:val="center"/>
              <w:rPr>
                <w:sz w:val="28"/>
              </w:rPr>
            </w:pPr>
            <w:r>
              <w:rPr>
                <w:sz w:val="28"/>
              </w:rPr>
              <w:t>11,1</w:t>
            </w:r>
          </w:p>
        </w:tc>
        <w:tc>
          <w:tcPr>
            <w:tcW w:w="1702" w:type="dxa"/>
          </w:tcPr>
          <w:p>
            <w:pPr>
              <w:pStyle w:val="TableParagraph"/>
              <w:spacing w:line="317" w:lineRule="exact"/>
              <w:ind w:right="1"/>
              <w:jc w:val="center"/>
              <w:rPr>
                <w:sz w:val="28"/>
              </w:rPr>
            </w:pPr>
            <w:r>
              <w:rPr>
                <w:w w:val="100"/>
                <w:sz w:val="28"/>
              </w:rPr>
              <w:t>5</w:t>
            </w:r>
          </w:p>
        </w:tc>
        <w:tc>
          <w:tcPr>
            <w:tcW w:w="1666" w:type="dxa"/>
          </w:tcPr>
          <w:p>
            <w:pPr>
              <w:pStyle w:val="TableParagraph"/>
              <w:spacing w:line="317" w:lineRule="exact"/>
              <w:ind w:left="492" w:right="491"/>
              <w:jc w:val="center"/>
              <w:rPr>
                <w:sz w:val="28"/>
              </w:rPr>
            </w:pPr>
            <w:r>
              <w:rPr>
                <w:sz w:val="28"/>
              </w:rPr>
              <w:t>7,0</w:t>
            </w:r>
          </w:p>
        </w:tc>
      </w:tr>
      <w:tr>
        <w:trPr>
          <w:trHeight w:val="694" w:hRule="exact"/>
        </w:trPr>
        <w:tc>
          <w:tcPr>
            <w:tcW w:w="2943" w:type="dxa"/>
          </w:tcPr>
          <w:p>
            <w:pPr>
              <w:pStyle w:val="TableParagraph"/>
              <w:spacing w:line="315" w:lineRule="exact"/>
              <w:ind w:left="321" w:right="321"/>
              <w:jc w:val="center"/>
              <w:rPr>
                <w:sz w:val="28"/>
              </w:rPr>
            </w:pPr>
            <w:r>
              <w:rPr>
                <w:sz w:val="28"/>
              </w:rPr>
              <w:t>Эндометриоидный</w:t>
            </w:r>
          </w:p>
        </w:tc>
        <w:tc>
          <w:tcPr>
            <w:tcW w:w="1702" w:type="dxa"/>
          </w:tcPr>
          <w:p>
            <w:pPr>
              <w:pStyle w:val="TableParagraph"/>
              <w:spacing w:line="315" w:lineRule="exact"/>
              <w:ind w:left="312" w:right="311"/>
              <w:jc w:val="center"/>
              <w:rPr>
                <w:sz w:val="28"/>
              </w:rPr>
            </w:pPr>
            <w:r>
              <w:rPr>
                <w:sz w:val="28"/>
              </w:rPr>
              <w:t>13</w:t>
            </w:r>
          </w:p>
        </w:tc>
        <w:tc>
          <w:tcPr>
            <w:tcW w:w="1560" w:type="dxa"/>
          </w:tcPr>
          <w:p>
            <w:pPr>
              <w:pStyle w:val="TableParagraph"/>
              <w:spacing w:line="315" w:lineRule="exact"/>
              <w:ind w:left="188" w:right="188"/>
              <w:jc w:val="center"/>
              <w:rPr>
                <w:sz w:val="28"/>
              </w:rPr>
            </w:pPr>
            <w:r>
              <w:rPr>
                <w:sz w:val="28"/>
              </w:rPr>
              <w:t>20,6</w:t>
            </w:r>
          </w:p>
        </w:tc>
        <w:tc>
          <w:tcPr>
            <w:tcW w:w="1702" w:type="dxa"/>
          </w:tcPr>
          <w:p>
            <w:pPr>
              <w:pStyle w:val="TableParagraph"/>
              <w:spacing w:line="315" w:lineRule="exact"/>
              <w:ind w:right="1"/>
              <w:jc w:val="center"/>
              <w:rPr>
                <w:sz w:val="28"/>
              </w:rPr>
            </w:pPr>
            <w:r>
              <w:rPr>
                <w:w w:val="100"/>
                <w:sz w:val="28"/>
              </w:rPr>
              <w:t>6</w:t>
            </w:r>
          </w:p>
        </w:tc>
        <w:tc>
          <w:tcPr>
            <w:tcW w:w="1666" w:type="dxa"/>
          </w:tcPr>
          <w:p>
            <w:pPr>
              <w:pStyle w:val="TableParagraph"/>
              <w:spacing w:line="315" w:lineRule="exact"/>
              <w:ind w:left="492" w:right="491"/>
              <w:jc w:val="center"/>
              <w:rPr>
                <w:sz w:val="28"/>
              </w:rPr>
            </w:pPr>
            <w:r>
              <w:rPr>
                <w:sz w:val="28"/>
              </w:rPr>
              <w:t>8,5</w:t>
            </w:r>
          </w:p>
        </w:tc>
      </w:tr>
      <w:tr>
        <w:trPr>
          <w:trHeight w:val="694" w:hRule="exact"/>
        </w:trPr>
        <w:tc>
          <w:tcPr>
            <w:tcW w:w="2943" w:type="dxa"/>
          </w:tcPr>
          <w:p>
            <w:pPr>
              <w:pStyle w:val="TableParagraph"/>
              <w:spacing w:line="315" w:lineRule="exact"/>
              <w:ind w:left="321" w:right="321"/>
              <w:jc w:val="center"/>
              <w:rPr>
                <w:sz w:val="28"/>
              </w:rPr>
            </w:pPr>
            <w:r>
              <w:rPr>
                <w:sz w:val="28"/>
              </w:rPr>
              <w:t>Мезонефроидный</w:t>
            </w:r>
          </w:p>
        </w:tc>
        <w:tc>
          <w:tcPr>
            <w:tcW w:w="1702" w:type="dxa"/>
          </w:tcPr>
          <w:p>
            <w:pPr>
              <w:pStyle w:val="TableParagraph"/>
              <w:spacing w:line="315" w:lineRule="exact"/>
              <w:ind w:right="1"/>
              <w:jc w:val="center"/>
              <w:rPr>
                <w:sz w:val="28"/>
              </w:rPr>
            </w:pPr>
            <w:r>
              <w:rPr>
                <w:w w:val="100"/>
                <w:sz w:val="28"/>
              </w:rPr>
              <w:t>1</w:t>
            </w:r>
          </w:p>
        </w:tc>
        <w:tc>
          <w:tcPr>
            <w:tcW w:w="1560" w:type="dxa"/>
          </w:tcPr>
          <w:p>
            <w:pPr>
              <w:pStyle w:val="TableParagraph"/>
              <w:spacing w:line="315" w:lineRule="exact"/>
              <w:ind w:left="188" w:right="187"/>
              <w:jc w:val="center"/>
              <w:rPr>
                <w:sz w:val="28"/>
              </w:rPr>
            </w:pPr>
            <w:r>
              <w:rPr>
                <w:sz w:val="28"/>
              </w:rPr>
              <w:t>1,6</w:t>
            </w:r>
          </w:p>
        </w:tc>
        <w:tc>
          <w:tcPr>
            <w:tcW w:w="1702" w:type="dxa"/>
          </w:tcPr>
          <w:p>
            <w:pPr>
              <w:pStyle w:val="TableParagraph"/>
              <w:spacing w:line="315" w:lineRule="exact"/>
              <w:ind w:right="1"/>
              <w:jc w:val="center"/>
              <w:rPr>
                <w:sz w:val="28"/>
              </w:rPr>
            </w:pPr>
            <w:r>
              <w:rPr>
                <w:w w:val="100"/>
                <w:sz w:val="28"/>
              </w:rPr>
              <w:t>2</w:t>
            </w:r>
          </w:p>
        </w:tc>
        <w:tc>
          <w:tcPr>
            <w:tcW w:w="1666" w:type="dxa"/>
          </w:tcPr>
          <w:p>
            <w:pPr>
              <w:pStyle w:val="TableParagraph"/>
              <w:spacing w:line="315" w:lineRule="exact"/>
              <w:ind w:left="492" w:right="491"/>
              <w:jc w:val="center"/>
              <w:rPr>
                <w:sz w:val="28"/>
              </w:rPr>
            </w:pPr>
            <w:r>
              <w:rPr>
                <w:sz w:val="28"/>
              </w:rPr>
              <w:t>2,8</w:t>
            </w:r>
          </w:p>
        </w:tc>
      </w:tr>
      <w:tr>
        <w:trPr>
          <w:trHeight w:val="691" w:hRule="exact"/>
        </w:trPr>
        <w:tc>
          <w:tcPr>
            <w:tcW w:w="2943" w:type="dxa"/>
          </w:tcPr>
          <w:p>
            <w:pPr>
              <w:pStyle w:val="TableParagraph"/>
              <w:spacing w:line="315" w:lineRule="exact"/>
              <w:ind w:left="321" w:right="321"/>
              <w:jc w:val="center"/>
              <w:rPr>
                <w:sz w:val="28"/>
              </w:rPr>
            </w:pPr>
            <w:r>
              <w:rPr>
                <w:sz w:val="28"/>
              </w:rPr>
              <w:t>Всего</w:t>
            </w:r>
          </w:p>
        </w:tc>
        <w:tc>
          <w:tcPr>
            <w:tcW w:w="1702" w:type="dxa"/>
          </w:tcPr>
          <w:p>
            <w:pPr>
              <w:pStyle w:val="TableParagraph"/>
              <w:spacing w:line="315" w:lineRule="exact"/>
              <w:ind w:left="312" w:right="312"/>
              <w:jc w:val="center"/>
              <w:rPr>
                <w:sz w:val="28"/>
              </w:rPr>
            </w:pPr>
            <w:r>
              <w:rPr>
                <w:sz w:val="28"/>
              </w:rPr>
              <w:t>63 (47,0)</w:t>
            </w:r>
          </w:p>
        </w:tc>
        <w:tc>
          <w:tcPr>
            <w:tcW w:w="1560" w:type="dxa"/>
          </w:tcPr>
          <w:p>
            <w:pPr>
              <w:pStyle w:val="TableParagraph"/>
              <w:spacing w:line="315" w:lineRule="exact"/>
              <w:ind w:left="188" w:right="188"/>
              <w:jc w:val="center"/>
              <w:rPr>
                <w:sz w:val="28"/>
              </w:rPr>
            </w:pPr>
            <w:r>
              <w:rPr>
                <w:sz w:val="28"/>
              </w:rPr>
              <w:t>100,0</w:t>
            </w:r>
          </w:p>
        </w:tc>
        <w:tc>
          <w:tcPr>
            <w:tcW w:w="1702" w:type="dxa"/>
          </w:tcPr>
          <w:p>
            <w:pPr>
              <w:pStyle w:val="TableParagraph"/>
              <w:spacing w:line="315" w:lineRule="exact"/>
              <w:ind w:left="313" w:right="313"/>
              <w:jc w:val="center"/>
              <w:rPr>
                <w:sz w:val="28"/>
              </w:rPr>
            </w:pPr>
            <w:r>
              <w:rPr>
                <w:sz w:val="28"/>
              </w:rPr>
              <w:t>71 (53,0)</w:t>
            </w:r>
          </w:p>
        </w:tc>
        <w:tc>
          <w:tcPr>
            <w:tcW w:w="1666" w:type="dxa"/>
          </w:tcPr>
          <w:p>
            <w:pPr>
              <w:pStyle w:val="TableParagraph"/>
              <w:spacing w:line="315" w:lineRule="exact"/>
              <w:ind w:left="492" w:right="493"/>
              <w:jc w:val="center"/>
              <w:rPr>
                <w:sz w:val="28"/>
              </w:rPr>
            </w:pPr>
            <w:r>
              <w:rPr>
                <w:sz w:val="28"/>
              </w:rPr>
              <w:t>100,0</w:t>
            </w:r>
          </w:p>
        </w:tc>
      </w:tr>
    </w:tbl>
    <w:p>
      <w:pPr>
        <w:spacing w:after="0" w:line="315" w:lineRule="exact"/>
        <w:jc w:val="center"/>
        <w:rPr>
          <w:sz w:val="28"/>
        </w:rPr>
        <w:sectPr>
          <w:pgSz w:w="11900" w:h="16850"/>
          <w:pgMar w:header="712" w:footer="0" w:top="1020" w:bottom="280" w:left="1480" w:right="620"/>
        </w:sectPr>
      </w:pPr>
    </w:p>
    <w:p>
      <w:pPr>
        <w:pStyle w:val="BodyText"/>
        <w:rPr>
          <w:sz w:val="20"/>
        </w:rPr>
      </w:pPr>
    </w:p>
    <w:p>
      <w:pPr>
        <w:pStyle w:val="BodyText"/>
        <w:rPr>
          <w:sz w:val="20"/>
        </w:rPr>
      </w:pPr>
    </w:p>
    <w:p>
      <w:pPr>
        <w:pStyle w:val="BodyText"/>
        <w:spacing w:line="360" w:lineRule="auto" w:before="224"/>
        <w:ind w:left="122" w:right="398" w:firstLine="719"/>
        <w:jc w:val="both"/>
      </w:pPr>
      <w:r>
        <w:rPr/>
        <w:t>Преобладали больные серозной аденокарциномой яичников, которая достоверно чаще встречалась у больных в менопаузе. Следующим по частоте гистологическим типом оказалась муцинозная аденокарцинома, встретившаяся с одинаковой частотой в обеих возрастных группах. Проанализировано наличие сопутствующих заболеваний женских половых органов. Обращает на себя  внимание  значительная  частота  встречаемости заболеваний, связанных с нарушением репродуктивного и энергетического гомеостаза: фибромиома матки – у  60  (44,8%), железистая гиперплазия эндометрия – у 10 (7,5%), доброкачественные кисты второго яичника выявлены у 7</w:t>
      </w:r>
      <w:r>
        <w:rPr>
          <w:spacing w:val="-16"/>
        </w:rPr>
        <w:t> </w:t>
      </w:r>
      <w:r>
        <w:rPr/>
        <w:t>пациенток.</w:t>
      </w:r>
    </w:p>
    <w:p>
      <w:pPr>
        <w:pStyle w:val="BodyText"/>
        <w:spacing w:before="204"/>
        <w:ind w:right="400"/>
        <w:jc w:val="right"/>
      </w:pPr>
      <w:r>
        <w:rPr/>
        <w:t>Таблица 2.5</w:t>
      </w:r>
    </w:p>
    <w:p>
      <w:pPr>
        <w:pStyle w:val="BodyText"/>
      </w:pPr>
    </w:p>
    <w:p>
      <w:pPr>
        <w:pStyle w:val="BodyText"/>
        <w:spacing w:before="1"/>
        <w:ind w:left="1787"/>
      </w:pPr>
      <w:r>
        <w:rPr/>
        <w:t>Сопутствующих гинекологические заболевания</w:t>
      </w:r>
    </w:p>
    <w:p>
      <w:pPr>
        <w:pStyle w:val="BodyText"/>
        <w:rPr>
          <w:sz w:val="20"/>
        </w:rPr>
      </w:pPr>
    </w:p>
    <w:p>
      <w:pPr>
        <w:pStyle w:val="BodyText"/>
        <w:rPr>
          <w:sz w:val="20"/>
        </w:rPr>
      </w:pPr>
    </w:p>
    <w:p>
      <w:pPr>
        <w:pStyle w:val="BodyText"/>
        <w:rPr>
          <w:sz w:val="20"/>
        </w:rPr>
      </w:pPr>
    </w:p>
    <w:p>
      <w:pPr>
        <w:pStyle w:val="BodyText"/>
        <w:spacing w:before="5" w:after="1"/>
        <w:rPr>
          <w:sz w:val="24"/>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5"/>
        <w:gridCol w:w="2269"/>
        <w:gridCol w:w="1843"/>
      </w:tblGrid>
      <w:tr>
        <w:trPr>
          <w:trHeight w:val="1253" w:hRule="exact"/>
        </w:trPr>
        <w:tc>
          <w:tcPr>
            <w:tcW w:w="5245" w:type="dxa"/>
          </w:tcPr>
          <w:p>
            <w:pPr>
              <w:pStyle w:val="TableParagraph"/>
              <w:spacing w:before="132"/>
              <w:ind w:left="1221" w:right="1222"/>
              <w:jc w:val="center"/>
              <w:rPr>
                <w:sz w:val="28"/>
              </w:rPr>
            </w:pPr>
            <w:r>
              <w:rPr>
                <w:sz w:val="28"/>
              </w:rPr>
              <w:t>Сопутствующие гинекологические заболевания</w:t>
            </w:r>
          </w:p>
        </w:tc>
        <w:tc>
          <w:tcPr>
            <w:tcW w:w="2269" w:type="dxa"/>
          </w:tcPr>
          <w:p>
            <w:pPr>
              <w:pStyle w:val="TableParagraph"/>
              <w:spacing w:before="132"/>
              <w:ind w:left="604" w:right="604" w:firstLine="2"/>
              <w:jc w:val="center"/>
              <w:rPr>
                <w:sz w:val="28"/>
              </w:rPr>
            </w:pPr>
            <w:r>
              <w:rPr>
                <w:sz w:val="28"/>
              </w:rPr>
              <w:t>Кол-во Больных (n=134)</w:t>
            </w:r>
          </w:p>
        </w:tc>
        <w:tc>
          <w:tcPr>
            <w:tcW w:w="1843" w:type="dxa"/>
          </w:tcPr>
          <w:p>
            <w:pPr>
              <w:pStyle w:val="TableParagraph"/>
              <w:spacing w:before="5"/>
              <w:rPr>
                <w:sz w:val="39"/>
              </w:rPr>
            </w:pPr>
          </w:p>
          <w:p>
            <w:pPr>
              <w:pStyle w:val="TableParagraph"/>
              <w:ind w:right="1"/>
              <w:jc w:val="center"/>
              <w:rPr>
                <w:sz w:val="28"/>
              </w:rPr>
            </w:pPr>
            <w:r>
              <w:rPr>
                <w:w w:val="100"/>
                <w:sz w:val="28"/>
              </w:rPr>
              <w:t>%</w:t>
            </w:r>
          </w:p>
        </w:tc>
      </w:tr>
      <w:tr>
        <w:trPr>
          <w:trHeight w:val="653" w:hRule="exact"/>
        </w:trPr>
        <w:tc>
          <w:tcPr>
            <w:tcW w:w="5245" w:type="dxa"/>
          </w:tcPr>
          <w:p>
            <w:pPr>
              <w:pStyle w:val="TableParagraph"/>
              <w:spacing w:line="315" w:lineRule="exact"/>
              <w:ind w:left="1222" w:right="1222"/>
              <w:jc w:val="center"/>
              <w:rPr>
                <w:sz w:val="28"/>
              </w:rPr>
            </w:pPr>
            <w:r>
              <w:rPr>
                <w:sz w:val="28"/>
              </w:rPr>
              <w:t>Нет</w:t>
            </w:r>
          </w:p>
        </w:tc>
        <w:tc>
          <w:tcPr>
            <w:tcW w:w="2269" w:type="dxa"/>
          </w:tcPr>
          <w:p>
            <w:pPr>
              <w:pStyle w:val="TableParagraph"/>
              <w:spacing w:before="153"/>
              <w:ind w:left="88" w:right="87"/>
              <w:jc w:val="center"/>
              <w:rPr>
                <w:sz w:val="28"/>
              </w:rPr>
            </w:pPr>
            <w:r>
              <w:rPr>
                <w:sz w:val="28"/>
              </w:rPr>
              <w:t>69</w:t>
            </w:r>
          </w:p>
        </w:tc>
        <w:tc>
          <w:tcPr>
            <w:tcW w:w="1843" w:type="dxa"/>
          </w:tcPr>
          <w:p>
            <w:pPr>
              <w:pStyle w:val="TableParagraph"/>
              <w:spacing w:before="153"/>
              <w:ind w:left="651" w:right="651"/>
              <w:jc w:val="center"/>
              <w:rPr>
                <w:sz w:val="28"/>
              </w:rPr>
            </w:pPr>
            <w:r>
              <w:rPr>
                <w:sz w:val="28"/>
              </w:rPr>
              <w:t>51,5</w:t>
            </w:r>
          </w:p>
        </w:tc>
      </w:tr>
      <w:tr>
        <w:trPr>
          <w:trHeight w:val="655" w:hRule="exact"/>
        </w:trPr>
        <w:tc>
          <w:tcPr>
            <w:tcW w:w="5245" w:type="dxa"/>
          </w:tcPr>
          <w:p>
            <w:pPr>
              <w:pStyle w:val="TableParagraph"/>
              <w:spacing w:line="317" w:lineRule="exact"/>
              <w:ind w:left="1222" w:right="1222"/>
              <w:jc w:val="center"/>
              <w:rPr>
                <w:sz w:val="28"/>
              </w:rPr>
            </w:pPr>
            <w:r>
              <w:rPr>
                <w:sz w:val="28"/>
              </w:rPr>
              <w:t>Хронический аднексит</w:t>
            </w:r>
          </w:p>
        </w:tc>
        <w:tc>
          <w:tcPr>
            <w:tcW w:w="2269" w:type="dxa"/>
          </w:tcPr>
          <w:p>
            <w:pPr>
              <w:pStyle w:val="TableParagraph"/>
              <w:spacing w:before="156"/>
              <w:ind w:right="1"/>
              <w:jc w:val="center"/>
              <w:rPr>
                <w:sz w:val="28"/>
              </w:rPr>
            </w:pPr>
            <w:r>
              <w:rPr>
                <w:w w:val="100"/>
                <w:sz w:val="28"/>
              </w:rPr>
              <w:t>9</w:t>
            </w:r>
          </w:p>
        </w:tc>
        <w:tc>
          <w:tcPr>
            <w:tcW w:w="1843" w:type="dxa"/>
          </w:tcPr>
          <w:p>
            <w:pPr>
              <w:pStyle w:val="TableParagraph"/>
              <w:spacing w:before="156"/>
              <w:ind w:left="651" w:right="650"/>
              <w:jc w:val="center"/>
              <w:rPr>
                <w:sz w:val="28"/>
              </w:rPr>
            </w:pPr>
            <w:r>
              <w:rPr>
                <w:sz w:val="28"/>
              </w:rPr>
              <w:t>6,7</w:t>
            </w:r>
          </w:p>
        </w:tc>
      </w:tr>
      <w:tr>
        <w:trPr>
          <w:trHeight w:val="653" w:hRule="exact"/>
        </w:trPr>
        <w:tc>
          <w:tcPr>
            <w:tcW w:w="5245" w:type="dxa"/>
          </w:tcPr>
          <w:p>
            <w:pPr>
              <w:pStyle w:val="TableParagraph"/>
              <w:spacing w:line="315" w:lineRule="exact"/>
              <w:ind w:left="1221" w:right="1222"/>
              <w:jc w:val="center"/>
              <w:rPr>
                <w:sz w:val="28"/>
              </w:rPr>
            </w:pPr>
            <w:r>
              <w:rPr>
                <w:sz w:val="28"/>
              </w:rPr>
              <w:t>Фибромиома матки</w:t>
            </w:r>
          </w:p>
        </w:tc>
        <w:tc>
          <w:tcPr>
            <w:tcW w:w="2269" w:type="dxa"/>
          </w:tcPr>
          <w:p>
            <w:pPr>
              <w:pStyle w:val="TableParagraph"/>
              <w:spacing w:before="154"/>
              <w:ind w:left="88" w:right="87"/>
              <w:jc w:val="center"/>
              <w:rPr>
                <w:sz w:val="28"/>
              </w:rPr>
            </w:pPr>
            <w:r>
              <w:rPr>
                <w:sz w:val="28"/>
              </w:rPr>
              <w:t>60</w:t>
            </w:r>
          </w:p>
        </w:tc>
        <w:tc>
          <w:tcPr>
            <w:tcW w:w="1843" w:type="dxa"/>
          </w:tcPr>
          <w:p>
            <w:pPr>
              <w:pStyle w:val="TableParagraph"/>
              <w:spacing w:before="154"/>
              <w:ind w:left="651" w:right="651"/>
              <w:jc w:val="center"/>
              <w:rPr>
                <w:sz w:val="28"/>
              </w:rPr>
            </w:pPr>
            <w:r>
              <w:rPr>
                <w:sz w:val="28"/>
              </w:rPr>
              <w:t>44,8</w:t>
            </w:r>
          </w:p>
        </w:tc>
      </w:tr>
      <w:tr>
        <w:trPr>
          <w:trHeight w:val="655" w:hRule="exact"/>
        </w:trPr>
        <w:tc>
          <w:tcPr>
            <w:tcW w:w="5245" w:type="dxa"/>
          </w:tcPr>
          <w:p>
            <w:pPr>
              <w:pStyle w:val="TableParagraph"/>
              <w:spacing w:line="317" w:lineRule="exact"/>
              <w:ind w:left="1222" w:right="1222"/>
              <w:jc w:val="center"/>
              <w:rPr>
                <w:sz w:val="28"/>
              </w:rPr>
            </w:pPr>
            <w:r>
              <w:rPr>
                <w:sz w:val="28"/>
              </w:rPr>
              <w:t>Эндометриоз</w:t>
            </w:r>
          </w:p>
        </w:tc>
        <w:tc>
          <w:tcPr>
            <w:tcW w:w="2269" w:type="dxa"/>
          </w:tcPr>
          <w:p>
            <w:pPr>
              <w:pStyle w:val="TableParagraph"/>
              <w:spacing w:before="156"/>
              <w:ind w:right="1"/>
              <w:jc w:val="center"/>
              <w:rPr>
                <w:sz w:val="28"/>
              </w:rPr>
            </w:pPr>
            <w:r>
              <w:rPr>
                <w:w w:val="100"/>
                <w:sz w:val="28"/>
              </w:rPr>
              <w:t>5</w:t>
            </w:r>
          </w:p>
        </w:tc>
        <w:tc>
          <w:tcPr>
            <w:tcW w:w="1843" w:type="dxa"/>
          </w:tcPr>
          <w:p>
            <w:pPr>
              <w:pStyle w:val="TableParagraph"/>
              <w:spacing w:before="156"/>
              <w:ind w:left="651" w:right="650"/>
              <w:jc w:val="center"/>
              <w:rPr>
                <w:sz w:val="28"/>
              </w:rPr>
            </w:pPr>
            <w:r>
              <w:rPr>
                <w:sz w:val="28"/>
              </w:rPr>
              <w:t>3,7</w:t>
            </w:r>
          </w:p>
        </w:tc>
      </w:tr>
      <w:tr>
        <w:trPr>
          <w:trHeight w:val="653" w:hRule="exact"/>
        </w:trPr>
        <w:tc>
          <w:tcPr>
            <w:tcW w:w="5245" w:type="dxa"/>
          </w:tcPr>
          <w:p>
            <w:pPr>
              <w:pStyle w:val="TableParagraph"/>
              <w:spacing w:line="315" w:lineRule="exact"/>
              <w:ind w:left="389" w:right="390"/>
              <w:jc w:val="center"/>
              <w:rPr>
                <w:sz w:val="28"/>
              </w:rPr>
            </w:pPr>
            <w:r>
              <w:rPr>
                <w:sz w:val="28"/>
              </w:rPr>
              <w:t>Железистая гиперплазия эндометрия</w:t>
            </w:r>
          </w:p>
        </w:tc>
        <w:tc>
          <w:tcPr>
            <w:tcW w:w="2269" w:type="dxa"/>
          </w:tcPr>
          <w:p>
            <w:pPr>
              <w:pStyle w:val="TableParagraph"/>
              <w:spacing w:before="153"/>
              <w:ind w:left="88" w:right="87"/>
              <w:jc w:val="center"/>
              <w:rPr>
                <w:sz w:val="28"/>
              </w:rPr>
            </w:pPr>
            <w:r>
              <w:rPr>
                <w:sz w:val="28"/>
              </w:rPr>
              <w:t>10</w:t>
            </w:r>
          </w:p>
        </w:tc>
        <w:tc>
          <w:tcPr>
            <w:tcW w:w="1843" w:type="dxa"/>
          </w:tcPr>
          <w:p>
            <w:pPr>
              <w:pStyle w:val="TableParagraph"/>
              <w:spacing w:before="153"/>
              <w:ind w:left="651" w:right="650"/>
              <w:jc w:val="center"/>
              <w:rPr>
                <w:sz w:val="28"/>
              </w:rPr>
            </w:pPr>
            <w:r>
              <w:rPr>
                <w:sz w:val="28"/>
              </w:rPr>
              <w:t>7,5</w:t>
            </w:r>
          </w:p>
        </w:tc>
      </w:tr>
      <w:tr>
        <w:trPr>
          <w:trHeight w:val="655" w:hRule="exact"/>
        </w:trPr>
        <w:tc>
          <w:tcPr>
            <w:tcW w:w="5245" w:type="dxa"/>
          </w:tcPr>
          <w:p>
            <w:pPr>
              <w:pStyle w:val="TableParagraph"/>
              <w:spacing w:line="317" w:lineRule="exact"/>
              <w:ind w:left="389" w:right="390"/>
              <w:jc w:val="center"/>
              <w:rPr>
                <w:sz w:val="28"/>
              </w:rPr>
            </w:pPr>
            <w:r>
              <w:rPr>
                <w:sz w:val="28"/>
              </w:rPr>
              <w:t>Доброкачественная  киста яичников</w:t>
            </w:r>
          </w:p>
        </w:tc>
        <w:tc>
          <w:tcPr>
            <w:tcW w:w="2269" w:type="dxa"/>
          </w:tcPr>
          <w:p>
            <w:pPr>
              <w:pStyle w:val="TableParagraph"/>
              <w:spacing w:before="156"/>
              <w:ind w:right="1"/>
              <w:jc w:val="center"/>
              <w:rPr>
                <w:sz w:val="28"/>
              </w:rPr>
            </w:pPr>
            <w:r>
              <w:rPr>
                <w:w w:val="100"/>
                <w:sz w:val="28"/>
              </w:rPr>
              <w:t>7</w:t>
            </w:r>
          </w:p>
        </w:tc>
        <w:tc>
          <w:tcPr>
            <w:tcW w:w="1843" w:type="dxa"/>
          </w:tcPr>
          <w:p>
            <w:pPr>
              <w:pStyle w:val="TableParagraph"/>
              <w:spacing w:before="156"/>
              <w:ind w:left="651" w:right="650"/>
              <w:jc w:val="center"/>
              <w:rPr>
                <w:sz w:val="28"/>
              </w:rPr>
            </w:pPr>
            <w:r>
              <w:rPr>
                <w:sz w:val="28"/>
              </w:rPr>
              <w:t>5,2</w:t>
            </w:r>
          </w:p>
        </w:tc>
      </w:tr>
    </w:tbl>
    <w:p>
      <w:pPr>
        <w:pStyle w:val="BodyText"/>
        <w:rPr>
          <w:sz w:val="20"/>
        </w:rPr>
      </w:pPr>
    </w:p>
    <w:p>
      <w:pPr>
        <w:pStyle w:val="BodyText"/>
        <w:spacing w:before="6"/>
        <w:rPr>
          <w:sz w:val="27"/>
        </w:rPr>
      </w:pPr>
    </w:p>
    <w:p>
      <w:pPr>
        <w:pStyle w:val="BodyText"/>
        <w:spacing w:line="482" w:lineRule="auto" w:before="89"/>
        <w:ind w:left="122" w:right="388" w:firstLine="719"/>
      </w:pPr>
      <w:r>
        <w:rPr/>
        <w:t>В описываемой группе больных минимальная масса тела равнялась 43,0 кг, максимальная – 102,0 кг, средняя масса составила 68,7</w:t>
      </w:r>
      <w:r>
        <w:rPr>
          <w:u w:val="single"/>
        </w:rPr>
        <w:t>+</w:t>
      </w:r>
      <w:r>
        <w:rPr/>
        <w:t>0,9 кг.</w:t>
      </w:r>
    </w:p>
    <w:p>
      <w:pPr>
        <w:spacing w:after="0" w:line="482" w:lineRule="auto"/>
        <w:sectPr>
          <w:pgSz w:w="11900" w:h="16850"/>
          <w:pgMar w:header="712" w:footer="0" w:top="1020" w:bottom="280" w:left="1580" w:right="720"/>
        </w:sectPr>
      </w:pPr>
    </w:p>
    <w:p>
      <w:pPr>
        <w:pStyle w:val="BodyText"/>
        <w:rPr>
          <w:sz w:val="20"/>
        </w:rPr>
      </w:pPr>
    </w:p>
    <w:p>
      <w:pPr>
        <w:pStyle w:val="BodyText"/>
        <w:spacing w:before="2"/>
      </w:pPr>
    </w:p>
    <w:p>
      <w:pPr>
        <w:pStyle w:val="BodyText"/>
        <w:spacing w:line="482" w:lineRule="auto" w:before="89"/>
        <w:ind w:left="102"/>
      </w:pPr>
      <w:r>
        <w:rPr/>
        <w:t>Более половины больных страдали ожирением I – II степени. 13 больных (10%) страдали сахарным диабетом.</w:t>
      </w:r>
    </w:p>
    <w:p>
      <w:pPr>
        <w:pStyle w:val="BodyText"/>
        <w:spacing w:line="360" w:lineRule="auto" w:before="8"/>
        <w:ind w:left="102" w:right="99" w:firstLine="417"/>
        <w:jc w:val="both"/>
      </w:pPr>
      <w:r>
        <w:rPr/>
        <w:t>Третья группа в разделе, касающимся рака яичников была сформирована с целью уточнения показаний и клинической оценки эффективности выполнения повторных циторедуктивных операций открытым и лапароскопическим доступами. Мы проанализировали клинико-морфологические данные о 687 больных злокачественными опухолями яичников различных стадий, лечившихся в НИИ Онкологии им. проф. Н.Н.Петрова и в Научно-практическом онкологическом центре в период с 1990 по 2013 годы. Исследование проведено в двух группах больных. В первую, основную, группу включены 389 больных, которые подверглись повторным операциям. Вторую, контрольную, группу составили 298 больных, которым подобные операции не выполнялись. Обе группы оказались сопоставимы по основным прогностическим признакам: стадии заболевания, возрасту и гистологическому типу опухоли. Преобладали III – IV стадии серозной (52%) и эндометриоидной (13%) аденокарциномы. Среди больных, включенных в исследование, лечение было начато с операции у 76,4% больных основной и 62,3% контрольной групп. Оптимальная циторедукция достигнута у 28,6% больных 1-ой группы и 48,2% у пациенток 2-ой группы. После выполнения оперативного вмешательства дальнейшая терапия осуществлялась с учетом данных операционных находок и гистологического заключения. Большинство больных (77,0% и 94% соответственно) после операции получали полихимиотерапию. Некоторым больным наряду с химиотерапией дополнительно назначали гормональное или лучевое лечение. 104 (20,4%) больные основной и 16 (5,4%) контрольной групп поступили на лечение после первичной нерадикальной операции, выполненной в неспециализированных лечебных учреждениях.</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1"/>
        <w:numPr>
          <w:ilvl w:val="1"/>
          <w:numId w:val="14"/>
        </w:numPr>
        <w:tabs>
          <w:tab w:pos="3468" w:val="left" w:leader="none"/>
        </w:tabs>
        <w:spacing w:line="240" w:lineRule="auto" w:before="89" w:after="0"/>
        <w:ind w:left="3467" w:right="0" w:hanging="492"/>
        <w:jc w:val="left"/>
      </w:pPr>
      <w:r>
        <w:rPr/>
        <w:t>Методы</w:t>
      </w:r>
      <w:r>
        <w:rPr>
          <w:spacing w:val="-8"/>
        </w:rPr>
        <w:t> </w:t>
      </w:r>
      <w:r>
        <w:rPr/>
        <w:t>исследования</w:t>
      </w:r>
    </w:p>
    <w:p>
      <w:pPr>
        <w:pStyle w:val="BodyText"/>
        <w:rPr>
          <w:b/>
          <w:sz w:val="30"/>
        </w:rPr>
      </w:pPr>
    </w:p>
    <w:p>
      <w:pPr>
        <w:pStyle w:val="BodyText"/>
        <w:spacing w:before="5"/>
        <w:rPr>
          <w:b/>
          <w:sz w:val="25"/>
        </w:rPr>
      </w:pPr>
    </w:p>
    <w:p>
      <w:pPr>
        <w:pStyle w:val="BodyText"/>
        <w:spacing w:line="360" w:lineRule="auto"/>
        <w:ind w:left="102" w:right="108" w:firstLine="347"/>
        <w:jc w:val="both"/>
      </w:pPr>
      <w:r>
        <w:rPr/>
        <w:t>В своей работе мы применили лабораторные, инструментальные и статистический методы исследования.</w:t>
      </w:r>
    </w:p>
    <w:p>
      <w:pPr>
        <w:pStyle w:val="BodyText"/>
        <w:rPr>
          <w:sz w:val="30"/>
        </w:rPr>
      </w:pPr>
    </w:p>
    <w:p>
      <w:pPr>
        <w:pStyle w:val="BodyText"/>
        <w:rPr>
          <w:sz w:val="30"/>
        </w:rPr>
      </w:pPr>
    </w:p>
    <w:p>
      <w:pPr>
        <w:pStyle w:val="BodyText"/>
        <w:spacing w:before="11"/>
        <w:rPr>
          <w:sz w:val="24"/>
        </w:rPr>
      </w:pPr>
    </w:p>
    <w:p>
      <w:pPr>
        <w:pStyle w:val="Heading1"/>
        <w:numPr>
          <w:ilvl w:val="2"/>
          <w:numId w:val="18"/>
        </w:numPr>
        <w:tabs>
          <w:tab w:pos="2642" w:val="left" w:leader="none"/>
        </w:tabs>
        <w:spacing w:line="240" w:lineRule="auto" w:before="0" w:after="0"/>
        <w:ind w:left="2641" w:right="0" w:hanging="701"/>
        <w:jc w:val="left"/>
      </w:pPr>
      <w:r>
        <w:rPr/>
        <w:t>Лабораторные методы</w:t>
      </w:r>
      <w:r>
        <w:rPr>
          <w:spacing w:val="-9"/>
        </w:rPr>
        <w:t> </w:t>
      </w:r>
      <w:r>
        <w:rPr/>
        <w:t>исследования</w:t>
      </w:r>
    </w:p>
    <w:p>
      <w:pPr>
        <w:pStyle w:val="BodyText"/>
        <w:rPr>
          <w:b/>
          <w:sz w:val="30"/>
        </w:rPr>
      </w:pPr>
    </w:p>
    <w:p>
      <w:pPr>
        <w:pStyle w:val="BodyText"/>
        <w:spacing w:before="5"/>
        <w:rPr>
          <w:b/>
          <w:sz w:val="25"/>
        </w:rPr>
      </w:pPr>
    </w:p>
    <w:p>
      <w:pPr>
        <w:pStyle w:val="BodyText"/>
        <w:ind w:left="102"/>
        <w:jc w:val="both"/>
      </w:pPr>
      <w:r>
        <w:rPr/>
        <w:t>Цитологический метод</w:t>
      </w:r>
    </w:p>
    <w:p>
      <w:pPr>
        <w:pStyle w:val="BodyText"/>
        <w:spacing w:line="352" w:lineRule="auto" w:before="162"/>
        <w:ind w:left="102" w:right="99" w:firstLine="347"/>
        <w:jc w:val="both"/>
      </w:pPr>
      <w:r>
        <w:rPr/>
        <w:t>Мазки с поверхности шейки матки, из цервикального канала, аспират из полости матки, выпот из малого таза равномерно тонким слоем распределялись на предметном стекле, фиксировались 96</w:t>
      </w:r>
      <w:r>
        <w:rPr>
          <w:position w:val="13"/>
          <w:sz w:val="18"/>
        </w:rPr>
        <w:t>о </w:t>
      </w:r>
      <w:r>
        <w:rPr/>
        <w:t>спиртом с последующей окраской по Майеру и исследованием с помощью светового микроскопа.</w:t>
      </w:r>
    </w:p>
    <w:p>
      <w:pPr>
        <w:pStyle w:val="BodyText"/>
        <w:spacing w:before="1"/>
        <w:rPr>
          <w:sz w:val="43"/>
        </w:rPr>
      </w:pPr>
    </w:p>
    <w:p>
      <w:pPr>
        <w:pStyle w:val="BodyText"/>
        <w:spacing w:before="1"/>
        <w:ind w:left="102"/>
        <w:jc w:val="both"/>
      </w:pPr>
      <w:r>
        <w:rPr/>
        <w:t>Гистологический метод</w:t>
      </w:r>
    </w:p>
    <w:p>
      <w:pPr>
        <w:pStyle w:val="BodyText"/>
        <w:spacing w:line="360" w:lineRule="auto" w:before="160"/>
        <w:ind w:left="102" w:right="99" w:firstLine="347"/>
        <w:jc w:val="both"/>
      </w:pPr>
      <w:r>
        <w:rPr/>
        <w:t>Исследование проводилось с использованием микроскопа Leica DM 2000, микросъёмка – с помощью цифровой фотокамеры Leica DFC 320. Обработку цифровых изображений проводили на персональном компьютере с использованием пакета прикладных программ «Adobe Photoshop CS».</w:t>
      </w:r>
    </w:p>
    <w:p>
      <w:pPr>
        <w:pStyle w:val="BodyText"/>
        <w:spacing w:line="360" w:lineRule="auto" w:before="7"/>
        <w:ind w:left="102" w:right="107" w:firstLine="278"/>
        <w:jc w:val="both"/>
      </w:pPr>
      <w:r>
        <w:rPr/>
        <w:t>Окрашивание микропрепаратов осуществлялось гематоксилином и эозином.</w:t>
      </w:r>
    </w:p>
    <w:p>
      <w:pPr>
        <w:pStyle w:val="BodyText"/>
        <w:spacing w:line="360" w:lineRule="auto" w:before="5"/>
        <w:ind w:left="102" w:right="99"/>
        <w:jc w:val="both"/>
      </w:pPr>
      <w:r>
        <w:rPr/>
        <w:t>Морфологические исследования проводились в патологоанатомическом отделении ФГБУ «НИИ онкологии им. Н.Н.Петрова» МЗ России под руководством к.м.н. В.Ф. Климашевского и в патологоанатомическом отделении клинического научно – практического онкологического центра (руководитель – д.м.н. Шелехова К.В.)</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1"/>
        <w:numPr>
          <w:ilvl w:val="2"/>
          <w:numId w:val="18"/>
        </w:numPr>
        <w:tabs>
          <w:tab w:pos="2322" w:val="left" w:leader="none"/>
        </w:tabs>
        <w:spacing w:line="240" w:lineRule="auto" w:before="89" w:after="0"/>
        <w:ind w:left="2321" w:right="0" w:hanging="700"/>
        <w:jc w:val="left"/>
      </w:pPr>
      <w:r>
        <w:rPr/>
        <w:t>Инструментальные методы</w:t>
      </w:r>
      <w:r>
        <w:rPr>
          <w:spacing w:val="-14"/>
        </w:rPr>
        <w:t> </w:t>
      </w:r>
      <w:r>
        <w:rPr/>
        <w:t>исследования</w:t>
      </w:r>
    </w:p>
    <w:p>
      <w:pPr>
        <w:pStyle w:val="BodyText"/>
        <w:rPr>
          <w:b/>
          <w:sz w:val="30"/>
        </w:rPr>
      </w:pPr>
    </w:p>
    <w:p>
      <w:pPr>
        <w:pStyle w:val="BodyText"/>
        <w:spacing w:before="5"/>
        <w:rPr>
          <w:b/>
          <w:sz w:val="25"/>
        </w:rPr>
      </w:pPr>
    </w:p>
    <w:p>
      <w:pPr>
        <w:pStyle w:val="BodyText"/>
        <w:spacing w:line="360" w:lineRule="auto"/>
        <w:ind w:left="102" w:right="100" w:firstLine="417"/>
        <w:jc w:val="both"/>
      </w:pPr>
      <w:r>
        <w:rPr/>
        <w:t>Степень распространения опухолевого процесса предварительно оценивалось с помощью методов лучевой диагностики: магнитно – резонансной томографии, ультразвукового исследования, реже – компьютерной томографии органов брюшной полости и малого таза.</w:t>
      </w:r>
    </w:p>
    <w:p>
      <w:pPr>
        <w:pStyle w:val="BodyText"/>
        <w:spacing w:line="360" w:lineRule="auto" w:before="5"/>
        <w:ind w:left="102" w:right="100" w:firstLine="347"/>
        <w:jc w:val="both"/>
      </w:pPr>
      <w:r>
        <w:rPr/>
        <w:t>Исследования выполнялись ФГБУ «НИИ онкологии им. Н.Н.Петрова» МЗ России под руководством д.м.н., проф. А.В. Мищенко и в отделении лучевой диагностики клинического научно – практического онкологического центра, руководитель – к.м.н. А.А. Мелдо.</w:t>
      </w:r>
    </w:p>
    <w:p>
      <w:pPr>
        <w:pStyle w:val="BodyText"/>
        <w:spacing w:before="5"/>
        <w:ind w:left="102"/>
      </w:pPr>
      <w:r>
        <w:rPr/>
        <w:t>Ультразвуковое исследование с цветным допплеровским картированием.</w:t>
      </w:r>
    </w:p>
    <w:p>
      <w:pPr>
        <w:pStyle w:val="BodyText"/>
        <w:spacing w:line="360" w:lineRule="auto" w:before="160"/>
        <w:ind w:left="102" w:right="98" w:firstLine="347"/>
        <w:jc w:val="both"/>
      </w:pPr>
      <w:r>
        <w:rPr/>
        <w:t>Исследование проводилось на аппарате Aloka prosaund SSD 3500 SX (USA). Применялись конвексные датчики с частотой: трансабдоминальный 2,5-3,8 МГц, трансвагинальный 6-7,5 МГц.</w:t>
      </w:r>
    </w:p>
    <w:p>
      <w:pPr>
        <w:pStyle w:val="BodyText"/>
        <w:spacing w:line="360" w:lineRule="auto" w:before="5"/>
        <w:ind w:left="102" w:right="106" w:firstLine="347"/>
        <w:jc w:val="both"/>
      </w:pPr>
      <w:r>
        <w:rPr/>
        <w:t>Оценивалось состояние органов малого таза, органов брюшной полости и забрюшинного пространства.</w:t>
      </w:r>
    </w:p>
    <w:p>
      <w:pPr>
        <w:pStyle w:val="BodyText"/>
        <w:spacing w:before="5"/>
        <w:ind w:left="102"/>
      </w:pPr>
      <w:r>
        <w:rPr/>
        <w:t>Магнитно-резонансная томография.</w:t>
      </w:r>
    </w:p>
    <w:p>
      <w:pPr>
        <w:pStyle w:val="BodyText"/>
        <w:spacing w:line="360" w:lineRule="auto" w:before="162"/>
        <w:ind w:left="102" w:right="98" w:firstLine="347"/>
        <w:jc w:val="both"/>
      </w:pPr>
      <w:r>
        <w:rPr/>
        <w:t>При исследовании органов малого таза и области парааортальных лимфатических узлов применялся магнитно-резонансный  томограф  фирмы General Electric (GE) Signa Excite HD 1.5T (2006, Milwaukee, USA). Технические характеристики: напряженность магнитного поля: 1.5Т; гибкая четырех канальная катушка – TORSOPA. Контрастирующий эффект осуществлялся при обследовании органов малого таза, парааортальных лимфатических узлов с помощью средства «Магневист» 0,5ммоль; при одномоментной оценке двух зон – «Гадовист» 1,0ммоль (Bayer Schering</w:t>
      </w:r>
      <w:r>
        <w:rPr>
          <w:spacing w:val="-10"/>
        </w:rPr>
        <w:t> </w:t>
      </w:r>
      <w:r>
        <w:rPr/>
        <w:t>Pharma).</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1"/>
        <w:numPr>
          <w:ilvl w:val="1"/>
          <w:numId w:val="14"/>
        </w:numPr>
        <w:tabs>
          <w:tab w:pos="1721" w:val="left" w:leader="none"/>
          <w:tab w:pos="1722" w:val="left" w:leader="none"/>
        </w:tabs>
        <w:spacing w:line="240" w:lineRule="auto" w:before="89" w:after="0"/>
        <w:ind w:left="1722" w:right="0" w:hanging="701"/>
        <w:jc w:val="left"/>
      </w:pPr>
      <w:r>
        <w:rPr/>
        <w:t>Эндовидеохирургическое техническое</w:t>
      </w:r>
      <w:r>
        <w:rPr>
          <w:spacing w:val="55"/>
        </w:rPr>
        <w:t> </w:t>
      </w:r>
      <w:r>
        <w:rPr/>
        <w:t>обеспечение</w:t>
      </w:r>
    </w:p>
    <w:p>
      <w:pPr>
        <w:pStyle w:val="BodyText"/>
        <w:rPr>
          <w:b/>
          <w:sz w:val="30"/>
        </w:rPr>
      </w:pPr>
    </w:p>
    <w:p>
      <w:pPr>
        <w:pStyle w:val="BodyText"/>
        <w:spacing w:before="5"/>
        <w:rPr>
          <w:b/>
          <w:sz w:val="25"/>
        </w:rPr>
      </w:pPr>
    </w:p>
    <w:p>
      <w:pPr>
        <w:pStyle w:val="BodyText"/>
        <w:spacing w:line="360" w:lineRule="auto"/>
        <w:ind w:left="102" w:firstLine="347"/>
      </w:pPr>
      <w:r>
        <w:rPr/>
        <w:t>Лапароскопические операции выполнялись на эндовидеохирургическом комплексе фирмы Karl Storz с применением:</w:t>
      </w:r>
    </w:p>
    <w:p>
      <w:pPr>
        <w:pStyle w:val="ListParagraph"/>
        <w:numPr>
          <w:ilvl w:val="0"/>
          <w:numId w:val="19"/>
        </w:numPr>
        <w:tabs>
          <w:tab w:pos="591" w:val="left" w:leader="none"/>
        </w:tabs>
        <w:spacing w:line="360" w:lineRule="auto" w:before="7" w:after="0"/>
        <w:ind w:left="102" w:right="101" w:firstLine="0"/>
        <w:jc w:val="both"/>
        <w:rPr>
          <w:sz w:val="28"/>
        </w:rPr>
      </w:pPr>
      <w:r>
        <w:rPr>
          <w:sz w:val="28"/>
        </w:rPr>
        <w:t>электрохирургической модульной станции с функцией Biclamp, адаптированной к высокочастотному электрохирургическому генератору фирмы «ERBE» VIO 300D (Germany,</w:t>
      </w:r>
      <w:r>
        <w:rPr>
          <w:spacing w:val="-10"/>
          <w:sz w:val="28"/>
        </w:rPr>
        <w:t> </w:t>
      </w:r>
      <w:r>
        <w:rPr>
          <w:sz w:val="28"/>
        </w:rPr>
        <w:t>2010)</w:t>
      </w:r>
    </w:p>
    <w:p>
      <w:pPr>
        <w:pStyle w:val="ListParagraph"/>
        <w:numPr>
          <w:ilvl w:val="0"/>
          <w:numId w:val="19"/>
        </w:numPr>
        <w:tabs>
          <w:tab w:pos="580" w:val="left" w:leader="none"/>
        </w:tabs>
        <w:spacing w:line="360" w:lineRule="auto" w:before="5" w:after="0"/>
        <w:ind w:left="102" w:right="108" w:firstLine="0"/>
        <w:jc w:val="both"/>
        <w:rPr>
          <w:sz w:val="28"/>
        </w:rPr>
      </w:pPr>
      <w:r>
        <w:rPr>
          <w:sz w:val="28"/>
        </w:rPr>
        <w:t>стандартный набор манипуляторов: биполярный коагуляционный мягкий зажим, захватывающие щипцы, лапароскопический монополярный крючок, ножницы, иглодержатели (Рис. 2.14 а,</w:t>
      </w:r>
      <w:r>
        <w:rPr>
          <w:spacing w:val="-11"/>
          <w:sz w:val="28"/>
        </w:rPr>
        <w:t> </w:t>
      </w:r>
      <w:r>
        <w:rPr>
          <w:sz w:val="28"/>
        </w:rPr>
        <w:t>б).</w:t>
      </w:r>
    </w:p>
    <w:p>
      <w:pPr>
        <w:pStyle w:val="BodyText"/>
        <w:tabs>
          <w:tab w:pos="5125" w:val="left" w:leader="none"/>
        </w:tabs>
        <w:spacing w:line="360" w:lineRule="auto" w:before="5"/>
        <w:ind w:left="171" w:right="102" w:firstLine="6968"/>
      </w:pPr>
      <w:r>
        <w:rPr/>
        <w:t>Рисунок 2.14 а, б а -</w:t>
      </w:r>
      <w:r>
        <w:rPr>
          <w:spacing w:val="-6"/>
        </w:rPr>
        <w:t> </w:t>
      </w:r>
      <w:r>
        <w:rPr/>
        <w:t>эндовидеохирургический</w:t>
      </w:r>
      <w:r>
        <w:rPr>
          <w:spacing w:val="-2"/>
        </w:rPr>
        <w:t> </w:t>
      </w:r>
      <w:r>
        <w:rPr/>
        <w:t>комплекс;</w:t>
        <w:tab/>
        <w:t>б – хирургические</w:t>
      </w:r>
      <w:r>
        <w:rPr>
          <w:spacing w:val="-8"/>
        </w:rPr>
        <w:t> </w:t>
      </w:r>
      <w:r>
        <w:rPr/>
        <w:t>инструменты</w:t>
      </w:r>
    </w:p>
    <w:p>
      <w:pPr>
        <w:pStyle w:val="BodyText"/>
        <w:rPr>
          <w:sz w:val="20"/>
        </w:rPr>
      </w:pPr>
    </w:p>
    <w:p>
      <w:pPr>
        <w:pStyle w:val="BodyText"/>
        <w:spacing w:before="8"/>
        <w:rPr>
          <w:sz w:val="13"/>
        </w:rPr>
      </w:pPr>
      <w:r>
        <w:rPr/>
        <w:drawing>
          <wp:anchor distT="0" distB="0" distL="0" distR="0" allowOverlap="1" layoutInCell="1" locked="0" behindDoc="0" simplePos="0" relativeHeight="2032">
            <wp:simplePos x="0" y="0"/>
            <wp:positionH relativeFrom="page">
              <wp:posOffset>1080135</wp:posOffset>
            </wp:positionH>
            <wp:positionV relativeFrom="paragraph">
              <wp:posOffset>124764</wp:posOffset>
            </wp:positionV>
            <wp:extent cx="2408920" cy="2267712"/>
            <wp:effectExtent l="0" t="0" r="0" b="0"/>
            <wp:wrapTopAndBottom/>
            <wp:docPr id="31" name="image23.jpeg" descr=""/>
            <wp:cNvGraphicFramePr>
              <a:graphicFrameLocks noChangeAspect="1"/>
            </wp:cNvGraphicFramePr>
            <a:graphic>
              <a:graphicData uri="http://schemas.openxmlformats.org/drawingml/2006/picture">
                <pic:pic>
                  <pic:nvPicPr>
                    <pic:cNvPr id="32" name="image23.jpeg"/>
                    <pic:cNvPicPr/>
                  </pic:nvPicPr>
                  <pic:blipFill>
                    <a:blip r:embed="rId28" cstate="print"/>
                    <a:stretch>
                      <a:fillRect/>
                    </a:stretch>
                  </pic:blipFill>
                  <pic:spPr>
                    <a:xfrm>
                      <a:off x="0" y="0"/>
                      <a:ext cx="2408920" cy="2267712"/>
                    </a:xfrm>
                    <a:prstGeom prst="rect">
                      <a:avLst/>
                    </a:prstGeom>
                  </pic:spPr>
                </pic:pic>
              </a:graphicData>
            </a:graphic>
          </wp:anchor>
        </w:drawing>
      </w:r>
      <w:r>
        <w:rPr/>
        <w:drawing>
          <wp:anchor distT="0" distB="0" distL="0" distR="0" allowOverlap="1" layoutInCell="1" locked="0" behindDoc="0" simplePos="0" relativeHeight="2056">
            <wp:simplePos x="0" y="0"/>
            <wp:positionH relativeFrom="page">
              <wp:posOffset>4026915</wp:posOffset>
            </wp:positionH>
            <wp:positionV relativeFrom="paragraph">
              <wp:posOffset>150164</wp:posOffset>
            </wp:positionV>
            <wp:extent cx="2756874" cy="2232279"/>
            <wp:effectExtent l="0" t="0" r="0" b="0"/>
            <wp:wrapTopAndBottom/>
            <wp:docPr id="33" name="image24.jpeg" descr=""/>
            <wp:cNvGraphicFramePr>
              <a:graphicFrameLocks noChangeAspect="1"/>
            </wp:cNvGraphicFramePr>
            <a:graphic>
              <a:graphicData uri="http://schemas.openxmlformats.org/drawingml/2006/picture">
                <pic:pic>
                  <pic:nvPicPr>
                    <pic:cNvPr id="34" name="image24.jpeg"/>
                    <pic:cNvPicPr/>
                  </pic:nvPicPr>
                  <pic:blipFill>
                    <a:blip r:embed="rId29" cstate="print"/>
                    <a:stretch>
                      <a:fillRect/>
                    </a:stretch>
                  </pic:blipFill>
                  <pic:spPr>
                    <a:xfrm>
                      <a:off x="0" y="0"/>
                      <a:ext cx="2756874" cy="2232279"/>
                    </a:xfrm>
                    <a:prstGeom prst="rect">
                      <a:avLst/>
                    </a:prstGeom>
                  </pic:spPr>
                </pic:pic>
              </a:graphicData>
            </a:graphic>
          </wp:anchor>
        </w:drawing>
      </w:r>
    </w:p>
    <w:p>
      <w:pPr>
        <w:pStyle w:val="BodyText"/>
        <w:spacing w:before="4"/>
        <w:rPr>
          <w:sz w:val="44"/>
        </w:rPr>
      </w:pPr>
    </w:p>
    <w:p>
      <w:pPr>
        <w:pStyle w:val="BodyText"/>
        <w:tabs>
          <w:tab w:pos="6477" w:val="left" w:leader="none"/>
        </w:tabs>
        <w:spacing w:before="1"/>
        <w:ind w:left="2082"/>
      </w:pPr>
      <w:r>
        <w:rPr/>
        <w:t>а</w:t>
        <w:tab/>
        <w:t>б</w:t>
      </w:r>
    </w:p>
    <w:p>
      <w:pPr>
        <w:pStyle w:val="BodyText"/>
        <w:rPr>
          <w:sz w:val="20"/>
        </w:rPr>
      </w:pPr>
    </w:p>
    <w:p>
      <w:pPr>
        <w:pStyle w:val="BodyText"/>
        <w:spacing w:before="2"/>
      </w:pPr>
    </w:p>
    <w:p>
      <w:pPr>
        <w:pStyle w:val="BodyText"/>
        <w:spacing w:before="89"/>
        <w:ind w:right="104"/>
        <w:jc w:val="right"/>
      </w:pPr>
      <w:r>
        <w:rPr/>
        <w:t>Рисунок 2.15</w:t>
      </w:r>
    </w:p>
    <w:p>
      <w:pPr>
        <w:pStyle w:val="BodyText"/>
        <w:spacing w:before="162"/>
        <w:ind w:left="1683"/>
      </w:pPr>
      <w:r>
        <w:rPr/>
        <w:t>Маточный манипулятор CLERMONT-FERRAND</w:t>
      </w:r>
    </w:p>
    <w:p>
      <w:pPr>
        <w:pStyle w:val="BodyText"/>
        <w:rPr>
          <w:sz w:val="20"/>
        </w:rPr>
      </w:pPr>
    </w:p>
    <w:p>
      <w:pPr>
        <w:pStyle w:val="BodyText"/>
        <w:spacing w:before="2"/>
        <w:rPr>
          <w:sz w:val="16"/>
        </w:rPr>
      </w:pPr>
      <w:r>
        <w:rPr/>
        <w:pict>
          <v:group style="position:absolute;margin-left:136.050003pt;margin-top:11.253182pt;width:367.95pt;height:99.7pt;mso-position-horizontal-relative:page;mso-position-vertical-relative:paragraph;z-index:2080;mso-wrap-distance-left:0;mso-wrap-distance-right:0" coordorigin="2721,225" coordsize="7359,1994">
            <v:shape style="position:absolute;left:2781;top:285;width:7239;height:1874" type="#_x0000_t75" stroked="false">
              <v:imagedata r:id="rId30" o:title=""/>
            </v:shape>
            <v:rect style="position:absolute;left:2751;top:255;width:7299;height:1934" filled="false" stroked="true" strokeweight="3.0pt" strokecolor="#000000">
              <v:stroke dashstyle="solid"/>
            </v:rect>
            <w10:wrap type="topAndBottom"/>
          </v:group>
        </w:pict>
      </w:r>
    </w:p>
    <w:p>
      <w:pPr>
        <w:spacing w:after="0"/>
        <w:rPr>
          <w:sz w:val="16"/>
        </w:rPr>
        <w:sectPr>
          <w:pgSz w:w="11900" w:h="16850"/>
          <w:pgMar w:header="712" w:footer="0" w:top="1020" w:bottom="0" w:left="1600" w:right="1020"/>
        </w:sect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ListParagraph"/>
        <w:numPr>
          <w:ilvl w:val="0"/>
          <w:numId w:val="19"/>
        </w:numPr>
        <w:tabs>
          <w:tab w:pos="506" w:val="left" w:leader="none"/>
        </w:tabs>
        <w:spacing w:line="360" w:lineRule="auto" w:before="89" w:after="0"/>
        <w:ind w:left="102" w:right="100" w:firstLine="0"/>
        <w:jc w:val="left"/>
        <w:rPr>
          <w:sz w:val="28"/>
        </w:rPr>
      </w:pPr>
      <w:r>
        <w:rPr>
          <w:sz w:val="28"/>
        </w:rPr>
        <w:t>ультразвуковой скальпель «Harmonic» Generator 300 фирмы ETHICON ENDOSURGERY, LLC a gohnson and gohnson company (USA), (Рис.</w:t>
      </w:r>
      <w:r>
        <w:rPr>
          <w:spacing w:val="-24"/>
          <w:sz w:val="28"/>
        </w:rPr>
        <w:t> </w:t>
      </w:r>
      <w:r>
        <w:rPr>
          <w:sz w:val="28"/>
        </w:rPr>
        <w:t>2.16).</w:t>
      </w:r>
    </w:p>
    <w:p>
      <w:pPr>
        <w:pStyle w:val="BodyText"/>
        <w:spacing w:before="6"/>
        <w:rPr>
          <w:sz w:val="36"/>
        </w:rPr>
      </w:pPr>
    </w:p>
    <w:p>
      <w:pPr>
        <w:pStyle w:val="BodyText"/>
        <w:spacing w:line="360" w:lineRule="auto"/>
        <w:ind w:left="975" w:right="87" w:firstLine="6642"/>
      </w:pPr>
      <w:r>
        <w:rPr/>
        <w:t>Рисунок 2.16 Ультразвуковой скальпель «Harmonic»  Generator 300 фирмы</w:t>
      </w:r>
    </w:p>
    <w:p>
      <w:pPr>
        <w:pStyle w:val="BodyText"/>
        <w:spacing w:before="5"/>
        <w:ind w:left="2946"/>
      </w:pPr>
      <w:r>
        <w:rPr/>
        <w:t>ETHICON ENDOSURGERY</w:t>
      </w:r>
    </w:p>
    <w:p>
      <w:pPr>
        <w:pStyle w:val="BodyText"/>
        <w:rPr>
          <w:sz w:val="20"/>
        </w:rPr>
      </w:pPr>
    </w:p>
    <w:p>
      <w:pPr>
        <w:pStyle w:val="BodyText"/>
        <w:spacing w:before="2"/>
        <w:rPr>
          <w:sz w:val="27"/>
        </w:rPr>
      </w:pPr>
      <w:r>
        <w:rPr/>
        <w:drawing>
          <wp:anchor distT="0" distB="0" distL="0" distR="0" allowOverlap="1" layoutInCell="1" locked="0" behindDoc="0" simplePos="0" relativeHeight="2104">
            <wp:simplePos x="0" y="0"/>
            <wp:positionH relativeFrom="page">
              <wp:posOffset>2223135</wp:posOffset>
            </wp:positionH>
            <wp:positionV relativeFrom="paragraph">
              <wp:posOffset>223747</wp:posOffset>
            </wp:positionV>
            <wp:extent cx="2984076" cy="2418588"/>
            <wp:effectExtent l="0" t="0" r="0" b="0"/>
            <wp:wrapTopAndBottom/>
            <wp:docPr id="35" name="image26.jpeg" descr=""/>
            <wp:cNvGraphicFramePr>
              <a:graphicFrameLocks noChangeAspect="1"/>
            </wp:cNvGraphicFramePr>
            <a:graphic>
              <a:graphicData uri="http://schemas.openxmlformats.org/drawingml/2006/picture">
                <pic:pic>
                  <pic:nvPicPr>
                    <pic:cNvPr id="36" name="image26.jpeg"/>
                    <pic:cNvPicPr/>
                  </pic:nvPicPr>
                  <pic:blipFill>
                    <a:blip r:embed="rId31" cstate="print"/>
                    <a:stretch>
                      <a:fillRect/>
                    </a:stretch>
                  </pic:blipFill>
                  <pic:spPr>
                    <a:xfrm>
                      <a:off x="0" y="0"/>
                      <a:ext cx="2984076" cy="2418588"/>
                    </a:xfrm>
                    <a:prstGeom prst="rect">
                      <a:avLst/>
                    </a:prstGeom>
                  </pic:spPr>
                </pic:pic>
              </a:graphicData>
            </a:graphic>
          </wp:anchor>
        </w:drawing>
      </w:r>
    </w:p>
    <w:p>
      <w:pPr>
        <w:pStyle w:val="BodyText"/>
        <w:spacing w:line="360" w:lineRule="auto" w:before="95"/>
        <w:ind w:left="102" w:right="99" w:firstLine="347"/>
        <w:jc w:val="both"/>
      </w:pPr>
      <w:r>
        <w:rPr/>
        <w:t>Лапароскопические операции выполнялись по стандартной методике и начинались с создания карбоксиперитонеума с помощью иглы Вереша и давлением 8 – 12 мм.рт.ст. в зависимости от соматического статуса больных. Типичной точкой установки иглы Вереша считается область пупка. У больных, страдающих выраженным ожирением или перенесших ранее лапаротомии с высоким риском спаечного процесса в брюшной полости использовалась точка Palmer (Рис.2.17).</w:t>
      </w:r>
    </w:p>
    <w:p>
      <w:pPr>
        <w:pStyle w:val="BodyText"/>
        <w:spacing w:before="5"/>
        <w:ind w:right="101"/>
        <w:jc w:val="right"/>
      </w:pPr>
      <w:r>
        <w:rPr/>
        <w:t>Рисунок 2.17</w:t>
      </w:r>
    </w:p>
    <w:p>
      <w:pPr>
        <w:pStyle w:val="BodyText"/>
        <w:spacing w:before="162"/>
        <w:ind w:left="1686"/>
      </w:pPr>
      <w:r>
        <w:rPr/>
        <w:t>Точка Palmer для создания карбоксиперитонеума</w:t>
      </w:r>
    </w:p>
    <w:p>
      <w:pPr>
        <w:pStyle w:val="BodyText"/>
        <w:spacing w:before="3"/>
        <w:rPr>
          <w:sz w:val="22"/>
        </w:rPr>
      </w:pPr>
      <w:r>
        <w:rPr/>
        <w:drawing>
          <wp:anchor distT="0" distB="0" distL="0" distR="0" allowOverlap="1" layoutInCell="1" locked="0" behindDoc="0" simplePos="0" relativeHeight="2128">
            <wp:simplePos x="0" y="0"/>
            <wp:positionH relativeFrom="page">
              <wp:posOffset>2680335</wp:posOffset>
            </wp:positionH>
            <wp:positionV relativeFrom="paragraph">
              <wp:posOffset>187903</wp:posOffset>
            </wp:positionV>
            <wp:extent cx="2616657" cy="1934051"/>
            <wp:effectExtent l="0" t="0" r="0" b="0"/>
            <wp:wrapTopAndBottom/>
            <wp:docPr id="37" name="image27.jpeg" descr=""/>
            <wp:cNvGraphicFramePr>
              <a:graphicFrameLocks noChangeAspect="1"/>
            </wp:cNvGraphicFramePr>
            <a:graphic>
              <a:graphicData uri="http://schemas.openxmlformats.org/drawingml/2006/picture">
                <pic:pic>
                  <pic:nvPicPr>
                    <pic:cNvPr id="38" name="image27.jpeg"/>
                    <pic:cNvPicPr/>
                  </pic:nvPicPr>
                  <pic:blipFill>
                    <a:blip r:embed="rId32" cstate="print"/>
                    <a:stretch>
                      <a:fillRect/>
                    </a:stretch>
                  </pic:blipFill>
                  <pic:spPr>
                    <a:xfrm>
                      <a:off x="0" y="0"/>
                      <a:ext cx="2616657" cy="1934051"/>
                    </a:xfrm>
                    <a:prstGeom prst="rect">
                      <a:avLst/>
                    </a:prstGeom>
                  </pic:spPr>
                </pic:pic>
              </a:graphicData>
            </a:graphic>
          </wp:anchor>
        </w:drawing>
      </w:r>
    </w:p>
    <w:p>
      <w:pPr>
        <w:spacing w:after="0"/>
        <w:rPr>
          <w:sz w:val="22"/>
        </w:rPr>
        <w:sectPr>
          <w:pgSz w:w="11900" w:h="16850"/>
          <w:pgMar w:header="712" w:footer="0" w:top="1020" w:bottom="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pStyle w:val="BodyText"/>
        <w:spacing w:line="360" w:lineRule="auto" w:before="89"/>
        <w:ind w:left="102" w:right="99" w:firstLine="707"/>
        <w:jc w:val="both"/>
      </w:pPr>
      <w:r>
        <w:rPr/>
        <w:t>Затем устанавливались 10 мм троакар для оптической системы, 5 мм троакары для манипуляторов, в правой, левой подвздошных и в надлобковой областях. После тщательной ревизии органов брюшной полости и малого таза производилась коагуляция маточных труб в истмическом отделе с целью предупреждения диссеминации опухоли. После этого второй ассистент устанавливал постоянный мочевой катетер Фолея и маточный манипулятор. Больная переводилась в положение Тренделенбурга с максимально возможным углом наклона, определявшимся общим состоянием больной (Рис. 2.18).</w:t>
      </w:r>
    </w:p>
    <w:p>
      <w:pPr>
        <w:pStyle w:val="BodyText"/>
        <w:spacing w:before="207"/>
        <w:ind w:right="100"/>
        <w:jc w:val="right"/>
      </w:pPr>
      <w:r>
        <w:rPr/>
        <w:t>Рисунок 2.18</w:t>
      </w:r>
    </w:p>
    <w:p>
      <w:pPr>
        <w:pStyle w:val="BodyText"/>
        <w:spacing w:before="5"/>
        <w:rPr>
          <w:sz w:val="31"/>
        </w:rPr>
      </w:pPr>
    </w:p>
    <w:p>
      <w:pPr>
        <w:pStyle w:val="BodyText"/>
        <w:ind w:left="1973"/>
      </w:pPr>
      <w:r>
        <w:rPr/>
        <w:t>Точки установки лапароскопических портов</w:t>
      </w:r>
    </w:p>
    <w:p>
      <w:pPr>
        <w:pStyle w:val="BodyText"/>
        <w:spacing w:before="5"/>
        <w:rPr>
          <w:sz w:val="27"/>
        </w:rPr>
      </w:pPr>
      <w:r>
        <w:rPr/>
        <w:drawing>
          <wp:anchor distT="0" distB="0" distL="0" distR="0" allowOverlap="1" layoutInCell="1" locked="0" behindDoc="0" simplePos="0" relativeHeight="2152">
            <wp:simplePos x="0" y="0"/>
            <wp:positionH relativeFrom="page">
              <wp:posOffset>2337435</wp:posOffset>
            </wp:positionH>
            <wp:positionV relativeFrom="paragraph">
              <wp:posOffset>225684</wp:posOffset>
            </wp:positionV>
            <wp:extent cx="3101118" cy="2320766"/>
            <wp:effectExtent l="0" t="0" r="0" b="0"/>
            <wp:wrapTopAndBottom/>
            <wp:docPr id="39" name="image28.jpeg" descr=""/>
            <wp:cNvGraphicFramePr>
              <a:graphicFrameLocks noChangeAspect="1"/>
            </wp:cNvGraphicFramePr>
            <a:graphic>
              <a:graphicData uri="http://schemas.openxmlformats.org/drawingml/2006/picture">
                <pic:pic>
                  <pic:nvPicPr>
                    <pic:cNvPr id="40" name="image28.jpeg"/>
                    <pic:cNvPicPr/>
                  </pic:nvPicPr>
                  <pic:blipFill>
                    <a:blip r:embed="rId34" cstate="print"/>
                    <a:stretch>
                      <a:fillRect/>
                    </a:stretch>
                  </pic:blipFill>
                  <pic:spPr>
                    <a:xfrm>
                      <a:off x="0" y="0"/>
                      <a:ext cx="3101118" cy="2320766"/>
                    </a:xfrm>
                    <a:prstGeom prst="rect">
                      <a:avLst/>
                    </a:prstGeom>
                  </pic:spPr>
                </pic:pic>
              </a:graphicData>
            </a:graphic>
          </wp:anchor>
        </w:drawing>
      </w:r>
    </w:p>
    <w:p>
      <w:pPr>
        <w:pStyle w:val="BodyText"/>
        <w:spacing w:line="360" w:lineRule="auto" w:before="5"/>
        <w:ind w:left="102" w:right="99" w:firstLine="419"/>
        <w:jc w:val="both"/>
      </w:pPr>
      <w:r>
        <w:rPr/>
        <w:t>В редких случаях выполнялась минилапаротомия и установка троакара по Hassen. Лапароскопическая гистерэктомия начиналась с коагуляции и пересечения круглых маточных связок. После этого вскрывался передний листок широкой маточной связки, что сопровождалось диссекцией и вскрытием её заднего листка. Данный приём предупреждал травмирование мочеточников, при мобилизации воронко-тазовых, крестцово-маточных и кардинальных связок. Далее производилось вскрытие пузырно-маточной складки, с последующей мобилизацией мочевого пузыря. После</w:t>
      </w:r>
    </w:p>
    <w:p>
      <w:pPr>
        <w:spacing w:after="0" w:line="360" w:lineRule="auto"/>
        <w:jc w:val="both"/>
        <w:sectPr>
          <w:headerReference w:type="default" r:id="rId33"/>
          <w:pgSz w:w="11900" w:h="16850"/>
          <w:pgMar w:header="712" w:footer="0" w:top="1020" w:bottom="280" w:left="1600" w:right="1020"/>
          <w:pgNumType w:start="100"/>
        </w:sectPr>
      </w:pPr>
    </w:p>
    <w:p>
      <w:pPr>
        <w:pStyle w:val="BodyText"/>
        <w:rPr>
          <w:sz w:val="20"/>
        </w:rPr>
      </w:pPr>
    </w:p>
    <w:p>
      <w:pPr>
        <w:pStyle w:val="BodyText"/>
        <w:rPr>
          <w:sz w:val="20"/>
        </w:rPr>
      </w:pPr>
    </w:p>
    <w:p>
      <w:pPr>
        <w:pStyle w:val="BodyText"/>
        <w:spacing w:line="360" w:lineRule="auto" w:before="224"/>
        <w:ind w:left="102" w:right="519"/>
        <w:jc w:val="both"/>
      </w:pPr>
      <w:r>
        <w:rPr/>
        <w:t>коагуляции и пересечения маточных сосудов, выполнялась круговая кольпотомия, матка извлекалась через влагалище. Тазовая лимфаденэктомия проводилась в соответствии с общепринятой методикой и заключалась в удалении жировой клетчатки с заключенными в ней наружными, внутренним подвздошными и запирательными лимфатическими узлами единым блоком с использованием контейнеров (Рис. 2.19).</w:t>
      </w:r>
    </w:p>
    <w:p>
      <w:pPr>
        <w:pStyle w:val="BodyText"/>
        <w:spacing w:line="508" w:lineRule="auto" w:before="207"/>
        <w:ind w:left="102" w:right="507" w:firstLine="7515"/>
      </w:pPr>
      <w:r>
        <w:rPr/>
        <w:t>Рисунок 1.19 Этапы лапароскопической пангистерэктомии с тазовой лимфаденэктомией</w:t>
      </w:r>
    </w:p>
    <w:p>
      <w:pPr>
        <w:pStyle w:val="BodyText"/>
        <w:spacing w:before="3"/>
        <w:rPr>
          <w:sz w:val="16"/>
        </w:rPr>
      </w:pPr>
      <w:r>
        <w:rPr/>
        <w:drawing>
          <wp:anchor distT="0" distB="0" distL="0" distR="0" allowOverlap="1" layoutInCell="1" locked="0" behindDoc="0" simplePos="0" relativeHeight="2176">
            <wp:simplePos x="0" y="0"/>
            <wp:positionH relativeFrom="page">
              <wp:posOffset>1133475</wp:posOffset>
            </wp:positionH>
            <wp:positionV relativeFrom="paragraph">
              <wp:posOffset>144176</wp:posOffset>
            </wp:positionV>
            <wp:extent cx="1807273" cy="1817369"/>
            <wp:effectExtent l="0" t="0" r="0" b="0"/>
            <wp:wrapTopAndBottom/>
            <wp:docPr id="41" name="image29.jpeg" descr=""/>
            <wp:cNvGraphicFramePr>
              <a:graphicFrameLocks noChangeAspect="1"/>
            </wp:cNvGraphicFramePr>
            <a:graphic>
              <a:graphicData uri="http://schemas.openxmlformats.org/drawingml/2006/picture">
                <pic:pic>
                  <pic:nvPicPr>
                    <pic:cNvPr id="42" name="image29.jpeg"/>
                    <pic:cNvPicPr/>
                  </pic:nvPicPr>
                  <pic:blipFill>
                    <a:blip r:embed="rId35" cstate="print"/>
                    <a:stretch>
                      <a:fillRect/>
                    </a:stretch>
                  </pic:blipFill>
                  <pic:spPr>
                    <a:xfrm>
                      <a:off x="0" y="0"/>
                      <a:ext cx="1807273" cy="1817369"/>
                    </a:xfrm>
                    <a:prstGeom prst="rect">
                      <a:avLst/>
                    </a:prstGeom>
                  </pic:spPr>
                </pic:pic>
              </a:graphicData>
            </a:graphic>
          </wp:anchor>
        </w:drawing>
      </w:r>
      <w:r>
        <w:rPr/>
        <w:drawing>
          <wp:anchor distT="0" distB="0" distL="0" distR="0" allowOverlap="1" layoutInCell="1" locked="0" behindDoc="0" simplePos="0" relativeHeight="2200">
            <wp:simplePos x="0" y="0"/>
            <wp:positionH relativeFrom="page">
              <wp:posOffset>3222625</wp:posOffset>
            </wp:positionH>
            <wp:positionV relativeFrom="paragraph">
              <wp:posOffset>143541</wp:posOffset>
            </wp:positionV>
            <wp:extent cx="1812607" cy="1812607"/>
            <wp:effectExtent l="0" t="0" r="0" b="0"/>
            <wp:wrapTopAndBottom/>
            <wp:docPr id="43" name="image30.jpeg" descr=""/>
            <wp:cNvGraphicFramePr>
              <a:graphicFrameLocks noChangeAspect="1"/>
            </wp:cNvGraphicFramePr>
            <a:graphic>
              <a:graphicData uri="http://schemas.openxmlformats.org/drawingml/2006/picture">
                <pic:pic>
                  <pic:nvPicPr>
                    <pic:cNvPr id="44" name="image30.jpeg"/>
                    <pic:cNvPicPr/>
                  </pic:nvPicPr>
                  <pic:blipFill>
                    <a:blip r:embed="rId36" cstate="print"/>
                    <a:stretch>
                      <a:fillRect/>
                    </a:stretch>
                  </pic:blipFill>
                  <pic:spPr>
                    <a:xfrm>
                      <a:off x="0" y="0"/>
                      <a:ext cx="1812607" cy="1812607"/>
                    </a:xfrm>
                    <a:prstGeom prst="rect">
                      <a:avLst/>
                    </a:prstGeom>
                  </pic:spPr>
                </pic:pic>
              </a:graphicData>
            </a:graphic>
          </wp:anchor>
        </w:drawing>
      </w:r>
      <w:r>
        <w:rPr/>
        <w:drawing>
          <wp:anchor distT="0" distB="0" distL="0" distR="0" allowOverlap="1" layoutInCell="1" locked="0" behindDoc="0" simplePos="0" relativeHeight="2224">
            <wp:simplePos x="0" y="0"/>
            <wp:positionH relativeFrom="page">
              <wp:posOffset>5309234</wp:posOffset>
            </wp:positionH>
            <wp:positionV relativeFrom="paragraph">
              <wp:posOffset>149637</wp:posOffset>
            </wp:positionV>
            <wp:extent cx="1812607" cy="1812607"/>
            <wp:effectExtent l="0" t="0" r="0" b="0"/>
            <wp:wrapTopAndBottom/>
            <wp:docPr id="45" name="image31.png" descr=""/>
            <wp:cNvGraphicFramePr>
              <a:graphicFrameLocks noChangeAspect="1"/>
            </wp:cNvGraphicFramePr>
            <a:graphic>
              <a:graphicData uri="http://schemas.openxmlformats.org/drawingml/2006/picture">
                <pic:pic>
                  <pic:nvPicPr>
                    <pic:cNvPr id="46" name="image31.png"/>
                    <pic:cNvPicPr/>
                  </pic:nvPicPr>
                  <pic:blipFill>
                    <a:blip r:embed="rId37" cstate="print"/>
                    <a:stretch>
                      <a:fillRect/>
                    </a:stretch>
                  </pic:blipFill>
                  <pic:spPr>
                    <a:xfrm>
                      <a:off x="0" y="0"/>
                      <a:ext cx="1812607" cy="1812607"/>
                    </a:xfrm>
                    <a:prstGeom prst="rect">
                      <a:avLst/>
                    </a:prstGeom>
                  </pic:spPr>
                </pic:pic>
              </a:graphicData>
            </a:graphic>
          </wp:anchor>
        </w:drawing>
      </w:r>
    </w:p>
    <w:p>
      <w:pPr>
        <w:pStyle w:val="BodyText"/>
        <w:tabs>
          <w:tab w:pos="3780" w:val="left" w:leader="none"/>
          <w:tab w:pos="7069" w:val="left" w:leader="none"/>
        </w:tabs>
        <w:spacing w:before="193"/>
        <w:ind w:right="1025"/>
        <w:jc w:val="center"/>
      </w:pPr>
      <w:r>
        <w:rPr/>
        <w:t>1</w:t>
        <w:tab/>
        <w:t>2</w:t>
        <w:tab/>
        <w:t>3</w:t>
      </w:r>
    </w:p>
    <w:p>
      <w:pPr>
        <w:pStyle w:val="BodyText"/>
        <w:rPr>
          <w:sz w:val="20"/>
        </w:rPr>
      </w:pPr>
    </w:p>
    <w:p>
      <w:pPr>
        <w:pStyle w:val="BodyText"/>
        <w:spacing w:before="4"/>
      </w:pPr>
      <w:r>
        <w:rPr/>
        <w:drawing>
          <wp:anchor distT="0" distB="0" distL="0" distR="0" allowOverlap="1" layoutInCell="1" locked="0" behindDoc="0" simplePos="0" relativeHeight="2248">
            <wp:simplePos x="0" y="0"/>
            <wp:positionH relativeFrom="page">
              <wp:posOffset>1156335</wp:posOffset>
            </wp:positionH>
            <wp:positionV relativeFrom="paragraph">
              <wp:posOffset>242671</wp:posOffset>
            </wp:positionV>
            <wp:extent cx="1812607" cy="1812607"/>
            <wp:effectExtent l="0" t="0" r="0" b="0"/>
            <wp:wrapTopAndBottom/>
            <wp:docPr id="47" name="image32.png" descr=""/>
            <wp:cNvGraphicFramePr>
              <a:graphicFrameLocks noChangeAspect="1"/>
            </wp:cNvGraphicFramePr>
            <a:graphic>
              <a:graphicData uri="http://schemas.openxmlformats.org/drawingml/2006/picture">
                <pic:pic>
                  <pic:nvPicPr>
                    <pic:cNvPr id="48" name="image32.png"/>
                    <pic:cNvPicPr/>
                  </pic:nvPicPr>
                  <pic:blipFill>
                    <a:blip r:embed="rId38" cstate="print"/>
                    <a:stretch>
                      <a:fillRect/>
                    </a:stretch>
                  </pic:blipFill>
                  <pic:spPr>
                    <a:xfrm>
                      <a:off x="0" y="0"/>
                      <a:ext cx="1812607" cy="1812607"/>
                    </a:xfrm>
                    <a:prstGeom prst="rect">
                      <a:avLst/>
                    </a:prstGeom>
                  </pic:spPr>
                </pic:pic>
              </a:graphicData>
            </a:graphic>
          </wp:anchor>
        </w:drawing>
      </w:r>
      <w:r>
        <w:rPr/>
        <w:drawing>
          <wp:anchor distT="0" distB="0" distL="0" distR="0" allowOverlap="1" layoutInCell="1" locked="0" behindDoc="0" simplePos="0" relativeHeight="2272">
            <wp:simplePos x="0" y="0"/>
            <wp:positionH relativeFrom="page">
              <wp:posOffset>3232150</wp:posOffset>
            </wp:positionH>
            <wp:positionV relativeFrom="paragraph">
              <wp:posOffset>241401</wp:posOffset>
            </wp:positionV>
            <wp:extent cx="1807940" cy="1807940"/>
            <wp:effectExtent l="0" t="0" r="0" b="0"/>
            <wp:wrapTopAndBottom/>
            <wp:docPr id="49" name="image33.jpeg" descr=""/>
            <wp:cNvGraphicFramePr>
              <a:graphicFrameLocks noChangeAspect="1"/>
            </wp:cNvGraphicFramePr>
            <a:graphic>
              <a:graphicData uri="http://schemas.openxmlformats.org/drawingml/2006/picture">
                <pic:pic>
                  <pic:nvPicPr>
                    <pic:cNvPr id="50" name="image33.jpeg"/>
                    <pic:cNvPicPr/>
                  </pic:nvPicPr>
                  <pic:blipFill>
                    <a:blip r:embed="rId39" cstate="print"/>
                    <a:stretch>
                      <a:fillRect/>
                    </a:stretch>
                  </pic:blipFill>
                  <pic:spPr>
                    <a:xfrm>
                      <a:off x="0" y="0"/>
                      <a:ext cx="1807940" cy="1807940"/>
                    </a:xfrm>
                    <a:prstGeom prst="rect">
                      <a:avLst/>
                    </a:prstGeom>
                  </pic:spPr>
                </pic:pic>
              </a:graphicData>
            </a:graphic>
          </wp:anchor>
        </w:drawing>
      </w:r>
      <w:r>
        <w:rPr/>
        <w:drawing>
          <wp:anchor distT="0" distB="0" distL="0" distR="0" allowOverlap="1" layoutInCell="1" locked="0" behindDoc="0" simplePos="0" relativeHeight="2296">
            <wp:simplePos x="0" y="0"/>
            <wp:positionH relativeFrom="page">
              <wp:posOffset>5309234</wp:posOffset>
            </wp:positionH>
            <wp:positionV relativeFrom="paragraph">
              <wp:posOffset>231876</wp:posOffset>
            </wp:positionV>
            <wp:extent cx="1802129" cy="1802130"/>
            <wp:effectExtent l="0" t="0" r="0" b="0"/>
            <wp:wrapTopAndBottom/>
            <wp:docPr id="51" name="image34.jpeg" descr=""/>
            <wp:cNvGraphicFramePr>
              <a:graphicFrameLocks noChangeAspect="1"/>
            </wp:cNvGraphicFramePr>
            <a:graphic>
              <a:graphicData uri="http://schemas.openxmlformats.org/drawingml/2006/picture">
                <pic:pic>
                  <pic:nvPicPr>
                    <pic:cNvPr id="52" name="image34.jpeg"/>
                    <pic:cNvPicPr/>
                  </pic:nvPicPr>
                  <pic:blipFill>
                    <a:blip r:embed="rId40" cstate="print"/>
                    <a:stretch>
                      <a:fillRect/>
                    </a:stretch>
                  </pic:blipFill>
                  <pic:spPr>
                    <a:xfrm>
                      <a:off x="0" y="0"/>
                      <a:ext cx="1802129" cy="1802130"/>
                    </a:xfrm>
                    <a:prstGeom prst="rect">
                      <a:avLst/>
                    </a:prstGeom>
                  </pic:spPr>
                </pic:pic>
              </a:graphicData>
            </a:graphic>
          </wp:anchor>
        </w:drawing>
      </w:r>
    </w:p>
    <w:p>
      <w:pPr>
        <w:pStyle w:val="BodyText"/>
        <w:spacing w:before="3"/>
        <w:rPr>
          <w:sz w:val="24"/>
        </w:rPr>
      </w:pPr>
    </w:p>
    <w:p>
      <w:pPr>
        <w:pStyle w:val="BodyText"/>
        <w:tabs>
          <w:tab w:pos="3358" w:val="left" w:leader="none"/>
          <w:tab w:pos="6649" w:val="left" w:leader="none"/>
        </w:tabs>
        <w:spacing w:before="1"/>
        <w:ind w:right="888"/>
        <w:jc w:val="center"/>
      </w:pPr>
      <w:r>
        <w:rPr/>
        <w:t>4</w:t>
        <w:tab/>
        <w:t>5</w:t>
        <w:tab/>
        <w:t>6</w:t>
      </w:r>
    </w:p>
    <w:p>
      <w:pPr>
        <w:spacing w:after="0"/>
        <w:jc w:val="center"/>
        <w:sectPr>
          <w:pgSz w:w="11900" w:h="16850"/>
          <w:pgMar w:header="712" w:footer="0" w:top="1020" w:bottom="280" w:left="1600" w:right="600"/>
        </w:sectPr>
      </w:pPr>
    </w:p>
    <w:p>
      <w:pPr>
        <w:pStyle w:val="BodyText"/>
        <w:rPr>
          <w:sz w:val="20"/>
        </w:rPr>
      </w:pPr>
    </w:p>
    <w:p>
      <w:pPr>
        <w:pStyle w:val="BodyText"/>
        <w:rPr>
          <w:sz w:val="20"/>
        </w:rPr>
      </w:pPr>
    </w:p>
    <w:p>
      <w:pPr>
        <w:pStyle w:val="BodyText"/>
        <w:spacing w:line="360" w:lineRule="auto" w:before="224"/>
        <w:ind w:left="162" w:right="179" w:firstLine="707"/>
        <w:jc w:val="both"/>
      </w:pPr>
      <w:r>
        <w:rPr/>
        <w:t>1 – Захвачена круглая связка матки, 2 – вскрыт передний листок широкой маточной связки, произведена фенестрация заднего листка широкой связки матки, производится коагуляция воронко-тазовой   связки,</w:t>
      </w:r>
    </w:p>
    <w:p>
      <w:pPr>
        <w:pStyle w:val="BodyText"/>
        <w:spacing w:line="360" w:lineRule="auto" w:before="5"/>
        <w:ind w:left="162" w:right="179"/>
        <w:jc w:val="both"/>
      </w:pPr>
      <w:r>
        <w:rPr/>
        <w:t>3 – вскрыта пузырно-маточная складка, мобилизирована задняя стенка мочевого пузыря, 4 –коагулируется брюшина и  крестцово-маточные связки,  5 –  тазовая лимфаденэктомия, 6 – окончательный вид.</w:t>
      </w:r>
    </w:p>
    <w:p>
      <w:pPr>
        <w:pStyle w:val="Heading1"/>
        <w:numPr>
          <w:ilvl w:val="1"/>
          <w:numId w:val="14"/>
        </w:numPr>
        <w:tabs>
          <w:tab w:pos="3497" w:val="left" w:leader="none"/>
        </w:tabs>
        <w:spacing w:line="240" w:lineRule="auto" w:before="209" w:after="0"/>
        <w:ind w:left="3496" w:right="0" w:hanging="492"/>
        <w:jc w:val="left"/>
      </w:pPr>
      <w:r>
        <w:rPr/>
        <w:t>Статистический</w:t>
      </w:r>
      <w:r>
        <w:rPr>
          <w:spacing w:val="-5"/>
        </w:rPr>
        <w:t> </w:t>
      </w:r>
      <w:r>
        <w:rPr/>
        <w:t>метод</w:t>
      </w:r>
    </w:p>
    <w:p>
      <w:pPr>
        <w:pStyle w:val="BodyText"/>
        <w:rPr>
          <w:b/>
          <w:sz w:val="30"/>
        </w:rPr>
      </w:pPr>
    </w:p>
    <w:p>
      <w:pPr>
        <w:pStyle w:val="BodyText"/>
        <w:spacing w:before="7"/>
        <w:rPr>
          <w:b/>
          <w:sz w:val="25"/>
        </w:rPr>
      </w:pPr>
    </w:p>
    <w:p>
      <w:pPr>
        <w:pStyle w:val="BodyText"/>
        <w:spacing w:line="331" w:lineRule="auto" w:after="34"/>
        <w:ind w:left="1683" w:right="606" w:hanging="1088"/>
        <w:rPr>
          <w:sz w:val="18"/>
        </w:rPr>
      </w:pPr>
      <w:r>
        <w:rPr/>
        <w:t>Статистическая достоверность различий показателей выживаемости сравниваемых групп оценивалась по критериям </w:t>
      </w:r>
      <w:r>
        <w:rPr>
          <w:rFonts w:ascii="Symbol" w:hAnsi="Symbol"/>
          <w:sz w:val="26"/>
        </w:rPr>
        <w:t></w:t>
      </w:r>
      <w:r>
        <w:rPr>
          <w:position w:val="13"/>
          <w:sz w:val="18"/>
        </w:rPr>
        <w:t>2</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4"/>
        <w:gridCol w:w="3404"/>
        <w:gridCol w:w="2377"/>
      </w:tblGrid>
      <w:tr>
        <w:trPr>
          <w:trHeight w:val="614" w:hRule="exact"/>
        </w:trPr>
        <w:tc>
          <w:tcPr>
            <w:tcW w:w="3404" w:type="dxa"/>
            <w:vMerge w:val="restart"/>
          </w:tcPr>
          <w:p>
            <w:pPr>
              <w:pStyle w:val="TableParagraph"/>
              <w:spacing w:before="1"/>
              <w:rPr>
                <w:sz w:val="26"/>
              </w:rPr>
            </w:pPr>
          </w:p>
          <w:p>
            <w:pPr>
              <w:pStyle w:val="TableParagraph"/>
              <w:ind w:left="343"/>
              <w:rPr>
                <w:sz w:val="28"/>
              </w:rPr>
            </w:pPr>
            <w:r>
              <w:rPr>
                <w:sz w:val="28"/>
              </w:rPr>
              <w:t>Сравниваемые группы</w:t>
            </w:r>
          </w:p>
        </w:tc>
        <w:tc>
          <w:tcPr>
            <w:tcW w:w="5780" w:type="dxa"/>
            <w:gridSpan w:val="2"/>
          </w:tcPr>
          <w:p>
            <w:pPr>
              <w:pStyle w:val="TableParagraph"/>
              <w:spacing w:line="317" w:lineRule="exact"/>
              <w:ind w:left="2358" w:right="2358"/>
              <w:jc w:val="center"/>
              <w:rPr>
                <w:sz w:val="28"/>
              </w:rPr>
            </w:pPr>
            <w:r>
              <w:rPr>
                <w:sz w:val="28"/>
              </w:rPr>
              <w:t>Признак</w:t>
            </w:r>
          </w:p>
        </w:tc>
      </w:tr>
      <w:tr>
        <w:trPr>
          <w:trHeight w:val="612" w:hRule="exact"/>
        </w:trPr>
        <w:tc>
          <w:tcPr>
            <w:tcW w:w="3404" w:type="dxa"/>
            <w:vMerge/>
          </w:tcPr>
          <w:p>
            <w:pPr/>
          </w:p>
        </w:tc>
        <w:tc>
          <w:tcPr>
            <w:tcW w:w="3404" w:type="dxa"/>
          </w:tcPr>
          <w:p>
            <w:pPr>
              <w:pStyle w:val="TableParagraph"/>
              <w:spacing w:line="315" w:lineRule="exact"/>
              <w:ind w:left="1428" w:right="1427"/>
              <w:jc w:val="center"/>
              <w:rPr>
                <w:sz w:val="28"/>
              </w:rPr>
            </w:pPr>
            <w:r>
              <w:rPr>
                <w:sz w:val="28"/>
              </w:rPr>
              <w:t>есть</w:t>
            </w:r>
          </w:p>
        </w:tc>
        <w:tc>
          <w:tcPr>
            <w:tcW w:w="2377" w:type="dxa"/>
          </w:tcPr>
          <w:p>
            <w:pPr>
              <w:pStyle w:val="TableParagraph"/>
              <w:spacing w:line="315" w:lineRule="exact"/>
              <w:ind w:left="964" w:right="966"/>
              <w:jc w:val="center"/>
              <w:rPr>
                <w:sz w:val="28"/>
              </w:rPr>
            </w:pPr>
            <w:r>
              <w:rPr>
                <w:sz w:val="28"/>
              </w:rPr>
              <w:t>нет</w:t>
            </w:r>
          </w:p>
        </w:tc>
      </w:tr>
      <w:tr>
        <w:trPr>
          <w:trHeight w:val="615" w:hRule="exact"/>
        </w:trPr>
        <w:tc>
          <w:tcPr>
            <w:tcW w:w="3404" w:type="dxa"/>
          </w:tcPr>
          <w:p>
            <w:pPr>
              <w:pStyle w:val="TableParagraph"/>
              <w:spacing w:line="315" w:lineRule="exact"/>
              <w:ind w:left="1138" w:right="1139"/>
              <w:jc w:val="center"/>
              <w:rPr>
                <w:sz w:val="28"/>
              </w:rPr>
            </w:pPr>
            <w:r>
              <w:rPr>
                <w:sz w:val="28"/>
              </w:rPr>
              <w:t>I группа</w:t>
            </w:r>
          </w:p>
        </w:tc>
        <w:tc>
          <w:tcPr>
            <w:tcW w:w="3404" w:type="dxa"/>
          </w:tcPr>
          <w:p>
            <w:pPr>
              <w:pStyle w:val="TableParagraph"/>
              <w:spacing w:line="315" w:lineRule="exact"/>
              <w:jc w:val="center"/>
              <w:rPr>
                <w:sz w:val="28"/>
              </w:rPr>
            </w:pPr>
            <w:r>
              <w:rPr>
                <w:w w:val="100"/>
                <w:sz w:val="28"/>
              </w:rPr>
              <w:t>a</w:t>
            </w:r>
          </w:p>
        </w:tc>
        <w:tc>
          <w:tcPr>
            <w:tcW w:w="2377" w:type="dxa"/>
          </w:tcPr>
          <w:p>
            <w:pPr>
              <w:pStyle w:val="TableParagraph"/>
              <w:spacing w:line="315" w:lineRule="exact"/>
              <w:ind w:right="2"/>
              <w:jc w:val="center"/>
              <w:rPr>
                <w:sz w:val="28"/>
              </w:rPr>
            </w:pPr>
            <w:r>
              <w:rPr>
                <w:w w:val="100"/>
                <w:sz w:val="28"/>
              </w:rPr>
              <w:t>b</w:t>
            </w:r>
          </w:p>
        </w:tc>
      </w:tr>
      <w:tr>
        <w:trPr>
          <w:trHeight w:val="612" w:hRule="exact"/>
        </w:trPr>
        <w:tc>
          <w:tcPr>
            <w:tcW w:w="3404" w:type="dxa"/>
          </w:tcPr>
          <w:p>
            <w:pPr>
              <w:pStyle w:val="TableParagraph"/>
              <w:spacing w:line="315" w:lineRule="exact"/>
              <w:ind w:left="1139" w:right="1139"/>
              <w:jc w:val="center"/>
              <w:rPr>
                <w:sz w:val="28"/>
              </w:rPr>
            </w:pPr>
            <w:r>
              <w:rPr>
                <w:sz w:val="28"/>
              </w:rPr>
              <w:t>II группа</w:t>
            </w:r>
          </w:p>
        </w:tc>
        <w:tc>
          <w:tcPr>
            <w:tcW w:w="3404" w:type="dxa"/>
          </w:tcPr>
          <w:p>
            <w:pPr>
              <w:pStyle w:val="TableParagraph"/>
              <w:spacing w:line="315" w:lineRule="exact"/>
              <w:jc w:val="center"/>
              <w:rPr>
                <w:sz w:val="28"/>
              </w:rPr>
            </w:pPr>
            <w:r>
              <w:rPr>
                <w:w w:val="100"/>
                <w:sz w:val="28"/>
              </w:rPr>
              <w:t>c</w:t>
            </w:r>
          </w:p>
        </w:tc>
        <w:tc>
          <w:tcPr>
            <w:tcW w:w="2377" w:type="dxa"/>
          </w:tcPr>
          <w:p>
            <w:pPr>
              <w:pStyle w:val="TableParagraph"/>
              <w:spacing w:line="315" w:lineRule="exact"/>
              <w:ind w:right="2"/>
              <w:jc w:val="center"/>
              <w:rPr>
                <w:sz w:val="28"/>
              </w:rPr>
            </w:pPr>
            <w:r>
              <w:rPr>
                <w:w w:val="100"/>
                <w:sz w:val="28"/>
              </w:rPr>
              <w:t>d</w:t>
            </w:r>
          </w:p>
        </w:tc>
      </w:tr>
    </w:tbl>
    <w:p>
      <w:pPr>
        <w:pStyle w:val="BodyText"/>
        <w:rPr>
          <w:sz w:val="34"/>
        </w:rPr>
      </w:pPr>
    </w:p>
    <w:p>
      <w:pPr>
        <w:pStyle w:val="BodyText"/>
        <w:spacing w:line="333" w:lineRule="auto" w:before="204"/>
        <w:ind w:left="162" w:right="383" w:firstLine="347"/>
        <w:rPr>
          <w:b/>
        </w:rPr>
      </w:pPr>
      <w:r>
        <w:rPr/>
        <w:t>При определении достоверности в случае, когда все числа a, b, c, d &gt; 4, для расчета величины критерия </w:t>
      </w:r>
      <w:r>
        <w:rPr>
          <w:rFonts w:ascii="Symbol" w:hAnsi="Symbol"/>
          <w:sz w:val="26"/>
        </w:rPr>
        <w:t></w:t>
      </w:r>
      <w:r>
        <w:rPr>
          <w:position w:val="13"/>
          <w:sz w:val="18"/>
        </w:rPr>
        <w:t>2   </w:t>
      </w:r>
      <w:r>
        <w:rPr/>
        <w:t>использовалась следующая формула</w:t>
      </w:r>
      <w:r>
        <w:rPr>
          <w:b/>
        </w:rPr>
        <w:t>:</w:t>
      </w:r>
    </w:p>
    <w:p>
      <w:pPr>
        <w:pStyle w:val="BodyText"/>
        <w:spacing w:before="7"/>
        <w:rPr>
          <w:b/>
          <w:sz w:val="15"/>
        </w:rPr>
      </w:pPr>
    </w:p>
    <w:p>
      <w:pPr>
        <w:spacing w:after="0"/>
        <w:rPr>
          <w:sz w:val="15"/>
        </w:rPr>
        <w:sectPr>
          <w:pgSz w:w="11900" w:h="16850"/>
          <w:pgMar w:header="712" w:footer="0" w:top="1020" w:bottom="280" w:left="1540" w:right="940"/>
        </w:sectPr>
      </w:pPr>
    </w:p>
    <w:p>
      <w:pPr>
        <w:spacing w:before="262"/>
        <w:ind w:left="0" w:right="0" w:firstLine="0"/>
        <w:jc w:val="right"/>
        <w:rPr>
          <w:rFonts w:ascii="Symbol" w:hAnsi="Symbol"/>
          <w:sz w:val="24"/>
        </w:rPr>
      </w:pPr>
      <w:r>
        <w:rPr>
          <w:rFonts w:ascii="Symbol" w:hAnsi="Symbol"/>
          <w:i/>
          <w:sz w:val="25"/>
        </w:rPr>
        <w:t></w:t>
      </w:r>
      <w:r>
        <w:rPr>
          <w:i/>
          <w:sz w:val="25"/>
        </w:rPr>
        <w:t> </w:t>
      </w:r>
      <w:r>
        <w:rPr>
          <w:position w:val="11"/>
          <w:sz w:val="14"/>
        </w:rPr>
        <w:t>2 </w:t>
      </w:r>
      <w:r>
        <w:rPr>
          <w:rFonts w:ascii="Symbol" w:hAnsi="Symbol"/>
          <w:sz w:val="24"/>
        </w:rPr>
        <w:t></w:t>
      </w:r>
    </w:p>
    <w:p>
      <w:pPr>
        <w:spacing w:before="101"/>
        <w:ind w:left="24" w:right="0" w:firstLine="0"/>
        <w:jc w:val="center"/>
        <w:rPr>
          <w:i/>
          <w:sz w:val="24"/>
        </w:rPr>
      </w:pPr>
      <w:r>
        <w:rPr/>
        <w:br w:type="column"/>
      </w:r>
      <w:r>
        <w:rPr>
          <w:sz w:val="24"/>
        </w:rPr>
        <w:t>(</w:t>
      </w:r>
      <w:r>
        <w:rPr>
          <w:i/>
          <w:sz w:val="24"/>
        </w:rPr>
        <w:t>a </w:t>
      </w:r>
      <w:r>
        <w:rPr>
          <w:rFonts w:ascii="Symbol" w:hAnsi="Symbol"/>
          <w:sz w:val="24"/>
        </w:rPr>
        <w:t></w:t>
      </w:r>
      <w:r>
        <w:rPr>
          <w:sz w:val="24"/>
        </w:rPr>
        <w:t> </w:t>
      </w:r>
      <w:r>
        <w:rPr>
          <w:i/>
          <w:sz w:val="24"/>
        </w:rPr>
        <w:t>d </w:t>
      </w:r>
      <w:r>
        <w:rPr>
          <w:rFonts w:ascii="Symbol" w:hAnsi="Symbol"/>
          <w:sz w:val="24"/>
        </w:rPr>
        <w:t></w:t>
      </w:r>
      <w:r>
        <w:rPr>
          <w:sz w:val="24"/>
        </w:rPr>
        <w:t> </w:t>
      </w:r>
      <w:r>
        <w:rPr>
          <w:i/>
          <w:sz w:val="24"/>
        </w:rPr>
        <w:t>b </w:t>
      </w:r>
      <w:r>
        <w:rPr>
          <w:rFonts w:ascii="Symbol" w:hAnsi="Symbol"/>
          <w:sz w:val="24"/>
        </w:rPr>
        <w:t></w:t>
      </w:r>
      <w:r>
        <w:rPr>
          <w:sz w:val="24"/>
        </w:rPr>
        <w:t> </w:t>
      </w:r>
      <w:r>
        <w:rPr>
          <w:i/>
          <w:sz w:val="24"/>
        </w:rPr>
        <w:t>c</w:t>
      </w:r>
      <w:r>
        <w:rPr>
          <w:sz w:val="24"/>
        </w:rPr>
        <w:t>)</w:t>
      </w:r>
      <w:r>
        <w:rPr>
          <w:position w:val="11"/>
          <w:sz w:val="14"/>
        </w:rPr>
        <w:t>2  </w:t>
      </w:r>
      <w:r>
        <w:rPr>
          <w:rFonts w:ascii="Symbol" w:hAnsi="Symbol"/>
          <w:sz w:val="24"/>
        </w:rPr>
        <w:t></w:t>
      </w:r>
      <w:r>
        <w:rPr>
          <w:sz w:val="24"/>
        </w:rPr>
        <w:t> </w:t>
      </w:r>
      <w:r>
        <w:rPr>
          <w:i/>
          <w:sz w:val="24"/>
        </w:rPr>
        <w:t>n</w:t>
      </w:r>
    </w:p>
    <w:p>
      <w:pPr>
        <w:spacing w:before="47"/>
        <w:ind w:left="30" w:right="0" w:firstLine="0"/>
        <w:jc w:val="center"/>
        <w:rPr>
          <w:sz w:val="24"/>
        </w:rPr>
      </w:pPr>
      <w:r>
        <w:rPr/>
        <w:pict>
          <v:line style="position:absolute;mso-position-horizontal-relative:page;mso-position-vertical-relative:paragraph;z-index:2320" from="179.273544pt,1.959811pt" to="348.686883pt,1.959811pt" stroked="true" strokeweight=".500940pt" strokecolor="#000000">
            <v:stroke dashstyle="solid"/>
            <w10:wrap type="none"/>
          </v:line>
        </w:pict>
      </w:r>
      <w:r>
        <w:rPr>
          <w:spacing w:val="4"/>
          <w:sz w:val="24"/>
        </w:rPr>
        <w:t>(</w:t>
      </w:r>
      <w:r>
        <w:rPr>
          <w:i/>
          <w:spacing w:val="4"/>
          <w:sz w:val="24"/>
        </w:rPr>
        <w:t>a </w:t>
      </w:r>
      <w:r>
        <w:rPr>
          <w:rFonts w:ascii="Symbol" w:hAnsi="Symbol"/>
          <w:sz w:val="24"/>
        </w:rPr>
        <w:t></w:t>
      </w:r>
      <w:r>
        <w:rPr>
          <w:spacing w:val="3"/>
          <w:sz w:val="24"/>
        </w:rPr>
        <w:t> </w:t>
      </w:r>
      <w:r>
        <w:rPr>
          <w:i/>
          <w:sz w:val="24"/>
        </w:rPr>
        <w:t>b</w:t>
      </w:r>
      <w:r>
        <w:rPr>
          <w:sz w:val="24"/>
        </w:rPr>
        <w:t>)</w:t>
      </w:r>
      <w:r>
        <w:rPr>
          <w:spacing w:val="-14"/>
          <w:sz w:val="24"/>
        </w:rPr>
        <w:t> </w:t>
      </w:r>
      <w:r>
        <w:rPr>
          <w:rFonts w:ascii="Symbol" w:hAnsi="Symbol"/>
          <w:sz w:val="24"/>
        </w:rPr>
        <w:t></w:t>
      </w:r>
      <w:r>
        <w:rPr>
          <w:spacing w:val="-8"/>
          <w:sz w:val="24"/>
        </w:rPr>
        <w:t> </w:t>
      </w:r>
      <w:r>
        <w:rPr>
          <w:spacing w:val="4"/>
          <w:sz w:val="24"/>
        </w:rPr>
        <w:t>(</w:t>
      </w:r>
      <w:r>
        <w:rPr>
          <w:i/>
          <w:spacing w:val="4"/>
          <w:sz w:val="24"/>
        </w:rPr>
        <w:t>c</w:t>
      </w:r>
      <w:r>
        <w:rPr>
          <w:i/>
          <w:spacing w:val="-7"/>
          <w:sz w:val="24"/>
        </w:rPr>
        <w:t> </w:t>
      </w:r>
      <w:r>
        <w:rPr>
          <w:rFonts w:ascii="Symbol" w:hAnsi="Symbol"/>
          <w:sz w:val="24"/>
        </w:rPr>
        <w:t></w:t>
      </w:r>
      <w:r>
        <w:rPr>
          <w:spacing w:val="3"/>
          <w:sz w:val="24"/>
        </w:rPr>
        <w:t> </w:t>
      </w:r>
      <w:r>
        <w:rPr>
          <w:i/>
          <w:sz w:val="24"/>
        </w:rPr>
        <w:t>d</w:t>
      </w:r>
      <w:r>
        <w:rPr>
          <w:i/>
          <w:spacing w:val="-35"/>
          <w:sz w:val="24"/>
        </w:rPr>
        <w:t> </w:t>
      </w:r>
      <w:r>
        <w:rPr>
          <w:sz w:val="24"/>
        </w:rPr>
        <w:t>)</w:t>
      </w:r>
      <w:r>
        <w:rPr>
          <w:spacing w:val="-14"/>
          <w:sz w:val="24"/>
        </w:rPr>
        <w:t> </w:t>
      </w:r>
      <w:r>
        <w:rPr>
          <w:rFonts w:ascii="Symbol" w:hAnsi="Symbol"/>
          <w:sz w:val="24"/>
        </w:rPr>
        <w:t></w:t>
      </w:r>
      <w:r>
        <w:rPr>
          <w:spacing w:val="-8"/>
          <w:sz w:val="24"/>
        </w:rPr>
        <w:t> </w:t>
      </w:r>
      <w:r>
        <w:rPr>
          <w:spacing w:val="4"/>
          <w:sz w:val="24"/>
        </w:rPr>
        <w:t>(</w:t>
      </w:r>
      <w:r>
        <w:rPr>
          <w:i/>
          <w:spacing w:val="4"/>
          <w:sz w:val="24"/>
        </w:rPr>
        <w:t>a </w:t>
      </w:r>
      <w:r>
        <w:rPr>
          <w:rFonts w:ascii="Symbol" w:hAnsi="Symbol"/>
          <w:sz w:val="24"/>
        </w:rPr>
        <w:t></w:t>
      </w:r>
      <w:r>
        <w:rPr>
          <w:spacing w:val="3"/>
          <w:sz w:val="24"/>
        </w:rPr>
        <w:t> </w:t>
      </w:r>
      <w:r>
        <w:rPr>
          <w:i/>
          <w:spacing w:val="3"/>
          <w:sz w:val="24"/>
        </w:rPr>
        <w:t>c</w:t>
      </w:r>
      <w:r>
        <w:rPr>
          <w:spacing w:val="3"/>
          <w:sz w:val="24"/>
        </w:rPr>
        <w:t>)</w:t>
      </w:r>
      <w:r>
        <w:rPr>
          <w:spacing w:val="-14"/>
          <w:sz w:val="24"/>
        </w:rPr>
        <w:t> </w:t>
      </w:r>
      <w:r>
        <w:rPr>
          <w:rFonts w:ascii="Symbol" w:hAnsi="Symbol"/>
          <w:sz w:val="24"/>
        </w:rPr>
        <w:t></w:t>
      </w:r>
      <w:r>
        <w:rPr>
          <w:spacing w:val="-8"/>
          <w:sz w:val="24"/>
        </w:rPr>
        <w:t> </w:t>
      </w:r>
      <w:r>
        <w:rPr>
          <w:spacing w:val="4"/>
          <w:sz w:val="24"/>
        </w:rPr>
        <w:t>(</w:t>
      </w:r>
      <w:r>
        <w:rPr>
          <w:i/>
          <w:spacing w:val="4"/>
          <w:sz w:val="24"/>
        </w:rPr>
        <w:t>b</w:t>
      </w:r>
      <w:r>
        <w:rPr>
          <w:i/>
          <w:spacing w:val="-13"/>
          <w:sz w:val="24"/>
        </w:rPr>
        <w:t> </w:t>
      </w:r>
      <w:r>
        <w:rPr>
          <w:rFonts w:ascii="Symbol" w:hAnsi="Symbol"/>
          <w:sz w:val="24"/>
        </w:rPr>
        <w:t></w:t>
      </w:r>
      <w:r>
        <w:rPr>
          <w:spacing w:val="2"/>
          <w:sz w:val="24"/>
        </w:rPr>
        <w:t> </w:t>
      </w:r>
      <w:r>
        <w:rPr>
          <w:i/>
          <w:sz w:val="24"/>
        </w:rPr>
        <w:t>d</w:t>
      </w:r>
      <w:r>
        <w:rPr>
          <w:i/>
          <w:spacing w:val="-35"/>
          <w:sz w:val="24"/>
        </w:rPr>
        <w:t> </w:t>
      </w:r>
      <w:r>
        <w:rPr>
          <w:sz w:val="24"/>
        </w:rPr>
        <w:t>)</w:t>
      </w:r>
    </w:p>
    <w:p>
      <w:pPr>
        <w:pStyle w:val="BodyText"/>
        <w:rPr>
          <w:sz w:val="30"/>
        </w:rPr>
      </w:pPr>
      <w:r>
        <w:rPr/>
        <w:br w:type="column"/>
      </w:r>
      <w:r>
        <w:rPr>
          <w:sz w:val="30"/>
        </w:rPr>
      </w:r>
    </w:p>
    <w:p>
      <w:pPr>
        <w:pStyle w:val="BodyText"/>
        <w:tabs>
          <w:tab w:pos="1370" w:val="left" w:leader="none"/>
        </w:tabs>
        <w:spacing w:before="221"/>
        <w:ind w:left="182"/>
      </w:pPr>
      <w:r>
        <w:rPr/>
        <w:t>,</w:t>
        <w:tab/>
        <w:t>где</w:t>
      </w:r>
      <w:r>
        <w:rPr>
          <w:spacing w:val="-2"/>
        </w:rPr>
        <w:t> </w:t>
      </w:r>
      <w:r>
        <w:rPr/>
        <w:t>n=a+b+c+d</w:t>
      </w:r>
    </w:p>
    <w:p>
      <w:pPr>
        <w:spacing w:after="0"/>
        <w:sectPr>
          <w:type w:val="continuous"/>
          <w:pgSz w:w="11900" w:h="16850"/>
          <w:pgMar w:top="1020" w:bottom="280" w:left="1540" w:right="940"/>
          <w:cols w:num="3" w:equalWidth="0">
            <w:col w:w="1987" w:space="40"/>
            <w:col w:w="3406" w:space="40"/>
            <w:col w:w="3947"/>
          </w:cols>
        </w:sectPr>
      </w:pPr>
    </w:p>
    <w:p>
      <w:pPr>
        <w:pStyle w:val="BodyText"/>
        <w:rPr>
          <w:sz w:val="20"/>
        </w:rPr>
      </w:pPr>
    </w:p>
    <w:p>
      <w:pPr>
        <w:pStyle w:val="BodyText"/>
        <w:rPr>
          <w:sz w:val="20"/>
        </w:rPr>
      </w:pPr>
    </w:p>
    <w:p>
      <w:pPr>
        <w:pStyle w:val="BodyText"/>
        <w:spacing w:before="2"/>
        <w:rPr>
          <w:sz w:val="29"/>
        </w:rPr>
      </w:pPr>
    </w:p>
    <w:p>
      <w:pPr>
        <w:pStyle w:val="BodyText"/>
        <w:spacing w:before="89"/>
        <w:ind w:left="510"/>
      </w:pPr>
      <w:r>
        <w:rPr/>
        <w:t>Если один или несколько показателей меньше 4, то использовалась</w:t>
      </w:r>
    </w:p>
    <w:p>
      <w:pPr>
        <w:pStyle w:val="BodyText"/>
        <w:spacing w:before="160"/>
        <w:ind w:left="5299"/>
        <w:rPr>
          <w:b/>
        </w:rPr>
      </w:pPr>
      <w:r>
        <w:rPr/>
        <w:t>формула с поправкой Йетса</w:t>
      </w:r>
      <w:r>
        <w:rPr>
          <w:b/>
        </w:rPr>
        <w:t>:</w:t>
      </w:r>
    </w:p>
    <w:p>
      <w:pPr>
        <w:spacing w:line="362" w:lineRule="exact" w:before="18"/>
        <w:ind w:left="2557" w:right="0" w:firstLine="0"/>
        <w:jc w:val="left"/>
        <w:rPr>
          <w:i/>
          <w:sz w:val="23"/>
        </w:rPr>
      </w:pPr>
      <w:r>
        <w:rPr/>
        <w:pict>
          <v:line style="position:absolute;mso-position-horizontal-relative:page;mso-position-vertical-relative:paragraph;z-index:-339856" from="272.564178pt,15.784215pt" to="279.849403pt,15.784215pt" stroked="true" strokeweight=".228524pt" strokecolor="#000000">
            <v:stroke dashstyle="solid"/>
            <w10:wrap type="none"/>
          </v:line>
        </w:pict>
      </w:r>
      <w:r>
        <w:rPr>
          <w:w w:val="105"/>
          <w:sz w:val="23"/>
        </w:rPr>
        <w:t>(</w:t>
      </w:r>
      <w:r>
        <w:rPr>
          <w:i/>
          <w:w w:val="105"/>
          <w:sz w:val="23"/>
        </w:rPr>
        <w:t>a </w:t>
      </w:r>
      <w:r>
        <w:rPr>
          <w:rFonts w:ascii="Symbol" w:hAnsi="Symbol"/>
          <w:w w:val="105"/>
          <w:sz w:val="23"/>
        </w:rPr>
        <w:t></w:t>
      </w:r>
      <w:r>
        <w:rPr>
          <w:w w:val="105"/>
          <w:sz w:val="23"/>
        </w:rPr>
        <w:t> </w:t>
      </w:r>
      <w:r>
        <w:rPr>
          <w:i/>
          <w:w w:val="105"/>
          <w:sz w:val="23"/>
        </w:rPr>
        <w:t>d </w:t>
      </w:r>
      <w:r>
        <w:rPr>
          <w:rFonts w:ascii="Symbol" w:hAnsi="Symbol"/>
          <w:w w:val="105"/>
          <w:sz w:val="23"/>
        </w:rPr>
        <w:t></w:t>
      </w:r>
      <w:r>
        <w:rPr>
          <w:w w:val="105"/>
          <w:sz w:val="23"/>
        </w:rPr>
        <w:t> </w:t>
      </w:r>
      <w:r>
        <w:rPr>
          <w:i/>
          <w:w w:val="105"/>
          <w:sz w:val="23"/>
        </w:rPr>
        <w:t>b </w:t>
      </w:r>
      <w:r>
        <w:rPr>
          <w:rFonts w:ascii="Symbol" w:hAnsi="Symbol"/>
          <w:w w:val="105"/>
          <w:sz w:val="23"/>
        </w:rPr>
        <w:t></w:t>
      </w:r>
      <w:r>
        <w:rPr>
          <w:w w:val="105"/>
          <w:sz w:val="23"/>
        </w:rPr>
        <w:t> </w:t>
      </w:r>
      <w:r>
        <w:rPr>
          <w:i/>
          <w:w w:val="105"/>
          <w:sz w:val="23"/>
        </w:rPr>
        <w:t>c </w:t>
      </w:r>
      <w:r>
        <w:rPr>
          <w:rFonts w:ascii="Symbol" w:hAnsi="Symbol"/>
          <w:w w:val="105"/>
          <w:sz w:val="23"/>
        </w:rPr>
        <w:t></w:t>
      </w:r>
      <w:r>
        <w:rPr>
          <w:w w:val="105"/>
          <w:sz w:val="23"/>
        </w:rPr>
        <w:t> </w:t>
      </w:r>
      <w:r>
        <w:rPr>
          <w:i/>
          <w:w w:val="105"/>
          <w:position w:val="14"/>
          <w:sz w:val="23"/>
        </w:rPr>
        <w:t>n </w:t>
      </w:r>
      <w:r>
        <w:rPr>
          <w:w w:val="105"/>
          <w:sz w:val="23"/>
        </w:rPr>
        <w:t>)</w:t>
      </w:r>
      <w:r>
        <w:rPr>
          <w:w w:val="105"/>
          <w:position w:val="10"/>
          <w:sz w:val="13"/>
        </w:rPr>
        <w:t>2 </w:t>
      </w:r>
      <w:r>
        <w:rPr>
          <w:rFonts w:ascii="Symbol" w:hAnsi="Symbol"/>
          <w:w w:val="105"/>
          <w:sz w:val="23"/>
        </w:rPr>
        <w:t></w:t>
      </w:r>
      <w:r>
        <w:rPr>
          <w:w w:val="105"/>
          <w:sz w:val="23"/>
        </w:rPr>
        <w:t> </w:t>
      </w:r>
      <w:r>
        <w:rPr>
          <w:i/>
          <w:w w:val="105"/>
          <w:sz w:val="23"/>
        </w:rPr>
        <w:t>n</w:t>
      </w:r>
    </w:p>
    <w:p>
      <w:pPr>
        <w:tabs>
          <w:tab w:pos="3928" w:val="left" w:leader="none"/>
          <w:tab w:pos="5075" w:val="left" w:leader="none"/>
        </w:tabs>
        <w:spacing w:line="153" w:lineRule="auto" w:before="43"/>
        <w:ind w:left="2054" w:right="4341" w:hanging="513"/>
        <w:jc w:val="left"/>
        <w:rPr>
          <w:sz w:val="23"/>
        </w:rPr>
      </w:pPr>
      <w:r>
        <w:rPr>
          <w:rFonts w:ascii="Symbol" w:hAnsi="Symbol"/>
          <w:i/>
          <w:w w:val="105"/>
          <w:position w:val="-8"/>
          <w:sz w:val="24"/>
        </w:rPr>
        <w:t></w:t>
      </w:r>
      <w:r>
        <w:rPr>
          <w:i/>
          <w:spacing w:val="-28"/>
          <w:w w:val="105"/>
          <w:position w:val="-8"/>
          <w:sz w:val="24"/>
        </w:rPr>
        <w:t> </w:t>
      </w:r>
      <w:r>
        <w:rPr>
          <w:w w:val="105"/>
          <w:position w:val="1"/>
          <w:sz w:val="13"/>
        </w:rPr>
        <w:t>2 </w:t>
      </w:r>
      <w:r>
        <w:rPr>
          <w:spacing w:val="7"/>
          <w:w w:val="105"/>
          <w:position w:val="1"/>
          <w:sz w:val="13"/>
        </w:rPr>
        <w:t> </w:t>
      </w:r>
      <w:r>
        <w:rPr>
          <w:rFonts w:ascii="Symbol" w:hAnsi="Symbol"/>
          <w:w w:val="105"/>
          <w:position w:val="-8"/>
          <w:sz w:val="23"/>
        </w:rPr>
        <w:t></w:t>
      </w:r>
      <w:r>
        <w:rPr>
          <w:w w:val="105"/>
          <w:sz w:val="23"/>
          <w:u w:val="single"/>
        </w:rPr>
        <w:t> </w:t>
        <w:tab/>
        <w:t>2</w:t>
        <w:tab/>
      </w:r>
      <w:r>
        <w:rPr>
          <w:w w:val="105"/>
          <w:sz w:val="23"/>
        </w:rPr>
        <w:t> </w:t>
      </w:r>
      <w:r>
        <w:rPr>
          <w:spacing w:val="2"/>
          <w:w w:val="105"/>
          <w:sz w:val="23"/>
        </w:rPr>
        <w:t>(</w:t>
      </w:r>
      <w:r>
        <w:rPr>
          <w:i/>
          <w:spacing w:val="2"/>
          <w:w w:val="105"/>
          <w:sz w:val="23"/>
        </w:rPr>
        <w:t>a</w:t>
      </w:r>
      <w:r>
        <w:rPr>
          <w:i/>
          <w:spacing w:val="-22"/>
          <w:w w:val="105"/>
          <w:sz w:val="23"/>
        </w:rPr>
        <w:t> </w:t>
      </w:r>
      <w:r>
        <w:rPr>
          <w:rFonts w:ascii="Symbol" w:hAnsi="Symbol"/>
          <w:w w:val="105"/>
          <w:sz w:val="23"/>
        </w:rPr>
        <w:t></w:t>
      </w:r>
      <w:r>
        <w:rPr>
          <w:spacing w:val="-29"/>
          <w:w w:val="105"/>
          <w:sz w:val="23"/>
        </w:rPr>
        <w:t> </w:t>
      </w:r>
      <w:r>
        <w:rPr>
          <w:i/>
          <w:w w:val="105"/>
          <w:sz w:val="23"/>
        </w:rPr>
        <w:t>b</w:t>
      </w:r>
      <w:r>
        <w:rPr>
          <w:w w:val="105"/>
          <w:sz w:val="23"/>
        </w:rPr>
        <w:t>)</w:t>
      </w:r>
      <w:r>
        <w:rPr>
          <w:spacing w:val="-40"/>
          <w:w w:val="105"/>
          <w:sz w:val="23"/>
        </w:rPr>
        <w:t> </w:t>
      </w:r>
      <w:r>
        <w:rPr>
          <w:rFonts w:ascii="Symbol" w:hAnsi="Symbol"/>
          <w:spacing w:val="9"/>
          <w:w w:val="105"/>
          <w:sz w:val="23"/>
        </w:rPr>
        <w:t></w:t>
      </w:r>
      <w:r>
        <w:rPr>
          <w:spacing w:val="9"/>
          <w:w w:val="105"/>
          <w:sz w:val="23"/>
        </w:rPr>
        <w:t>(</w:t>
      </w:r>
      <w:r>
        <w:rPr>
          <w:i/>
          <w:spacing w:val="9"/>
          <w:w w:val="105"/>
          <w:sz w:val="23"/>
        </w:rPr>
        <w:t>c</w:t>
      </w:r>
      <w:r>
        <w:rPr>
          <w:i/>
          <w:spacing w:val="-23"/>
          <w:w w:val="105"/>
          <w:sz w:val="23"/>
        </w:rPr>
        <w:t> </w:t>
      </w:r>
      <w:r>
        <w:rPr>
          <w:rFonts w:ascii="Symbol" w:hAnsi="Symbol"/>
          <w:w w:val="105"/>
          <w:sz w:val="23"/>
        </w:rPr>
        <w:t></w:t>
      </w:r>
      <w:r>
        <w:rPr>
          <w:spacing w:val="-23"/>
          <w:w w:val="105"/>
          <w:sz w:val="23"/>
        </w:rPr>
        <w:t> </w:t>
      </w:r>
      <w:r>
        <w:rPr>
          <w:i/>
          <w:w w:val="105"/>
          <w:sz w:val="23"/>
        </w:rPr>
        <w:t>d</w:t>
      </w:r>
      <w:r>
        <w:rPr>
          <w:i/>
          <w:spacing w:val="-39"/>
          <w:w w:val="105"/>
          <w:sz w:val="23"/>
        </w:rPr>
        <w:t> </w:t>
      </w:r>
      <w:r>
        <w:rPr>
          <w:w w:val="105"/>
          <w:sz w:val="23"/>
        </w:rPr>
        <w:t>)</w:t>
      </w:r>
      <w:r>
        <w:rPr>
          <w:spacing w:val="-39"/>
          <w:w w:val="105"/>
          <w:sz w:val="23"/>
        </w:rPr>
        <w:t> </w:t>
      </w:r>
      <w:r>
        <w:rPr>
          <w:rFonts w:ascii="Symbol" w:hAnsi="Symbol"/>
          <w:spacing w:val="10"/>
          <w:w w:val="105"/>
          <w:sz w:val="23"/>
        </w:rPr>
        <w:t></w:t>
      </w:r>
      <w:r>
        <w:rPr>
          <w:spacing w:val="10"/>
          <w:w w:val="105"/>
          <w:sz w:val="23"/>
        </w:rPr>
        <w:t>(</w:t>
      </w:r>
      <w:r>
        <w:rPr>
          <w:i/>
          <w:spacing w:val="10"/>
          <w:w w:val="105"/>
          <w:sz w:val="23"/>
        </w:rPr>
        <w:t>a</w:t>
      </w:r>
      <w:r>
        <w:rPr>
          <w:i/>
          <w:spacing w:val="-21"/>
          <w:w w:val="105"/>
          <w:sz w:val="23"/>
        </w:rPr>
        <w:t> </w:t>
      </w:r>
      <w:r>
        <w:rPr>
          <w:rFonts w:ascii="Symbol" w:hAnsi="Symbol"/>
          <w:w w:val="105"/>
          <w:sz w:val="23"/>
        </w:rPr>
        <w:t></w:t>
      </w:r>
      <w:r>
        <w:rPr>
          <w:spacing w:val="-26"/>
          <w:w w:val="105"/>
          <w:sz w:val="23"/>
        </w:rPr>
        <w:t> </w:t>
      </w:r>
      <w:r>
        <w:rPr>
          <w:i/>
          <w:w w:val="105"/>
          <w:sz w:val="23"/>
        </w:rPr>
        <w:t>c</w:t>
      </w:r>
      <w:r>
        <w:rPr>
          <w:w w:val="105"/>
          <w:sz w:val="23"/>
        </w:rPr>
        <w:t>)</w:t>
      </w:r>
      <w:r>
        <w:rPr>
          <w:spacing w:val="-39"/>
          <w:w w:val="105"/>
          <w:sz w:val="23"/>
        </w:rPr>
        <w:t> </w:t>
      </w:r>
      <w:r>
        <w:rPr>
          <w:rFonts w:ascii="Symbol" w:hAnsi="Symbol"/>
          <w:spacing w:val="8"/>
          <w:w w:val="105"/>
          <w:sz w:val="23"/>
        </w:rPr>
        <w:t></w:t>
      </w:r>
      <w:r>
        <w:rPr>
          <w:spacing w:val="8"/>
          <w:w w:val="105"/>
          <w:sz w:val="23"/>
        </w:rPr>
        <w:t>(</w:t>
      </w:r>
      <w:r>
        <w:rPr>
          <w:i/>
          <w:spacing w:val="8"/>
          <w:w w:val="105"/>
          <w:sz w:val="23"/>
        </w:rPr>
        <w:t>b</w:t>
      </w:r>
      <w:r>
        <w:rPr>
          <w:i/>
          <w:spacing w:val="-25"/>
          <w:w w:val="105"/>
          <w:sz w:val="23"/>
        </w:rPr>
        <w:t> </w:t>
      </w:r>
      <w:r>
        <w:rPr>
          <w:rFonts w:ascii="Symbol" w:hAnsi="Symbol"/>
          <w:w w:val="105"/>
          <w:sz w:val="23"/>
        </w:rPr>
        <w:t></w:t>
      </w:r>
      <w:r>
        <w:rPr>
          <w:spacing w:val="-22"/>
          <w:w w:val="105"/>
          <w:sz w:val="23"/>
        </w:rPr>
        <w:t> </w:t>
      </w:r>
      <w:r>
        <w:rPr>
          <w:i/>
          <w:w w:val="105"/>
          <w:sz w:val="23"/>
        </w:rPr>
        <w:t>d</w:t>
      </w:r>
      <w:r>
        <w:rPr>
          <w:i/>
          <w:spacing w:val="-39"/>
          <w:w w:val="105"/>
          <w:sz w:val="23"/>
        </w:rPr>
        <w:t> </w:t>
      </w:r>
      <w:r>
        <w:rPr>
          <w:w w:val="105"/>
          <w:sz w:val="23"/>
        </w:rPr>
        <w:t>)</w:t>
      </w:r>
    </w:p>
    <w:p>
      <w:pPr>
        <w:spacing w:after="0" w:line="153" w:lineRule="auto"/>
        <w:jc w:val="left"/>
        <w:rPr>
          <w:sz w:val="23"/>
        </w:rPr>
        <w:sectPr>
          <w:type w:val="continuous"/>
          <w:pgSz w:w="11900" w:h="16850"/>
          <w:pgMar w:top="1020" w:bottom="280" w:left="1540" w:right="940"/>
        </w:sectPr>
      </w:pPr>
    </w:p>
    <w:p>
      <w:pPr>
        <w:pStyle w:val="BodyText"/>
        <w:rPr>
          <w:sz w:val="20"/>
        </w:rPr>
      </w:pPr>
    </w:p>
    <w:p>
      <w:pPr>
        <w:pStyle w:val="BodyText"/>
        <w:spacing w:before="2"/>
        <w:rPr>
          <w:sz w:val="21"/>
        </w:rPr>
      </w:pPr>
    </w:p>
    <w:p>
      <w:pPr>
        <w:pStyle w:val="BodyText"/>
        <w:spacing w:line="348" w:lineRule="auto" w:before="92"/>
        <w:ind w:left="222" w:firstLine="347"/>
      </w:pPr>
      <w:r>
        <w:rPr/>
        <w:t>В случае, если значение </w:t>
      </w:r>
      <w:r>
        <w:rPr>
          <w:rFonts w:ascii="Symbol" w:hAnsi="Symbol"/>
          <w:sz w:val="26"/>
        </w:rPr>
        <w:t></w:t>
      </w:r>
      <w:r>
        <w:rPr>
          <w:position w:val="13"/>
          <w:sz w:val="18"/>
        </w:rPr>
        <w:t>2 </w:t>
      </w:r>
      <w:r>
        <w:rPr/>
        <w:t>превышает 3,84, можно говорить о достоверности более 0,95 (p&lt;0,05). При </w:t>
      </w:r>
      <w:r>
        <w:rPr>
          <w:rFonts w:ascii="Symbol" w:hAnsi="Symbol"/>
          <w:sz w:val="26"/>
        </w:rPr>
        <w:t></w:t>
      </w:r>
      <w:r>
        <w:rPr>
          <w:position w:val="13"/>
          <w:sz w:val="18"/>
        </w:rPr>
        <w:t>2 </w:t>
      </w:r>
      <w:r>
        <w:rPr/>
        <w:t>большем, чем 6,63 вероятность ошибки (коэффициент достоверности) имеет значение, меньшее 0,01.</w:t>
      </w:r>
    </w:p>
    <w:p>
      <w:pPr>
        <w:pStyle w:val="BodyText"/>
        <w:spacing w:line="360" w:lineRule="auto" w:before="140"/>
        <w:ind w:left="222" w:right="428" w:firstLine="69"/>
        <w:rPr>
          <w:b/>
        </w:rPr>
      </w:pPr>
      <w:r>
        <w:rPr/>
        <w:t>Если хотя бы один из показателей меньше 4, а общее число наблюдений не превышает 30, то обычно используется критерий Фишера</w:t>
      </w:r>
      <w:r>
        <w:rPr>
          <w:b/>
        </w:rPr>
        <w:t>:</w:t>
      </w:r>
    </w:p>
    <w:p>
      <w:pPr>
        <w:pStyle w:val="BodyText"/>
        <w:spacing w:before="10"/>
        <w:rPr>
          <w:b/>
          <w:sz w:val="18"/>
        </w:rPr>
      </w:pPr>
    </w:p>
    <w:p>
      <w:pPr>
        <w:spacing w:line="231" w:lineRule="exact" w:before="99"/>
        <w:ind w:left="3023" w:right="0" w:firstLine="0"/>
        <w:jc w:val="left"/>
        <w:rPr>
          <w:sz w:val="24"/>
        </w:rPr>
      </w:pPr>
      <w:r>
        <w:rPr>
          <w:w w:val="105"/>
          <w:sz w:val="24"/>
        </w:rPr>
        <w:t>(</w:t>
      </w:r>
      <w:r>
        <w:rPr>
          <w:i/>
          <w:w w:val="105"/>
          <w:sz w:val="24"/>
        </w:rPr>
        <w:t>a </w:t>
      </w:r>
      <w:r>
        <w:rPr>
          <w:rFonts w:ascii="Symbol" w:hAnsi="Symbol"/>
          <w:w w:val="105"/>
          <w:sz w:val="24"/>
        </w:rPr>
        <w:t></w:t>
      </w:r>
      <w:r>
        <w:rPr>
          <w:w w:val="105"/>
          <w:sz w:val="24"/>
        </w:rPr>
        <w:t> </w:t>
      </w:r>
      <w:r>
        <w:rPr>
          <w:i/>
          <w:w w:val="105"/>
          <w:sz w:val="24"/>
        </w:rPr>
        <w:t>b</w:t>
      </w:r>
      <w:r>
        <w:rPr>
          <w:w w:val="105"/>
          <w:sz w:val="24"/>
        </w:rPr>
        <w:t>)!</w:t>
      </w:r>
      <w:r>
        <w:rPr>
          <w:rFonts w:ascii="Symbol" w:hAnsi="Symbol"/>
          <w:w w:val="105"/>
          <w:sz w:val="24"/>
        </w:rPr>
        <w:t></w:t>
      </w:r>
      <w:r>
        <w:rPr>
          <w:w w:val="105"/>
          <w:sz w:val="24"/>
        </w:rPr>
        <w:t> (</w:t>
      </w:r>
      <w:r>
        <w:rPr>
          <w:i/>
          <w:w w:val="105"/>
          <w:sz w:val="24"/>
        </w:rPr>
        <w:t>c </w:t>
      </w:r>
      <w:r>
        <w:rPr>
          <w:rFonts w:ascii="Symbol" w:hAnsi="Symbol"/>
          <w:w w:val="105"/>
          <w:sz w:val="24"/>
        </w:rPr>
        <w:t></w:t>
      </w:r>
      <w:r>
        <w:rPr>
          <w:w w:val="105"/>
          <w:sz w:val="24"/>
        </w:rPr>
        <w:t> </w:t>
      </w:r>
      <w:r>
        <w:rPr>
          <w:i/>
          <w:w w:val="105"/>
          <w:sz w:val="24"/>
        </w:rPr>
        <w:t>d </w:t>
      </w:r>
      <w:r>
        <w:rPr>
          <w:w w:val="105"/>
          <w:sz w:val="24"/>
        </w:rPr>
        <w:t>)!</w:t>
      </w:r>
      <w:r>
        <w:rPr>
          <w:rFonts w:ascii="Symbol" w:hAnsi="Symbol"/>
          <w:w w:val="105"/>
          <w:sz w:val="24"/>
        </w:rPr>
        <w:t></w:t>
      </w:r>
      <w:r>
        <w:rPr>
          <w:w w:val="105"/>
          <w:sz w:val="24"/>
        </w:rPr>
        <w:t> (</w:t>
      </w:r>
      <w:r>
        <w:rPr>
          <w:i/>
          <w:w w:val="105"/>
          <w:sz w:val="24"/>
        </w:rPr>
        <w:t>a </w:t>
      </w:r>
      <w:r>
        <w:rPr>
          <w:rFonts w:ascii="Symbol" w:hAnsi="Symbol"/>
          <w:w w:val="105"/>
          <w:sz w:val="24"/>
        </w:rPr>
        <w:t></w:t>
      </w:r>
      <w:r>
        <w:rPr>
          <w:w w:val="105"/>
          <w:sz w:val="24"/>
        </w:rPr>
        <w:t> </w:t>
      </w:r>
      <w:r>
        <w:rPr>
          <w:i/>
          <w:w w:val="105"/>
          <w:sz w:val="24"/>
        </w:rPr>
        <w:t>c</w:t>
      </w:r>
      <w:r>
        <w:rPr>
          <w:w w:val="105"/>
          <w:sz w:val="24"/>
        </w:rPr>
        <w:t>)!</w:t>
      </w:r>
      <w:r>
        <w:rPr>
          <w:rFonts w:ascii="Symbol" w:hAnsi="Symbol"/>
          <w:w w:val="105"/>
          <w:sz w:val="24"/>
        </w:rPr>
        <w:t></w:t>
      </w:r>
      <w:r>
        <w:rPr>
          <w:w w:val="105"/>
          <w:sz w:val="24"/>
        </w:rPr>
        <w:t> (</w:t>
      </w:r>
      <w:r>
        <w:rPr>
          <w:i/>
          <w:w w:val="105"/>
          <w:sz w:val="24"/>
        </w:rPr>
        <w:t>b </w:t>
      </w:r>
      <w:r>
        <w:rPr>
          <w:rFonts w:ascii="Symbol" w:hAnsi="Symbol"/>
          <w:w w:val="105"/>
          <w:sz w:val="24"/>
        </w:rPr>
        <w:t></w:t>
      </w:r>
      <w:r>
        <w:rPr>
          <w:w w:val="105"/>
          <w:sz w:val="24"/>
        </w:rPr>
        <w:t> </w:t>
      </w:r>
      <w:r>
        <w:rPr>
          <w:i/>
          <w:w w:val="105"/>
          <w:sz w:val="24"/>
        </w:rPr>
        <w:t>d </w:t>
      </w:r>
      <w:r>
        <w:rPr>
          <w:w w:val="105"/>
          <w:sz w:val="24"/>
        </w:rPr>
        <w:t>)!</w:t>
      </w:r>
    </w:p>
    <w:p>
      <w:pPr>
        <w:tabs>
          <w:tab w:pos="3908" w:val="left" w:leader="none"/>
        </w:tabs>
        <w:spacing w:line="401" w:lineRule="exact" w:before="0"/>
        <w:ind w:left="2643" w:right="0" w:firstLine="0"/>
        <w:jc w:val="left"/>
        <w:rPr>
          <w:sz w:val="24"/>
        </w:rPr>
      </w:pPr>
      <w:r>
        <w:rPr/>
        <w:pict>
          <v:line style="position:absolute;mso-position-horizontal-relative:page;mso-position-vertical-relative:paragraph;z-index:-339832" from="224.578751pt,5.065716pt" to="400.206858pt,5.065716pt" stroked="true" strokeweight=".49541pt" strokecolor="#000000">
            <v:stroke dashstyle="solid"/>
            <w10:wrap type="none"/>
          </v:line>
        </w:pict>
      </w:r>
      <w:r>
        <w:rPr>
          <w:i/>
          <w:w w:val="105"/>
          <w:position w:val="17"/>
          <w:sz w:val="24"/>
        </w:rPr>
        <w:t>p</w:t>
      </w:r>
      <w:r>
        <w:rPr>
          <w:i/>
          <w:spacing w:val="-14"/>
          <w:w w:val="105"/>
          <w:position w:val="17"/>
          <w:sz w:val="24"/>
        </w:rPr>
        <w:t> </w:t>
      </w:r>
      <w:r>
        <w:rPr>
          <w:rFonts w:ascii="Symbol" w:hAnsi="Symbol"/>
          <w:w w:val="105"/>
          <w:position w:val="17"/>
          <w:sz w:val="24"/>
        </w:rPr>
        <w:t></w:t>
      </w:r>
      <w:r>
        <w:rPr>
          <w:w w:val="105"/>
          <w:position w:val="17"/>
          <w:sz w:val="24"/>
        </w:rPr>
        <w:tab/>
      </w:r>
      <w:r>
        <w:rPr>
          <w:i/>
          <w:spacing w:val="-5"/>
          <w:w w:val="105"/>
          <w:sz w:val="24"/>
        </w:rPr>
        <w:t>n</w:t>
      </w:r>
      <w:r>
        <w:rPr>
          <w:spacing w:val="-5"/>
          <w:w w:val="105"/>
          <w:sz w:val="24"/>
        </w:rPr>
        <w:t>!</w:t>
      </w:r>
      <w:r>
        <w:rPr>
          <w:rFonts w:ascii="Symbol" w:hAnsi="Symbol"/>
          <w:spacing w:val="-5"/>
          <w:w w:val="105"/>
          <w:sz w:val="24"/>
        </w:rPr>
        <w:t></w:t>
      </w:r>
      <w:r>
        <w:rPr>
          <w:spacing w:val="-13"/>
          <w:w w:val="105"/>
          <w:sz w:val="24"/>
        </w:rPr>
        <w:t> </w:t>
      </w:r>
      <w:r>
        <w:rPr>
          <w:i/>
          <w:w w:val="105"/>
          <w:sz w:val="24"/>
        </w:rPr>
        <w:t>a</w:t>
      </w:r>
      <w:r>
        <w:rPr>
          <w:i/>
          <w:spacing w:val="-45"/>
          <w:w w:val="105"/>
          <w:sz w:val="24"/>
        </w:rPr>
        <w:t> </w:t>
      </w:r>
      <w:r>
        <w:rPr>
          <w:spacing w:val="-14"/>
          <w:w w:val="105"/>
          <w:sz w:val="24"/>
        </w:rPr>
        <w:t>!</w:t>
      </w:r>
      <w:r>
        <w:rPr>
          <w:rFonts w:ascii="Symbol" w:hAnsi="Symbol"/>
          <w:spacing w:val="-14"/>
          <w:w w:val="105"/>
          <w:sz w:val="24"/>
        </w:rPr>
        <w:t></w:t>
      </w:r>
      <w:r>
        <w:rPr>
          <w:spacing w:val="-13"/>
          <w:w w:val="105"/>
          <w:sz w:val="24"/>
        </w:rPr>
        <w:t> </w:t>
      </w:r>
      <w:r>
        <w:rPr>
          <w:i/>
          <w:spacing w:val="-8"/>
          <w:w w:val="105"/>
          <w:sz w:val="24"/>
        </w:rPr>
        <w:t>b</w:t>
      </w:r>
      <w:r>
        <w:rPr>
          <w:spacing w:val="-8"/>
          <w:w w:val="105"/>
          <w:sz w:val="24"/>
        </w:rPr>
        <w:t>!</w:t>
      </w:r>
      <w:r>
        <w:rPr>
          <w:rFonts w:ascii="Symbol" w:hAnsi="Symbol"/>
          <w:spacing w:val="-8"/>
          <w:w w:val="105"/>
          <w:sz w:val="24"/>
        </w:rPr>
        <w:t></w:t>
      </w:r>
      <w:r>
        <w:rPr>
          <w:spacing w:val="-13"/>
          <w:w w:val="105"/>
          <w:sz w:val="24"/>
        </w:rPr>
        <w:t> </w:t>
      </w:r>
      <w:r>
        <w:rPr>
          <w:i/>
          <w:spacing w:val="-5"/>
          <w:w w:val="105"/>
          <w:sz w:val="24"/>
        </w:rPr>
        <w:t>c</w:t>
      </w:r>
      <w:r>
        <w:rPr>
          <w:spacing w:val="-5"/>
          <w:w w:val="105"/>
          <w:sz w:val="24"/>
        </w:rPr>
        <w:t>!</w:t>
      </w:r>
      <w:r>
        <w:rPr>
          <w:rFonts w:ascii="Symbol" w:hAnsi="Symbol"/>
          <w:spacing w:val="-5"/>
          <w:w w:val="105"/>
          <w:sz w:val="24"/>
        </w:rPr>
        <w:t></w:t>
      </w:r>
      <w:r>
        <w:rPr>
          <w:spacing w:val="-13"/>
          <w:w w:val="105"/>
          <w:sz w:val="24"/>
        </w:rPr>
        <w:t> </w:t>
      </w:r>
      <w:r>
        <w:rPr>
          <w:i/>
          <w:w w:val="105"/>
          <w:sz w:val="24"/>
        </w:rPr>
        <w:t>d</w:t>
      </w:r>
      <w:r>
        <w:rPr>
          <w:i/>
          <w:spacing w:val="-37"/>
          <w:w w:val="105"/>
          <w:sz w:val="24"/>
        </w:rPr>
        <w:t> </w:t>
      </w:r>
      <w:r>
        <w:rPr>
          <w:w w:val="105"/>
          <w:sz w:val="24"/>
        </w:rPr>
        <w:t>!</w:t>
      </w:r>
    </w:p>
    <w:p>
      <w:pPr>
        <w:pStyle w:val="BodyText"/>
        <w:spacing w:before="7"/>
        <w:rPr>
          <w:sz w:val="25"/>
        </w:rPr>
      </w:pPr>
    </w:p>
    <w:p>
      <w:pPr>
        <w:pStyle w:val="BodyText"/>
        <w:spacing w:line="360" w:lineRule="auto" w:before="89"/>
        <w:ind w:left="222" w:right="383" w:firstLine="347"/>
      </w:pPr>
      <w:r>
        <w:rPr/>
        <w:t>Также рассчитывались показатели чувствительности, специфичности, прогностической ценности диагностического теста (Табл. 2.6).</w:t>
      </w:r>
    </w:p>
    <w:p>
      <w:pPr>
        <w:pStyle w:val="BodyText"/>
        <w:rPr>
          <w:sz w:val="30"/>
        </w:rPr>
      </w:pPr>
    </w:p>
    <w:p>
      <w:pPr>
        <w:pStyle w:val="BodyText"/>
        <w:spacing w:before="5"/>
        <w:rPr>
          <w:sz w:val="33"/>
        </w:rPr>
      </w:pPr>
    </w:p>
    <w:p>
      <w:pPr>
        <w:pStyle w:val="BodyText"/>
        <w:spacing w:line="448" w:lineRule="auto" w:after="18"/>
        <w:ind w:left="1263" w:right="104" w:firstLine="6611"/>
      </w:pPr>
      <w:r>
        <w:rPr/>
        <w:t>Таблица 2.6 Расчёт прогностической ценности диагностического теста</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33"/>
        <w:gridCol w:w="1901"/>
        <w:gridCol w:w="1843"/>
        <w:gridCol w:w="1071"/>
        <w:gridCol w:w="1133"/>
      </w:tblGrid>
      <w:tr>
        <w:trPr>
          <w:trHeight w:val="494" w:hRule="exact"/>
        </w:trPr>
        <w:tc>
          <w:tcPr>
            <w:tcW w:w="3233" w:type="dxa"/>
          </w:tcPr>
          <w:p>
            <w:pPr>
              <w:pStyle w:val="TableParagraph"/>
              <w:spacing w:line="315" w:lineRule="exact"/>
              <w:ind w:left="608" w:right="608"/>
              <w:jc w:val="center"/>
              <w:rPr>
                <w:sz w:val="28"/>
              </w:rPr>
            </w:pPr>
            <w:r>
              <w:rPr>
                <w:color w:val="404040"/>
                <w:sz w:val="28"/>
              </w:rPr>
              <w:t>Тест</w:t>
            </w:r>
          </w:p>
        </w:tc>
        <w:tc>
          <w:tcPr>
            <w:tcW w:w="3744" w:type="dxa"/>
            <w:gridSpan w:val="2"/>
          </w:tcPr>
          <w:p>
            <w:pPr>
              <w:pStyle w:val="TableParagraph"/>
              <w:spacing w:line="315" w:lineRule="exact"/>
              <w:ind w:left="100"/>
              <w:rPr>
                <w:sz w:val="28"/>
              </w:rPr>
            </w:pPr>
            <w:r>
              <w:rPr>
                <w:sz w:val="28"/>
              </w:rPr>
              <w:t>Заболевание</w:t>
            </w:r>
          </w:p>
        </w:tc>
        <w:tc>
          <w:tcPr>
            <w:tcW w:w="2204" w:type="dxa"/>
            <w:gridSpan w:val="2"/>
          </w:tcPr>
          <w:p>
            <w:pPr>
              <w:pStyle w:val="TableParagraph"/>
              <w:spacing w:line="315" w:lineRule="exact"/>
              <w:ind w:left="100"/>
              <w:rPr>
                <w:sz w:val="28"/>
              </w:rPr>
            </w:pPr>
            <w:r>
              <w:rPr>
                <w:color w:val="404040"/>
                <w:sz w:val="28"/>
              </w:rPr>
              <w:t>Всего</w:t>
            </w:r>
          </w:p>
        </w:tc>
      </w:tr>
      <w:tr>
        <w:trPr>
          <w:trHeight w:val="492" w:hRule="exact"/>
        </w:trPr>
        <w:tc>
          <w:tcPr>
            <w:tcW w:w="3233" w:type="dxa"/>
          </w:tcPr>
          <w:p>
            <w:pPr/>
          </w:p>
        </w:tc>
        <w:tc>
          <w:tcPr>
            <w:tcW w:w="1901" w:type="dxa"/>
          </w:tcPr>
          <w:p>
            <w:pPr>
              <w:pStyle w:val="TableParagraph"/>
              <w:spacing w:line="315" w:lineRule="exact"/>
              <w:ind w:left="100"/>
              <w:rPr>
                <w:sz w:val="28"/>
              </w:rPr>
            </w:pPr>
            <w:r>
              <w:rPr>
                <w:sz w:val="28"/>
              </w:rPr>
              <w:t>Присутствует</w:t>
            </w:r>
          </w:p>
        </w:tc>
        <w:tc>
          <w:tcPr>
            <w:tcW w:w="1843" w:type="dxa"/>
          </w:tcPr>
          <w:p>
            <w:pPr>
              <w:pStyle w:val="TableParagraph"/>
              <w:spacing w:line="315" w:lineRule="exact"/>
              <w:ind w:left="100"/>
              <w:rPr>
                <w:sz w:val="28"/>
              </w:rPr>
            </w:pPr>
            <w:r>
              <w:rPr>
                <w:sz w:val="28"/>
              </w:rPr>
              <w:t>Отсутствует</w:t>
            </w:r>
          </w:p>
        </w:tc>
        <w:tc>
          <w:tcPr>
            <w:tcW w:w="2204" w:type="dxa"/>
            <w:gridSpan w:val="2"/>
          </w:tcPr>
          <w:p>
            <w:pPr/>
          </w:p>
        </w:tc>
      </w:tr>
      <w:tr>
        <w:trPr>
          <w:trHeight w:val="977" w:hRule="exact"/>
        </w:trPr>
        <w:tc>
          <w:tcPr>
            <w:tcW w:w="3233" w:type="dxa"/>
          </w:tcPr>
          <w:p>
            <w:pPr>
              <w:pStyle w:val="TableParagraph"/>
              <w:spacing w:before="235"/>
              <w:ind w:left="608" w:right="608"/>
              <w:jc w:val="center"/>
              <w:rPr>
                <w:sz w:val="28"/>
              </w:rPr>
            </w:pPr>
            <w:r>
              <w:rPr>
                <w:sz w:val="28"/>
              </w:rPr>
              <w:t>Положительный</w:t>
            </w:r>
          </w:p>
        </w:tc>
        <w:tc>
          <w:tcPr>
            <w:tcW w:w="1901" w:type="dxa"/>
          </w:tcPr>
          <w:p>
            <w:pPr>
              <w:pStyle w:val="TableParagraph"/>
              <w:spacing w:line="315" w:lineRule="exact"/>
              <w:ind w:left="100"/>
              <w:rPr>
                <w:sz w:val="28"/>
              </w:rPr>
            </w:pPr>
            <w:r>
              <w:rPr>
                <w:w w:val="100"/>
                <w:sz w:val="28"/>
              </w:rPr>
              <w:t>a</w:t>
            </w:r>
          </w:p>
        </w:tc>
        <w:tc>
          <w:tcPr>
            <w:tcW w:w="1843" w:type="dxa"/>
          </w:tcPr>
          <w:p>
            <w:pPr>
              <w:pStyle w:val="TableParagraph"/>
              <w:spacing w:line="315" w:lineRule="exact"/>
              <w:ind w:left="100"/>
              <w:rPr>
                <w:sz w:val="28"/>
              </w:rPr>
            </w:pPr>
            <w:r>
              <w:rPr>
                <w:w w:val="100"/>
                <w:sz w:val="28"/>
              </w:rPr>
              <w:t>b</w:t>
            </w:r>
          </w:p>
        </w:tc>
        <w:tc>
          <w:tcPr>
            <w:tcW w:w="1071" w:type="dxa"/>
          </w:tcPr>
          <w:p>
            <w:pPr>
              <w:pStyle w:val="TableParagraph"/>
              <w:spacing w:line="315" w:lineRule="exact"/>
              <w:ind w:left="100"/>
              <w:rPr>
                <w:sz w:val="28"/>
              </w:rPr>
            </w:pPr>
            <w:r>
              <w:rPr>
                <w:sz w:val="28"/>
              </w:rPr>
              <w:t>a+b</w:t>
            </w:r>
          </w:p>
        </w:tc>
        <w:tc>
          <w:tcPr>
            <w:tcW w:w="1133" w:type="dxa"/>
          </w:tcPr>
          <w:p>
            <w:pPr>
              <w:pStyle w:val="TableParagraph"/>
              <w:spacing w:line="315" w:lineRule="exact"/>
              <w:ind w:left="100"/>
              <w:rPr>
                <w:sz w:val="28"/>
              </w:rPr>
            </w:pPr>
            <w:r>
              <w:rPr>
                <w:sz w:val="28"/>
              </w:rPr>
              <w:t>+PV=</w:t>
            </w:r>
          </w:p>
          <w:p>
            <w:pPr>
              <w:pStyle w:val="TableParagraph"/>
              <w:spacing w:before="160"/>
              <w:ind w:left="100"/>
              <w:rPr>
                <w:sz w:val="28"/>
              </w:rPr>
            </w:pPr>
            <w:r>
              <w:rPr>
                <w:sz w:val="28"/>
              </w:rPr>
              <w:t>a/(a+b)</w:t>
            </w:r>
          </w:p>
        </w:tc>
      </w:tr>
      <w:tr>
        <w:trPr>
          <w:trHeight w:val="974" w:hRule="exact"/>
        </w:trPr>
        <w:tc>
          <w:tcPr>
            <w:tcW w:w="3233" w:type="dxa"/>
          </w:tcPr>
          <w:p>
            <w:pPr>
              <w:pStyle w:val="TableParagraph"/>
              <w:spacing w:before="233"/>
              <w:ind w:left="608" w:right="608"/>
              <w:jc w:val="center"/>
              <w:rPr>
                <w:sz w:val="28"/>
              </w:rPr>
            </w:pPr>
            <w:r>
              <w:rPr>
                <w:sz w:val="28"/>
              </w:rPr>
              <w:t>Отрицательный</w:t>
            </w:r>
          </w:p>
        </w:tc>
        <w:tc>
          <w:tcPr>
            <w:tcW w:w="1901" w:type="dxa"/>
          </w:tcPr>
          <w:p>
            <w:pPr>
              <w:pStyle w:val="TableParagraph"/>
              <w:spacing w:line="315" w:lineRule="exact"/>
              <w:ind w:left="100"/>
              <w:rPr>
                <w:sz w:val="28"/>
              </w:rPr>
            </w:pPr>
            <w:r>
              <w:rPr>
                <w:w w:val="100"/>
                <w:sz w:val="28"/>
              </w:rPr>
              <w:t>c</w:t>
            </w:r>
          </w:p>
        </w:tc>
        <w:tc>
          <w:tcPr>
            <w:tcW w:w="1843" w:type="dxa"/>
          </w:tcPr>
          <w:p>
            <w:pPr>
              <w:pStyle w:val="TableParagraph"/>
              <w:spacing w:line="315" w:lineRule="exact"/>
              <w:ind w:left="100"/>
              <w:rPr>
                <w:sz w:val="28"/>
              </w:rPr>
            </w:pPr>
            <w:r>
              <w:rPr>
                <w:w w:val="100"/>
                <w:sz w:val="28"/>
              </w:rPr>
              <w:t>d</w:t>
            </w:r>
          </w:p>
        </w:tc>
        <w:tc>
          <w:tcPr>
            <w:tcW w:w="1071" w:type="dxa"/>
          </w:tcPr>
          <w:p>
            <w:pPr>
              <w:pStyle w:val="TableParagraph"/>
              <w:spacing w:line="315" w:lineRule="exact"/>
              <w:ind w:left="100"/>
              <w:rPr>
                <w:sz w:val="28"/>
              </w:rPr>
            </w:pPr>
            <w:r>
              <w:rPr>
                <w:sz w:val="28"/>
              </w:rPr>
              <w:t>c+d</w:t>
            </w:r>
          </w:p>
        </w:tc>
        <w:tc>
          <w:tcPr>
            <w:tcW w:w="1133" w:type="dxa"/>
          </w:tcPr>
          <w:p>
            <w:pPr>
              <w:pStyle w:val="TableParagraph"/>
              <w:spacing w:line="315" w:lineRule="exact"/>
              <w:ind w:left="100"/>
              <w:rPr>
                <w:sz w:val="28"/>
              </w:rPr>
            </w:pPr>
            <w:r>
              <w:rPr>
                <w:sz w:val="28"/>
              </w:rPr>
              <w:t>-PV=</w:t>
            </w:r>
          </w:p>
          <w:p>
            <w:pPr>
              <w:pStyle w:val="TableParagraph"/>
              <w:spacing w:before="160"/>
              <w:ind w:left="100"/>
              <w:rPr>
                <w:sz w:val="28"/>
              </w:rPr>
            </w:pPr>
            <w:r>
              <w:rPr>
                <w:sz w:val="28"/>
              </w:rPr>
              <w:t>c/(c+d)</w:t>
            </w:r>
          </w:p>
        </w:tc>
      </w:tr>
      <w:tr>
        <w:trPr>
          <w:trHeight w:val="977" w:hRule="exact"/>
        </w:trPr>
        <w:tc>
          <w:tcPr>
            <w:tcW w:w="3233" w:type="dxa"/>
          </w:tcPr>
          <w:p>
            <w:pPr>
              <w:pStyle w:val="TableParagraph"/>
              <w:spacing w:before="236"/>
              <w:ind w:left="608" w:right="608"/>
              <w:jc w:val="center"/>
              <w:rPr>
                <w:sz w:val="28"/>
              </w:rPr>
            </w:pPr>
            <w:r>
              <w:rPr>
                <w:sz w:val="28"/>
              </w:rPr>
              <w:t>Всего</w:t>
            </w:r>
          </w:p>
        </w:tc>
        <w:tc>
          <w:tcPr>
            <w:tcW w:w="1901" w:type="dxa"/>
          </w:tcPr>
          <w:p>
            <w:pPr>
              <w:pStyle w:val="TableParagraph"/>
              <w:spacing w:line="316" w:lineRule="exact"/>
              <w:ind w:left="100"/>
              <w:rPr>
                <w:sz w:val="28"/>
              </w:rPr>
            </w:pPr>
            <w:r>
              <w:rPr>
                <w:sz w:val="28"/>
              </w:rPr>
              <w:t>a+c</w:t>
            </w:r>
          </w:p>
        </w:tc>
        <w:tc>
          <w:tcPr>
            <w:tcW w:w="1843" w:type="dxa"/>
          </w:tcPr>
          <w:p>
            <w:pPr>
              <w:pStyle w:val="TableParagraph"/>
              <w:spacing w:line="316" w:lineRule="exact"/>
              <w:ind w:left="100"/>
              <w:rPr>
                <w:sz w:val="28"/>
              </w:rPr>
            </w:pPr>
            <w:r>
              <w:rPr>
                <w:sz w:val="28"/>
              </w:rPr>
              <w:t>b+d</w:t>
            </w:r>
          </w:p>
        </w:tc>
        <w:tc>
          <w:tcPr>
            <w:tcW w:w="1071" w:type="dxa"/>
          </w:tcPr>
          <w:p>
            <w:pPr>
              <w:pStyle w:val="TableParagraph"/>
              <w:spacing w:line="316" w:lineRule="exact"/>
              <w:ind w:left="100"/>
              <w:rPr>
                <w:sz w:val="28"/>
              </w:rPr>
            </w:pPr>
            <w:r>
              <w:rPr>
                <w:sz w:val="28"/>
              </w:rPr>
              <w:t>a+b+c</w:t>
            </w:r>
          </w:p>
          <w:p>
            <w:pPr>
              <w:pStyle w:val="TableParagraph"/>
              <w:spacing w:before="163"/>
              <w:ind w:left="100"/>
              <w:rPr>
                <w:sz w:val="28"/>
              </w:rPr>
            </w:pPr>
            <w:r>
              <w:rPr>
                <w:sz w:val="28"/>
              </w:rPr>
              <w:t>+d</w:t>
            </w:r>
          </w:p>
        </w:tc>
        <w:tc>
          <w:tcPr>
            <w:tcW w:w="1133" w:type="dxa"/>
          </w:tcPr>
          <w:p>
            <w:pPr/>
          </w:p>
        </w:tc>
      </w:tr>
      <w:tr>
        <w:trPr>
          <w:trHeight w:val="492" w:hRule="exact"/>
        </w:trPr>
        <w:tc>
          <w:tcPr>
            <w:tcW w:w="3233" w:type="dxa"/>
            <w:vMerge w:val="restart"/>
          </w:tcPr>
          <w:p>
            <w:pPr/>
          </w:p>
        </w:tc>
        <w:tc>
          <w:tcPr>
            <w:tcW w:w="1901" w:type="dxa"/>
          </w:tcPr>
          <w:p>
            <w:pPr>
              <w:pStyle w:val="TableParagraph"/>
              <w:spacing w:line="315" w:lineRule="exact"/>
              <w:ind w:left="100"/>
              <w:rPr>
                <w:sz w:val="28"/>
              </w:rPr>
            </w:pPr>
            <w:r>
              <w:rPr>
                <w:sz w:val="28"/>
              </w:rPr>
              <w:t>Se=a/(a+c)</w:t>
            </w:r>
          </w:p>
        </w:tc>
        <w:tc>
          <w:tcPr>
            <w:tcW w:w="1843" w:type="dxa"/>
          </w:tcPr>
          <w:p>
            <w:pPr>
              <w:pStyle w:val="TableParagraph"/>
              <w:spacing w:line="315" w:lineRule="exact"/>
              <w:ind w:left="100"/>
              <w:rPr>
                <w:sz w:val="28"/>
              </w:rPr>
            </w:pPr>
            <w:r>
              <w:rPr>
                <w:sz w:val="28"/>
              </w:rPr>
              <w:t>Sp=d/(b+d)</w:t>
            </w:r>
          </w:p>
        </w:tc>
        <w:tc>
          <w:tcPr>
            <w:tcW w:w="2204" w:type="dxa"/>
            <w:gridSpan w:val="2"/>
            <w:vMerge w:val="restart"/>
          </w:tcPr>
          <w:p>
            <w:pPr>
              <w:pStyle w:val="TableParagraph"/>
              <w:spacing w:line="315" w:lineRule="exact"/>
              <w:ind w:left="100"/>
              <w:rPr>
                <w:sz w:val="28"/>
              </w:rPr>
            </w:pPr>
            <w:r>
              <w:rPr>
                <w:sz w:val="28"/>
              </w:rPr>
              <w:t>P=</w:t>
            </w:r>
          </w:p>
          <w:p>
            <w:pPr>
              <w:pStyle w:val="TableParagraph"/>
              <w:spacing w:before="160"/>
              <w:ind w:left="100"/>
              <w:rPr>
                <w:sz w:val="28"/>
              </w:rPr>
            </w:pPr>
            <w:r>
              <w:rPr>
                <w:sz w:val="28"/>
              </w:rPr>
              <w:t>(a+c)/(a+b+c+d)</w:t>
            </w:r>
          </w:p>
        </w:tc>
      </w:tr>
      <w:tr>
        <w:trPr>
          <w:trHeight w:val="1860" w:hRule="exact"/>
        </w:trPr>
        <w:tc>
          <w:tcPr>
            <w:tcW w:w="3233" w:type="dxa"/>
            <w:vMerge/>
          </w:tcPr>
          <w:p>
            <w:pPr/>
          </w:p>
        </w:tc>
        <w:tc>
          <w:tcPr>
            <w:tcW w:w="1901" w:type="dxa"/>
          </w:tcPr>
          <w:p>
            <w:pPr>
              <w:pStyle w:val="TableParagraph"/>
              <w:spacing w:line="315" w:lineRule="exact"/>
              <w:ind w:left="100"/>
              <w:rPr>
                <w:sz w:val="28"/>
              </w:rPr>
            </w:pPr>
            <w:r>
              <w:rPr>
                <w:sz w:val="28"/>
              </w:rPr>
              <w:t>+LR=</w:t>
            </w:r>
          </w:p>
          <w:p>
            <w:pPr>
              <w:pStyle w:val="TableParagraph"/>
              <w:spacing w:before="5"/>
              <w:rPr>
                <w:sz w:val="31"/>
              </w:rPr>
            </w:pPr>
          </w:p>
          <w:p>
            <w:pPr>
              <w:pStyle w:val="TableParagraph"/>
              <w:ind w:left="100"/>
              <w:rPr>
                <w:sz w:val="28"/>
              </w:rPr>
            </w:pPr>
            <w:r>
              <w:rPr>
                <w:sz w:val="28"/>
              </w:rPr>
              <w:t>[a/(a+c)]/</w:t>
            </w:r>
          </w:p>
          <w:p>
            <w:pPr>
              <w:pStyle w:val="TableParagraph"/>
              <w:spacing w:before="5"/>
              <w:rPr>
                <w:sz w:val="31"/>
              </w:rPr>
            </w:pPr>
          </w:p>
          <w:p>
            <w:pPr>
              <w:pStyle w:val="TableParagraph"/>
              <w:ind w:left="100"/>
              <w:rPr>
                <w:sz w:val="28"/>
              </w:rPr>
            </w:pPr>
            <w:r>
              <w:rPr>
                <w:sz w:val="28"/>
              </w:rPr>
              <w:t>[b/(b+d)]</w:t>
            </w:r>
          </w:p>
        </w:tc>
        <w:tc>
          <w:tcPr>
            <w:tcW w:w="1843" w:type="dxa"/>
          </w:tcPr>
          <w:p>
            <w:pPr>
              <w:pStyle w:val="TableParagraph"/>
              <w:spacing w:line="315" w:lineRule="exact"/>
              <w:ind w:left="100"/>
              <w:rPr>
                <w:sz w:val="28"/>
              </w:rPr>
            </w:pPr>
            <w:r>
              <w:rPr>
                <w:sz w:val="28"/>
              </w:rPr>
              <w:t>-LR=</w:t>
            </w:r>
          </w:p>
          <w:p>
            <w:pPr>
              <w:pStyle w:val="TableParagraph"/>
              <w:spacing w:before="5"/>
              <w:rPr>
                <w:sz w:val="31"/>
              </w:rPr>
            </w:pPr>
          </w:p>
          <w:p>
            <w:pPr>
              <w:pStyle w:val="TableParagraph"/>
              <w:ind w:left="100"/>
              <w:rPr>
                <w:sz w:val="28"/>
              </w:rPr>
            </w:pPr>
            <w:r>
              <w:rPr>
                <w:sz w:val="28"/>
              </w:rPr>
              <w:t>[c/(a+c)]/</w:t>
            </w:r>
          </w:p>
          <w:p>
            <w:pPr>
              <w:pStyle w:val="TableParagraph"/>
              <w:spacing w:before="5"/>
              <w:rPr>
                <w:sz w:val="31"/>
              </w:rPr>
            </w:pPr>
          </w:p>
          <w:p>
            <w:pPr>
              <w:pStyle w:val="TableParagraph"/>
              <w:ind w:left="100"/>
              <w:rPr>
                <w:sz w:val="28"/>
              </w:rPr>
            </w:pPr>
            <w:r>
              <w:rPr>
                <w:sz w:val="28"/>
              </w:rPr>
              <w:t>[d/(b+d)]</w:t>
            </w:r>
          </w:p>
        </w:tc>
        <w:tc>
          <w:tcPr>
            <w:tcW w:w="2204" w:type="dxa"/>
            <w:gridSpan w:val="2"/>
            <w:vMerge/>
          </w:tcPr>
          <w:p>
            <w:pPr/>
          </w:p>
        </w:tc>
      </w:tr>
    </w:tbl>
    <w:p>
      <w:pPr>
        <w:spacing w:after="0"/>
        <w:sectPr>
          <w:pgSz w:w="11900" w:h="16850"/>
          <w:pgMar w:header="712" w:footer="0" w:top="1020" w:bottom="280" w:left="1480" w:right="1000"/>
        </w:sectPr>
      </w:pPr>
    </w:p>
    <w:p>
      <w:pPr>
        <w:pStyle w:val="BodyText"/>
        <w:rPr>
          <w:sz w:val="20"/>
        </w:rPr>
      </w:pPr>
    </w:p>
    <w:p>
      <w:pPr>
        <w:pStyle w:val="BodyText"/>
        <w:spacing w:line="362" w:lineRule="auto" w:before="252"/>
        <w:ind w:left="102" w:firstLine="278"/>
      </w:pPr>
      <w:r>
        <w:rPr/>
        <w:t>При указанных обозначениях в таблице, показатели эффективности диагностических методов определяются:</w:t>
      </w:r>
    </w:p>
    <w:p>
      <w:pPr>
        <w:pStyle w:val="BodyText"/>
        <w:spacing w:before="1"/>
        <w:rPr>
          <w:sz w:val="42"/>
        </w:rPr>
      </w:pPr>
    </w:p>
    <w:p>
      <w:pPr>
        <w:pStyle w:val="BodyText"/>
        <w:spacing w:line="360" w:lineRule="auto"/>
        <w:ind w:left="102" w:right="116"/>
        <w:jc w:val="both"/>
      </w:pPr>
      <w:r>
        <w:rPr/>
        <w:t>Специфичность (Sp) = количество истинно-отрицательных результатов / (количество истинно-отрицательных результатов + количество ложно- положительных результатов).</w:t>
      </w:r>
    </w:p>
    <w:p>
      <w:pPr>
        <w:pStyle w:val="BodyText"/>
        <w:spacing w:line="360" w:lineRule="auto" w:before="5"/>
        <w:ind w:left="102" w:right="119"/>
        <w:jc w:val="both"/>
      </w:pPr>
      <w:r>
        <w:rPr/>
        <w:t>Чувствительность (Se) = количество истинно-положительных результатов / (количество истинно-положительных результатов + количество ложно- отрицательных результатов).</w:t>
      </w:r>
    </w:p>
    <w:p>
      <w:pPr>
        <w:pStyle w:val="BodyText"/>
        <w:spacing w:line="360" w:lineRule="auto" w:before="5"/>
        <w:ind w:left="102" w:right="116"/>
        <w:jc w:val="both"/>
      </w:pPr>
      <w:r>
        <w:rPr/>
        <w:t>Положительный прогностический показатель (+PV) = количество истинно- положительных результатов / (количество истинно-положительных результатов + количество ложно-положительных результатов).</w:t>
      </w:r>
    </w:p>
    <w:p>
      <w:pPr>
        <w:pStyle w:val="BodyText"/>
        <w:spacing w:line="360" w:lineRule="auto" w:before="5"/>
        <w:ind w:left="102" w:right="116"/>
        <w:jc w:val="both"/>
      </w:pPr>
      <w:r>
        <w:rPr/>
        <w:t>Отрицательный прогностический показатель (-PV) = количество истинно- отрицательных результатов / (количество истинно-отрицательных результатов + количество ложно-отрицательных результатов).</w:t>
      </w:r>
    </w:p>
    <w:p>
      <w:pPr>
        <w:pStyle w:val="BodyText"/>
        <w:spacing w:line="360" w:lineRule="auto" w:before="5"/>
        <w:ind w:left="102" w:right="119"/>
        <w:jc w:val="both"/>
      </w:pPr>
      <w:r>
        <w:rPr/>
        <w:t>Прогностическая ценность диагностического теста (+/- LR) – вероятность наличия (отсутствия) заболевания при известном результате исследования. Когда распространённость заболевания стремится к 0%, прогностическая ценность положительного результата стремится к нулю. Когда распространённость заболевания стремится к 100%, прогностическая ценность отрицательного результата стремится к нулю.</w:t>
      </w:r>
    </w:p>
    <w:p>
      <w:pPr>
        <w:pStyle w:val="BodyText"/>
        <w:tabs>
          <w:tab w:pos="1841" w:val="left" w:leader="none"/>
        </w:tabs>
        <w:spacing w:line="362" w:lineRule="auto" w:before="5"/>
        <w:ind w:left="102" w:right="424" w:firstLine="347"/>
      </w:pPr>
      <w:r>
        <w:rPr/>
        <w:t>Расчеты производились на персональном компьютере, с применением стандартных</w:t>
        <w:tab/>
        <w:t>прикладных статистических</w:t>
      </w:r>
      <w:r>
        <w:rPr>
          <w:spacing w:val="-14"/>
        </w:rPr>
        <w:t> </w:t>
      </w:r>
      <w:r>
        <w:rPr/>
        <w:t>программ.</w:t>
      </w:r>
    </w:p>
    <w:p>
      <w:pPr>
        <w:spacing w:after="0" w:line="362" w:lineRule="auto"/>
        <w:sectPr>
          <w:pgSz w:w="11900" w:h="16850"/>
          <w:pgMar w:header="712" w:footer="0" w:top="1020" w:bottom="280" w:left="1600" w:right="1000"/>
        </w:sectPr>
      </w:pPr>
    </w:p>
    <w:p>
      <w:pPr>
        <w:pStyle w:val="BodyText"/>
        <w:rPr>
          <w:sz w:val="20"/>
        </w:rPr>
      </w:pPr>
    </w:p>
    <w:p>
      <w:pPr>
        <w:pStyle w:val="BodyText"/>
        <w:rPr>
          <w:sz w:val="20"/>
        </w:rPr>
      </w:pPr>
    </w:p>
    <w:p>
      <w:pPr>
        <w:pStyle w:val="Heading1"/>
        <w:spacing w:before="228"/>
        <w:ind w:left="4043"/>
      </w:pPr>
      <w:r>
        <w:rPr/>
        <w:t>ГЛАВА 3</w:t>
      </w:r>
    </w:p>
    <w:p>
      <w:pPr>
        <w:pStyle w:val="BodyText"/>
        <w:spacing w:before="2"/>
        <w:rPr>
          <w:b/>
          <w:sz w:val="31"/>
        </w:rPr>
      </w:pPr>
    </w:p>
    <w:p>
      <w:pPr>
        <w:spacing w:line="362" w:lineRule="auto" w:before="0"/>
        <w:ind w:left="3613" w:right="541" w:hanging="3059"/>
        <w:jc w:val="left"/>
        <w:rPr>
          <w:b/>
          <w:sz w:val="28"/>
        </w:rPr>
      </w:pPr>
      <w:r>
        <w:rPr>
          <w:b/>
          <w:sz w:val="28"/>
        </w:rPr>
        <w:t>ЛАПАРОСКОПИЧЕСКИЕ ОПЕРАЦИИ У БОЛЬНЫХ РАКОМ ЭНДОМЕТРИЯ</w:t>
      </w:r>
    </w:p>
    <w:p>
      <w:pPr>
        <w:pStyle w:val="BodyText"/>
        <w:spacing w:line="360" w:lineRule="auto" w:before="196"/>
        <w:ind w:left="102" w:right="101" w:firstLine="347"/>
        <w:jc w:val="both"/>
      </w:pPr>
      <w:r>
        <w:rPr/>
        <w:t>Как уже было показано в обзоре литературы, вопрос о возможности использования лапароскопического доступа в хирургическом лечении больных раком эндометрия не нуждается в дополнительных доказательствах. Данный вид операций начал широко применяться в отделениях гинекологии НИИ онкологии им. Н.Н.Петрова и СПбКНПЦСВМП(о) с 2010 года и на сегодняшний день насчитывает более 2000 подобных вмешательств. На графике представлена динамика соотношений лапаротомного и лапароскопического доступов в хирургическом лечении больных раком эндометрия за последние годы (Рис.3.1).</w:t>
      </w:r>
    </w:p>
    <w:p>
      <w:pPr>
        <w:pStyle w:val="BodyText"/>
        <w:spacing w:line="508" w:lineRule="auto" w:before="207"/>
        <w:ind w:left="1330" w:right="86" w:firstLine="6428"/>
      </w:pPr>
      <w:r>
        <w:rPr/>
        <w:t>Рисунок 3.1 Хирургические доступы при раке эндометрия по годам</w:t>
      </w:r>
    </w:p>
    <w:p>
      <w:pPr>
        <w:spacing w:before="147"/>
        <w:ind w:left="820" w:right="0" w:firstLine="0"/>
        <w:jc w:val="left"/>
        <w:rPr>
          <w:rFonts w:ascii="Cambria"/>
          <w:sz w:val="20"/>
        </w:rPr>
      </w:pPr>
      <w:r>
        <w:rPr/>
        <w:pict>
          <v:group style="position:absolute;margin-left:143.024994pt;margin-top:13.216941pt;width:336.3pt;height:211.5pt;mso-position-horizontal-relative:page;mso-position-vertical-relative:paragraph;z-index:2728" coordorigin="2860,264" coordsize="6726,4230">
            <v:shape style="position:absolute;left:2930;top:2348;width:6648;height:1383" coordorigin="2930,2348" coordsize="6648,1383" path="m2930,3730l9578,3730m2930,3039l9578,3039m2930,2348l9578,2348e" filled="false" stroked="true" strokeweight=".72pt" strokecolor="#858585">
              <v:path arrowok="t"/>
              <v:stroke dashstyle="solid"/>
            </v:shape>
            <v:shape style="position:absolute;left:3046;top:2225;width:451;height:2217" type="#_x0000_t75" stroked="false">
              <v:imagedata r:id="rId41" o:title=""/>
            </v:shape>
            <v:shape style="position:absolute;left:3996;top:1928;width:451;height:2515" type="#_x0000_t75" stroked="false">
              <v:imagedata r:id="rId42" o:title=""/>
            </v:shape>
            <v:shape style="position:absolute;left:4946;top:2045;width:451;height:2397" type="#_x0000_t75" stroked="false">
              <v:imagedata r:id="rId43" o:title=""/>
            </v:shape>
            <v:shape style="position:absolute;left:5894;top:2597;width:451;height:1845" type="#_x0000_t75" stroked="false">
              <v:imagedata r:id="rId44" o:title=""/>
            </v:shape>
            <v:shape style="position:absolute;left:6845;top:3829;width:451;height:614" type="#_x0000_t75" stroked="false">
              <v:imagedata r:id="rId45" o:title=""/>
            </v:shape>
            <v:shape style="position:absolute;left:7795;top:3857;width:451;height:585" type="#_x0000_t75" stroked="false">
              <v:imagedata r:id="rId46" o:title=""/>
            </v:shape>
            <v:shape style="position:absolute;left:8746;top:4016;width:449;height:427" type="#_x0000_t75" stroked="false">
              <v:imagedata r:id="rId47" o:title=""/>
            </v:shape>
            <v:shape style="position:absolute;left:2930;top:963;width:6648;height:694" coordorigin="2930,963" coordsize="6648,694" path="m2930,1657l9578,1657m2930,963l9578,963e" filled="false" stroked="true" strokeweight=".72pt" strokecolor="#858585">
              <v:path arrowok="t"/>
              <v:stroke dashstyle="solid"/>
            </v:shape>
            <v:shape style="position:absolute;left:4267;top:896;width:5198;height:3547" type="#_x0000_t75" stroked="false">
              <v:imagedata r:id="rId48" o:title=""/>
            </v:shape>
            <v:shape style="position:absolute;left:3136;top:2278;width:271;height:2144" type="#_x0000_t75" stroked="false">
              <v:imagedata r:id="rId49" o:title=""/>
            </v:shape>
            <v:rect style="position:absolute;left:3136;top:2278;width:271;height:2144" filled="false" stroked="true" strokeweight="2.25pt" strokecolor="#1f487c">
              <v:stroke dashstyle="solid"/>
            </v:rect>
            <v:shape style="position:absolute;left:4086;top:1981;width:271;height:2442" type="#_x0000_t75" stroked="false">
              <v:imagedata r:id="rId50" o:title=""/>
            </v:shape>
            <v:rect style="position:absolute;left:4086;top:1981;width:271;height:2442" filled="false" stroked="true" strokeweight="2.25pt" strokecolor="#1f487c">
              <v:stroke dashstyle="solid"/>
            </v:rect>
            <v:shape style="position:absolute;left:5035;top:2098;width:271;height:2324" type="#_x0000_t75" stroked="false">
              <v:imagedata r:id="rId51" o:title=""/>
            </v:shape>
            <v:rect style="position:absolute;left:5035;top:2098;width:271;height:2324" filled="false" stroked="true" strokeweight="2.25pt" strokecolor="#1f487c">
              <v:stroke dashstyle="solid"/>
            </v:rect>
            <v:shape style="position:absolute;left:5985;top:2652;width:271;height:1771" type="#_x0000_t75" stroked="false">
              <v:imagedata r:id="rId52" o:title=""/>
            </v:shape>
            <v:rect style="position:absolute;left:5985;top:2652;width:271;height:1771" filled="false" stroked="true" strokeweight="2.25pt" strokecolor="#1f487c">
              <v:stroke dashstyle="solid"/>
            </v:rect>
            <v:shape style="position:absolute;left:6935;top:3883;width:271;height:540" type="#_x0000_t75" stroked="false">
              <v:imagedata r:id="rId53" o:title=""/>
            </v:shape>
            <v:rect style="position:absolute;left:6935;top:3883;width:271;height:540" filled="false" stroked="true" strokeweight="2.25pt" strokecolor="#1f487c">
              <v:stroke dashstyle="solid"/>
            </v:rect>
            <v:shape style="position:absolute;left:7885;top:3911;width:271;height:512" type="#_x0000_t75" stroked="false">
              <v:imagedata r:id="rId54" o:title=""/>
            </v:shape>
            <v:rect style="position:absolute;left:7885;top:3911;width:271;height:512" filled="false" stroked="true" strokeweight="2.25pt" strokecolor="#1f487c">
              <v:stroke dashstyle="solid"/>
            </v:rect>
            <v:shape style="position:absolute;left:8834;top:4070;width:271;height:353" type="#_x0000_t75" stroked="false">
              <v:imagedata r:id="rId55" o:title=""/>
            </v:shape>
            <v:rect style="position:absolute;left:8834;top:4070;width:271;height:353" filled="false" stroked="true" strokeweight="2.25pt" strokecolor="#1f487c">
              <v:stroke dashstyle="solid"/>
            </v:rect>
            <v:shape style="position:absolute;left:4357;top:951;width:5021;height:3472" coordorigin="4357,951" coordsize="5021,3472" path="m4357,4167l4628,4167,4628,4422,4357,4422,4357,4167xm5307,3384l5579,3384,5579,4422,5307,4422,5307,3384xm6255,2921l6529,2921,6529,4422,6255,4422,6255,2921xm7206,1966l7477,1966,7477,4422,7206,4422,7206,1966xm8156,1116l8427,1116,8427,4422,8156,4422,8156,1116xm9107,951l9378,951,9378,4422,9107,4422,9107,951xe" filled="false" stroked="true" strokeweight="2.25pt" strokecolor="#ff6600">
              <v:path arrowok="t"/>
              <v:stroke dashstyle="solid"/>
            </v:shape>
            <v:shape style="position:absolute;left:2868;top:272;width:6711;height:4215" coordorigin="2868,272" coordsize="6711,4215" path="m2930,272l9578,272m2930,4424l2930,272m2868,4424l2930,4424m2868,3730l2930,3730m2868,3039l2930,3039m2868,2348l2930,2348m2868,1657l2930,1657m2868,963l2930,963m2868,272l2930,272m2930,4424l9578,4424m2930,4424l2930,4486m3881,4424l3881,4486m4831,4424l4831,4486m5782,4424l5782,4486m6730,4424l6730,4486m7680,4424l7680,4486m8630,4424l8630,4486m9578,4424l9578,4486e" filled="false" stroked="true" strokeweight=".72pt" strokecolor="#858585">
              <v:path arrowok="t"/>
              <v:stroke dashstyle="solid"/>
            </v:shape>
            <v:shape style="position:absolute;left:5035;top:3039;width:272;height:692" type="#_x0000_t202" filled="false" stroked="false">
              <v:textbox inset="0,0,0,0">
                <w:txbxContent>
                  <w:p>
                    <w:pPr>
                      <w:spacing w:before="23"/>
                      <w:ind w:left="0" w:right="-81" w:firstLine="0"/>
                      <w:jc w:val="right"/>
                      <w:rPr>
                        <w:rFonts w:ascii="Cambria"/>
                        <w:sz w:val="20"/>
                      </w:rPr>
                    </w:pPr>
                    <w:r>
                      <w:rPr>
                        <w:rFonts w:ascii="Cambria"/>
                        <w:w w:val="99"/>
                        <w:sz w:val="20"/>
                      </w:rPr>
                      <w:t>1</w:t>
                    </w:r>
                  </w:p>
                </w:txbxContent>
              </v:textbox>
              <w10:wrap type="none"/>
            </v:shape>
            <v:shape style="position:absolute;left:6529;top:3039;width:677;height:692" type="#_x0000_t202" filled="false" stroked="false">
              <v:textbox inset="0,0,0,0">
                <w:txbxContent>
                  <w:p>
                    <w:pPr>
                      <w:spacing w:line="240" w:lineRule="auto" w:before="0"/>
                      <w:rPr>
                        <w:rFonts w:ascii="Cambria"/>
                        <w:sz w:val="22"/>
                      </w:rPr>
                    </w:pPr>
                  </w:p>
                  <w:p>
                    <w:pPr>
                      <w:spacing w:line="240" w:lineRule="auto" w:before="4"/>
                      <w:rPr>
                        <w:rFonts w:ascii="Cambria"/>
                        <w:sz w:val="22"/>
                      </w:rPr>
                    </w:pPr>
                  </w:p>
                  <w:p>
                    <w:pPr>
                      <w:spacing w:line="170" w:lineRule="exact" w:before="1"/>
                      <w:ind w:left="431" w:right="0" w:firstLine="0"/>
                      <w:jc w:val="left"/>
                      <w:rPr>
                        <w:rFonts w:ascii="Cambria"/>
                        <w:sz w:val="20"/>
                      </w:rPr>
                    </w:pPr>
                    <w:r>
                      <w:rPr>
                        <w:rFonts w:ascii="Cambria"/>
                        <w:sz w:val="20"/>
                      </w:rPr>
                      <w:t>78</w:t>
                    </w:r>
                  </w:p>
                </w:txbxContent>
              </v:textbox>
              <w10:wrap type="none"/>
            </v:shape>
            <v:shape style="position:absolute;left:7477;top:3039;width:680;height:692" type="#_x0000_t202" filled="false" stroked="false">
              <v:textbox inset="0,0,0,0">
                <w:txbxContent>
                  <w:p>
                    <w:pPr>
                      <w:spacing w:line="240" w:lineRule="auto" w:before="0"/>
                      <w:rPr>
                        <w:rFonts w:ascii="Cambria"/>
                        <w:sz w:val="22"/>
                      </w:rPr>
                    </w:pPr>
                  </w:p>
                  <w:p>
                    <w:pPr>
                      <w:spacing w:line="240" w:lineRule="auto" w:before="9"/>
                      <w:rPr>
                        <w:rFonts w:ascii="Cambria"/>
                        <w:sz w:val="24"/>
                      </w:rPr>
                    </w:pPr>
                  </w:p>
                  <w:p>
                    <w:pPr>
                      <w:spacing w:line="142" w:lineRule="exact" w:before="0"/>
                      <w:ind w:left="433" w:right="0" w:firstLine="0"/>
                      <w:jc w:val="left"/>
                      <w:rPr>
                        <w:rFonts w:ascii="Cambria"/>
                        <w:sz w:val="20"/>
                      </w:rPr>
                    </w:pPr>
                    <w:r>
                      <w:rPr>
                        <w:rFonts w:ascii="Cambria"/>
                        <w:sz w:val="20"/>
                      </w:rPr>
                      <w:t>74</w:t>
                    </w:r>
                  </w:p>
                </w:txbxContent>
              </v:textbox>
              <w10:wrap type="none"/>
            </v:shape>
            <v:shape style="position:absolute;left:3407;top:3730;width:679;height:694" type="#_x0000_t202" filled="false" stroked="false">
              <v:textbox inset="0,0,0,0">
                <w:txbxContent>
                  <w:p>
                    <w:pPr>
                      <w:spacing w:line="240" w:lineRule="auto" w:before="6"/>
                      <w:rPr>
                        <w:rFonts w:ascii="Cambria"/>
                        <w:sz w:val="31"/>
                      </w:rPr>
                    </w:pPr>
                  </w:p>
                  <w:p>
                    <w:pPr>
                      <w:spacing w:before="0"/>
                      <w:ind w:left="79" w:right="0" w:firstLine="0"/>
                      <w:jc w:val="left"/>
                      <w:rPr>
                        <w:rFonts w:ascii="Cambria"/>
                        <w:sz w:val="20"/>
                      </w:rPr>
                    </w:pPr>
                    <w:r>
                      <w:rPr>
                        <w:rFonts w:ascii="Cambria"/>
                        <w:w w:val="99"/>
                        <w:sz w:val="20"/>
                      </w:rPr>
                      <w:t>0</w:t>
                    </w:r>
                  </w:p>
                </w:txbxContent>
              </v:textbox>
              <w10:wrap type="none"/>
            </v:shape>
            <v:shape style="position:absolute;left:8126;top:793;width:352;height:234" type="#_x0000_t202" filled="false" stroked="false">
              <v:textbox inset="0,0,0,0">
                <w:txbxContent>
                  <w:p>
                    <w:pPr>
                      <w:spacing w:line="234" w:lineRule="exact" w:before="0"/>
                      <w:ind w:left="0" w:right="0" w:firstLine="0"/>
                      <w:jc w:val="left"/>
                      <w:rPr>
                        <w:rFonts w:ascii="Cambria"/>
                        <w:sz w:val="20"/>
                      </w:rPr>
                    </w:pPr>
                    <w:r>
                      <w:rPr>
                        <w:rFonts w:ascii="Cambria"/>
                        <w:sz w:val="20"/>
                      </w:rPr>
                      <w:t>478</w:t>
                    </w:r>
                  </w:p>
                </w:txbxContent>
              </v:textbox>
              <w10:wrap type="none"/>
            </v:shape>
            <v:shape style="position:absolute;left:9076;top:627;width:352;height:234" type="#_x0000_t202" filled="false" stroked="false">
              <v:textbox inset="0,0,0,0">
                <w:txbxContent>
                  <w:p>
                    <w:pPr>
                      <w:spacing w:line="234" w:lineRule="exact" w:before="0"/>
                      <w:ind w:left="0" w:right="0" w:firstLine="0"/>
                      <w:jc w:val="left"/>
                      <w:rPr>
                        <w:rFonts w:ascii="Cambria"/>
                        <w:sz w:val="20"/>
                      </w:rPr>
                    </w:pPr>
                    <w:r>
                      <w:rPr>
                        <w:rFonts w:ascii="Cambria"/>
                        <w:sz w:val="20"/>
                      </w:rPr>
                      <w:t>502</w:t>
                    </w:r>
                  </w:p>
                </w:txbxContent>
              </v:textbox>
              <w10:wrap type="none"/>
            </v:shape>
            <v:shape style="position:absolute;left:4056;top:1658;width:352;height:234" type="#_x0000_t202" filled="false" stroked="false">
              <v:textbox inset="0,0,0,0">
                <w:txbxContent>
                  <w:p>
                    <w:pPr>
                      <w:spacing w:line="234" w:lineRule="exact" w:before="0"/>
                      <w:ind w:left="0" w:right="0" w:firstLine="0"/>
                      <w:jc w:val="left"/>
                      <w:rPr>
                        <w:rFonts w:ascii="Cambria"/>
                        <w:sz w:val="20"/>
                      </w:rPr>
                    </w:pPr>
                    <w:r>
                      <w:rPr>
                        <w:rFonts w:ascii="Cambria"/>
                        <w:sz w:val="20"/>
                      </w:rPr>
                      <w:t>353</w:t>
                    </w:r>
                  </w:p>
                </w:txbxContent>
              </v:textbox>
              <w10:wrap type="none"/>
            </v:shape>
            <v:shape style="position:absolute;left:7176;top:1645;width:352;height:234" type="#_x0000_t202" filled="false" stroked="false">
              <v:textbox inset="0,0,0,0">
                <w:txbxContent>
                  <w:p>
                    <w:pPr>
                      <w:spacing w:line="234" w:lineRule="exact" w:before="0"/>
                      <w:ind w:left="0" w:right="0" w:firstLine="0"/>
                      <w:jc w:val="left"/>
                      <w:rPr>
                        <w:rFonts w:ascii="Cambria"/>
                        <w:sz w:val="20"/>
                      </w:rPr>
                    </w:pPr>
                    <w:r>
                      <w:rPr>
                        <w:rFonts w:ascii="Cambria"/>
                        <w:sz w:val="20"/>
                      </w:rPr>
                      <w:t>355</w:t>
                    </w:r>
                  </w:p>
                </w:txbxContent>
              </v:textbox>
              <w10:wrap type="none"/>
            </v:shape>
            <v:shape style="position:absolute;left:3106;top:1956;width:352;height:234" type="#_x0000_t202" filled="false" stroked="false">
              <v:textbox inset="0,0,0,0">
                <w:txbxContent>
                  <w:p>
                    <w:pPr>
                      <w:spacing w:line="234" w:lineRule="exact" w:before="0"/>
                      <w:ind w:left="0" w:right="0" w:firstLine="0"/>
                      <w:jc w:val="left"/>
                      <w:rPr>
                        <w:rFonts w:ascii="Cambria"/>
                        <w:sz w:val="20"/>
                      </w:rPr>
                    </w:pPr>
                    <w:r>
                      <w:rPr>
                        <w:rFonts w:ascii="Cambria"/>
                        <w:sz w:val="20"/>
                      </w:rPr>
                      <w:t>310</w:t>
                    </w:r>
                  </w:p>
                </w:txbxContent>
              </v:textbox>
              <w10:wrap type="none"/>
            </v:shape>
            <v:shape style="position:absolute;left:5005;top:1776;width:352;height:234" type="#_x0000_t202" filled="false" stroked="false">
              <v:textbox inset="0,0,0,0">
                <w:txbxContent>
                  <w:p>
                    <w:pPr>
                      <w:spacing w:line="234" w:lineRule="exact" w:before="0"/>
                      <w:ind w:left="0" w:right="0" w:firstLine="0"/>
                      <w:jc w:val="left"/>
                      <w:rPr>
                        <w:rFonts w:ascii="Cambria"/>
                        <w:sz w:val="20"/>
                      </w:rPr>
                    </w:pPr>
                    <w:r>
                      <w:rPr>
                        <w:rFonts w:ascii="Cambria"/>
                        <w:sz w:val="20"/>
                      </w:rPr>
                      <w:t>336</w:t>
                    </w:r>
                  </w:p>
                </w:txbxContent>
              </v:textbox>
              <w10:wrap type="none"/>
            </v:shape>
            <v:shape style="position:absolute;left:5955;top:2329;width:623;height:504" type="#_x0000_t202" filled="false" stroked="false">
              <v:textbox inset="0,0,0,0">
                <w:txbxContent>
                  <w:p>
                    <w:pPr>
                      <w:spacing w:line="234" w:lineRule="exact" w:before="0"/>
                      <w:ind w:left="0" w:right="0" w:firstLine="0"/>
                      <w:jc w:val="left"/>
                      <w:rPr>
                        <w:rFonts w:ascii="Cambria"/>
                        <w:sz w:val="20"/>
                      </w:rPr>
                    </w:pPr>
                    <w:r>
                      <w:rPr>
                        <w:rFonts w:ascii="Cambria"/>
                        <w:sz w:val="20"/>
                      </w:rPr>
                      <w:t>256</w:t>
                    </w:r>
                  </w:p>
                  <w:p>
                    <w:pPr>
                      <w:spacing w:before="35"/>
                      <w:ind w:left="271" w:right="0" w:firstLine="0"/>
                      <w:jc w:val="left"/>
                      <w:rPr>
                        <w:rFonts w:ascii="Cambria"/>
                        <w:sz w:val="20"/>
                      </w:rPr>
                    </w:pPr>
                    <w:r>
                      <w:rPr>
                        <w:rFonts w:ascii="Cambria"/>
                        <w:sz w:val="20"/>
                      </w:rPr>
                      <w:t>217</w:t>
                    </w:r>
                  </w:p>
                </w:txbxContent>
              </v:textbox>
              <w10:wrap type="none"/>
            </v:shape>
            <v:shape style="position:absolute;left:5387;top:3063;width:241;height:234" type="#_x0000_t202" filled="false" stroked="false">
              <v:textbox inset="0,0,0,0">
                <w:txbxContent>
                  <w:p>
                    <w:pPr>
                      <w:spacing w:line="234" w:lineRule="exact" w:before="0"/>
                      <w:ind w:left="0" w:right="0" w:firstLine="0"/>
                      <w:jc w:val="left"/>
                      <w:rPr>
                        <w:rFonts w:ascii="Cambria"/>
                        <w:sz w:val="20"/>
                      </w:rPr>
                    </w:pPr>
                    <w:r>
                      <w:rPr>
                        <w:rFonts w:ascii="Cambria"/>
                        <w:sz w:val="20"/>
                      </w:rPr>
                      <w:t>50</w:t>
                    </w:r>
                  </w:p>
                </w:txbxContent>
              </v:textbox>
              <w10:wrap type="none"/>
            </v:shape>
            <v:shape style="position:absolute;left:4382;top:3844;width:241;height:234" type="#_x0000_t202" filled="false" stroked="false">
              <v:textbox inset="0,0,0,0">
                <w:txbxContent>
                  <w:p>
                    <w:pPr>
                      <w:spacing w:line="234" w:lineRule="exact" w:before="0"/>
                      <w:ind w:left="0" w:right="0" w:firstLine="0"/>
                      <w:jc w:val="left"/>
                      <w:rPr>
                        <w:rFonts w:ascii="Cambria"/>
                        <w:sz w:val="20"/>
                      </w:rPr>
                    </w:pPr>
                    <w:r>
                      <w:rPr>
                        <w:rFonts w:ascii="Cambria"/>
                        <w:sz w:val="20"/>
                      </w:rPr>
                      <w:t>37</w:t>
                    </w:r>
                  </w:p>
                </w:txbxContent>
              </v:textbox>
              <w10:wrap type="none"/>
            </v:shape>
            <v:shape style="position:absolute;left:8860;top:3748;width:241;height:234" type="#_x0000_t202" filled="false" stroked="false">
              <v:textbox inset="0,0,0,0">
                <w:txbxContent>
                  <w:p>
                    <w:pPr>
                      <w:spacing w:line="234" w:lineRule="exact" w:before="0"/>
                      <w:ind w:left="0" w:right="0" w:firstLine="0"/>
                      <w:jc w:val="left"/>
                      <w:rPr>
                        <w:rFonts w:ascii="Cambria"/>
                        <w:sz w:val="20"/>
                      </w:rPr>
                    </w:pPr>
                    <w:r>
                      <w:rPr>
                        <w:rFonts w:ascii="Cambria"/>
                        <w:sz w:val="20"/>
                      </w:rPr>
                      <w:t>51</w:t>
                    </w:r>
                  </w:p>
                </w:txbxContent>
              </v:textbox>
              <w10:wrap type="none"/>
            </v:shape>
            <w10:wrap type="none"/>
          </v:group>
        </w:pict>
      </w:r>
      <w:r>
        <w:rPr>
          <w:rFonts w:ascii="Cambria"/>
          <w:sz w:val="20"/>
        </w:rPr>
        <w:t>600</w:t>
      </w:r>
    </w:p>
    <w:p>
      <w:pPr>
        <w:pStyle w:val="BodyText"/>
        <w:rPr>
          <w:rFonts w:ascii="Cambria"/>
          <w:sz w:val="20"/>
        </w:rPr>
      </w:pPr>
    </w:p>
    <w:p>
      <w:pPr>
        <w:pStyle w:val="BodyText"/>
        <w:rPr>
          <w:rFonts w:ascii="Cambria"/>
          <w:sz w:val="19"/>
        </w:rPr>
      </w:pPr>
    </w:p>
    <w:p>
      <w:pPr>
        <w:spacing w:before="0"/>
        <w:ind w:left="820" w:right="0" w:firstLine="0"/>
        <w:jc w:val="left"/>
        <w:rPr>
          <w:rFonts w:ascii="Cambria"/>
          <w:sz w:val="20"/>
        </w:rPr>
      </w:pPr>
      <w:r>
        <w:rPr>
          <w:rFonts w:ascii="Cambria"/>
          <w:sz w:val="20"/>
        </w:rPr>
        <w:t>500</w:t>
      </w:r>
    </w:p>
    <w:p>
      <w:pPr>
        <w:pStyle w:val="BodyText"/>
        <w:rPr>
          <w:rFonts w:ascii="Cambria"/>
          <w:sz w:val="20"/>
        </w:rPr>
      </w:pPr>
    </w:p>
    <w:p>
      <w:pPr>
        <w:spacing w:after="0"/>
        <w:rPr>
          <w:rFonts w:ascii="Cambria"/>
          <w:sz w:val="20"/>
        </w:rPr>
        <w:sectPr>
          <w:pgSz w:w="11900" w:h="16850"/>
          <w:pgMar w:header="712" w:footer="0" w:top="1020" w:bottom="280" w:left="1600" w:right="1020"/>
        </w:sectPr>
      </w:pPr>
    </w:p>
    <w:p>
      <w:pPr>
        <w:pStyle w:val="BodyText"/>
        <w:spacing w:before="11"/>
        <w:rPr>
          <w:rFonts w:ascii="Cambria"/>
          <w:sz w:val="18"/>
        </w:rPr>
      </w:pPr>
    </w:p>
    <w:p>
      <w:pPr>
        <w:spacing w:before="0"/>
        <w:ind w:left="0" w:right="0" w:firstLine="0"/>
        <w:jc w:val="right"/>
        <w:rPr>
          <w:rFonts w:ascii="Cambria"/>
          <w:sz w:val="20"/>
        </w:rPr>
      </w:pPr>
      <w:r>
        <w:rPr>
          <w:rFonts w:ascii="Cambria"/>
          <w:w w:val="95"/>
          <w:sz w:val="20"/>
        </w:rPr>
        <w:t>400</w:t>
      </w:r>
    </w:p>
    <w:p>
      <w:pPr>
        <w:pStyle w:val="BodyText"/>
        <w:rPr>
          <w:rFonts w:ascii="Cambria"/>
          <w:sz w:val="22"/>
        </w:rPr>
      </w:pPr>
    </w:p>
    <w:p>
      <w:pPr>
        <w:pStyle w:val="BodyText"/>
        <w:spacing w:before="10"/>
        <w:rPr>
          <w:rFonts w:ascii="Cambria"/>
          <w:sz w:val="16"/>
        </w:rPr>
      </w:pPr>
    </w:p>
    <w:p>
      <w:pPr>
        <w:spacing w:before="1"/>
        <w:ind w:left="0" w:right="0" w:firstLine="0"/>
        <w:jc w:val="right"/>
        <w:rPr>
          <w:rFonts w:ascii="Cambria"/>
          <w:sz w:val="20"/>
        </w:rPr>
      </w:pPr>
      <w:r>
        <w:rPr>
          <w:rFonts w:ascii="Cambria"/>
          <w:w w:val="95"/>
          <w:sz w:val="20"/>
        </w:rPr>
        <w:t>300</w:t>
      </w:r>
    </w:p>
    <w:p>
      <w:pPr>
        <w:pStyle w:val="BodyText"/>
        <w:rPr>
          <w:rFonts w:ascii="Cambria"/>
          <w:sz w:val="22"/>
        </w:rPr>
      </w:pPr>
    </w:p>
    <w:p>
      <w:pPr>
        <w:pStyle w:val="BodyText"/>
        <w:rPr>
          <w:rFonts w:ascii="Cambria"/>
          <w:sz w:val="17"/>
        </w:rPr>
      </w:pPr>
    </w:p>
    <w:p>
      <w:pPr>
        <w:spacing w:before="0"/>
        <w:ind w:left="0" w:right="0" w:firstLine="0"/>
        <w:jc w:val="right"/>
        <w:rPr>
          <w:rFonts w:ascii="Cambria"/>
          <w:sz w:val="20"/>
        </w:rPr>
      </w:pPr>
      <w:r>
        <w:rPr>
          <w:rFonts w:ascii="Cambria"/>
          <w:w w:val="95"/>
          <w:sz w:val="20"/>
        </w:rPr>
        <w:t>200</w:t>
      </w:r>
    </w:p>
    <w:p>
      <w:pPr>
        <w:pStyle w:val="BodyText"/>
        <w:rPr>
          <w:rFonts w:ascii="Cambria"/>
          <w:sz w:val="22"/>
        </w:rPr>
      </w:pPr>
    </w:p>
    <w:p>
      <w:pPr>
        <w:pStyle w:val="BodyText"/>
        <w:spacing w:before="11"/>
        <w:rPr>
          <w:rFonts w:ascii="Cambria"/>
          <w:sz w:val="16"/>
        </w:rPr>
      </w:pPr>
    </w:p>
    <w:p>
      <w:pPr>
        <w:spacing w:before="0"/>
        <w:ind w:left="0" w:right="0" w:firstLine="0"/>
        <w:jc w:val="right"/>
        <w:rPr>
          <w:rFonts w:ascii="Cambria"/>
          <w:sz w:val="20"/>
        </w:rPr>
      </w:pPr>
      <w:r>
        <w:rPr>
          <w:rFonts w:ascii="Cambria"/>
          <w:w w:val="95"/>
          <w:sz w:val="20"/>
        </w:rPr>
        <w:t>100</w:t>
      </w:r>
    </w:p>
    <w:p>
      <w:pPr>
        <w:pStyle w:val="BodyText"/>
        <w:rPr>
          <w:rFonts w:ascii="Cambria"/>
          <w:sz w:val="22"/>
        </w:rPr>
      </w:pPr>
    </w:p>
    <w:p>
      <w:pPr>
        <w:pStyle w:val="BodyText"/>
        <w:rPr>
          <w:rFonts w:ascii="Cambria"/>
          <w:sz w:val="17"/>
        </w:rPr>
      </w:pPr>
    </w:p>
    <w:p>
      <w:pPr>
        <w:spacing w:before="0"/>
        <w:ind w:left="0" w:right="0" w:firstLine="0"/>
        <w:jc w:val="right"/>
        <w:rPr>
          <w:rFonts w:ascii="Cambria"/>
          <w:sz w:val="20"/>
        </w:rPr>
      </w:pPr>
      <w:r>
        <w:rPr>
          <w:rFonts w:ascii="Cambria"/>
          <w:w w:val="99"/>
          <w:sz w:val="20"/>
        </w:rPr>
        <w:t>0</w:t>
      </w:r>
    </w:p>
    <w:p>
      <w:pPr>
        <w:pStyle w:val="BodyText"/>
        <w:rPr>
          <w:rFonts w:ascii="Cambria"/>
          <w:sz w:val="22"/>
        </w:rPr>
      </w:pPr>
      <w:r>
        <w:rPr/>
        <w:br w:type="column"/>
      </w:r>
      <w:r>
        <w:rPr>
          <w:rFonts w:ascii="Cambria"/>
          <w:sz w:val="22"/>
        </w:rPr>
      </w: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tabs>
          <w:tab w:pos="1343" w:val="left" w:leader="none"/>
          <w:tab w:pos="2293" w:val="left" w:leader="none"/>
          <w:tab w:pos="3243" w:val="left" w:leader="none"/>
          <w:tab w:pos="4193" w:val="left" w:leader="none"/>
          <w:tab w:pos="5142" w:val="left" w:leader="none"/>
          <w:tab w:pos="6092" w:val="left" w:leader="none"/>
        </w:tabs>
        <w:spacing w:line="186" w:lineRule="exact" w:before="147"/>
        <w:ind w:left="393" w:right="0" w:firstLine="0"/>
        <w:jc w:val="left"/>
        <w:rPr>
          <w:rFonts w:ascii="Cambria"/>
          <w:sz w:val="20"/>
        </w:rPr>
      </w:pPr>
      <w:r>
        <w:rPr>
          <w:rFonts w:ascii="Cambria"/>
          <w:sz w:val="20"/>
        </w:rPr>
        <w:t>2009</w:t>
        <w:tab/>
        <w:t>2010</w:t>
        <w:tab/>
        <w:t>2011</w:t>
        <w:tab/>
        <w:t>2012</w:t>
        <w:tab/>
        <w:t>2013</w:t>
        <w:tab/>
        <w:t>2014</w:t>
        <w:tab/>
        <w:t>2015</w:t>
      </w:r>
    </w:p>
    <w:p>
      <w:pPr>
        <w:tabs>
          <w:tab w:pos="3951" w:val="left" w:leader="none"/>
        </w:tabs>
        <w:spacing w:line="186" w:lineRule="exact" w:before="0"/>
        <w:ind w:left="2298" w:right="0" w:firstLine="0"/>
        <w:jc w:val="left"/>
        <w:rPr>
          <w:rFonts w:ascii="Cambria" w:hAnsi="Cambria"/>
          <w:sz w:val="20"/>
        </w:rPr>
      </w:pPr>
      <w:r>
        <w:rPr/>
        <w:pict>
          <v:group style="position:absolute;margin-left:245.815002pt;margin-top:.011137pt;width:7.55pt;height:7.55pt;mso-position-horizontal-relative:page;mso-position-vertical-relative:paragraph;z-index:2752" coordorigin="4916,0" coordsize="151,151">
            <v:shape style="position:absolute;left:4939;top:23;width:105;height:105" type="#_x0000_t75" stroked="false">
              <v:imagedata r:id="rId56" o:title=""/>
            </v:shape>
            <v:rect style="position:absolute;left:4939;top:23;width:105;height:105" filled="false" stroked="true" strokeweight="2.25pt" strokecolor="#1f487c">
              <v:stroke dashstyle="solid"/>
            </v:rect>
            <w10:wrap type="none"/>
          </v:group>
        </w:pict>
      </w:r>
      <w:r>
        <w:rPr/>
        <w:pict>
          <v:rect style="position:absolute;margin-left:329.519989pt;margin-top:1.180138pt;width:5.28pt;height:5.28pt;mso-position-horizontal-relative:page;mso-position-vertical-relative:paragraph;z-index:-339424" filled="false" stroked="true" strokeweight="2.16pt" strokecolor="#ff6600">
            <v:stroke dashstyle="solid"/>
            <w10:wrap type="none"/>
          </v:rect>
        </w:pict>
      </w:r>
      <w:r>
        <w:rPr>
          <w:rFonts w:ascii="Cambria" w:hAnsi="Cambria"/>
          <w:sz w:val="20"/>
        </w:rPr>
        <w:t>лапаротомия</w:t>
        <w:tab/>
        <w:t>лапароскопия</w:t>
      </w:r>
    </w:p>
    <w:p>
      <w:pPr>
        <w:spacing w:after="0" w:line="186" w:lineRule="exact"/>
        <w:jc w:val="left"/>
        <w:rPr>
          <w:rFonts w:ascii="Cambria" w:hAnsi="Cambria"/>
          <w:sz w:val="20"/>
        </w:rPr>
        <w:sectPr>
          <w:type w:val="continuous"/>
          <w:pgSz w:w="11900" w:h="16850"/>
          <w:pgMar w:top="1020" w:bottom="280" w:left="1600" w:right="1020"/>
          <w:cols w:num="2" w:equalWidth="0">
            <w:col w:w="1152" w:space="40"/>
            <w:col w:w="8088"/>
          </w:cols>
        </w:sectPr>
      </w:pPr>
    </w:p>
    <w:p>
      <w:pPr>
        <w:pStyle w:val="BodyText"/>
        <w:rPr>
          <w:rFonts w:ascii="Cambria"/>
          <w:sz w:val="20"/>
        </w:rPr>
      </w:pPr>
    </w:p>
    <w:p>
      <w:pPr>
        <w:pStyle w:val="BodyText"/>
        <w:rPr>
          <w:rFonts w:ascii="Cambria"/>
          <w:sz w:val="20"/>
        </w:rPr>
      </w:pPr>
    </w:p>
    <w:p>
      <w:pPr>
        <w:pStyle w:val="BodyText"/>
        <w:spacing w:line="360" w:lineRule="auto" w:before="215"/>
        <w:ind w:left="102" w:right="100" w:firstLine="698"/>
        <w:jc w:val="both"/>
      </w:pPr>
      <w:r>
        <w:rPr/>
        <w:t>В 2016 году лапароскопическим доступом выполнено около 85% операций больным раком тела матки. В каждом третьем случае лапароскопическая пангистерэктомия была дополнена тазовой лимфодиссекцией.</w:t>
      </w:r>
    </w:p>
    <w:p>
      <w:pPr>
        <w:pStyle w:val="BodyText"/>
        <w:spacing w:line="360" w:lineRule="auto" w:before="207"/>
        <w:ind w:left="102" w:right="100" w:firstLine="556"/>
        <w:jc w:val="both"/>
      </w:pPr>
      <w:r>
        <w:rPr/>
        <w:t>В связи с необходимостью оценки отдаленных результатов лечения  мы отобрали для настоящего исследования группу из 756 больных раком эндометрия, прооперированных в период с 2010 по 2013 годы с не менее чем трехлетним сроком прослеживания. В группу сравнения вошли ретроспективные данные о 1289 больных, прооперированных открытым доступом в период с 1990 по 2010 год в НИИ онкологии им. Н.Н.Петрова. Многофакторный анализ этих двух репрезентативных групп больных, особенностей выполненных операций, ближайших и отдаленных результатов лечения, на наш взгляд, позволит объективно оценить преимущества и возможные ограничения и недостатки использования лапароскопии в лечении больных раком</w:t>
      </w:r>
      <w:r>
        <w:rPr>
          <w:spacing w:val="-21"/>
        </w:rPr>
        <w:t> </w:t>
      </w:r>
      <w:r>
        <w:rPr/>
        <w:t>эндометрия.</w:t>
      </w:r>
    </w:p>
    <w:p>
      <w:pPr>
        <w:pStyle w:val="BodyText"/>
        <w:rPr>
          <w:sz w:val="30"/>
        </w:rPr>
      </w:pPr>
    </w:p>
    <w:p>
      <w:pPr>
        <w:pStyle w:val="BodyText"/>
        <w:rPr>
          <w:sz w:val="30"/>
        </w:rPr>
      </w:pPr>
    </w:p>
    <w:p>
      <w:pPr>
        <w:pStyle w:val="Heading1"/>
        <w:numPr>
          <w:ilvl w:val="1"/>
          <w:numId w:val="20"/>
        </w:numPr>
        <w:tabs>
          <w:tab w:pos="1185" w:val="left" w:leader="none"/>
        </w:tabs>
        <w:spacing w:line="240" w:lineRule="auto" w:before="203" w:after="0"/>
        <w:ind w:left="2843" w:right="0" w:hanging="2151"/>
        <w:jc w:val="left"/>
      </w:pPr>
      <w:r>
        <w:rPr/>
        <w:t>Клиническая характеристика больных раком</w:t>
      </w:r>
      <w:r>
        <w:rPr>
          <w:spacing w:val="-19"/>
        </w:rPr>
        <w:t> </w:t>
      </w:r>
      <w:r>
        <w:rPr/>
        <w:t>эндометрия</w:t>
      </w:r>
    </w:p>
    <w:p>
      <w:pPr>
        <w:pStyle w:val="BodyText"/>
        <w:rPr>
          <w:b/>
          <w:sz w:val="30"/>
        </w:rPr>
      </w:pPr>
    </w:p>
    <w:p>
      <w:pPr>
        <w:pStyle w:val="BodyText"/>
        <w:rPr>
          <w:b/>
          <w:sz w:val="30"/>
        </w:rPr>
      </w:pPr>
    </w:p>
    <w:p>
      <w:pPr>
        <w:pStyle w:val="BodyText"/>
        <w:spacing w:before="6"/>
        <w:rPr>
          <w:b/>
          <w:sz w:val="30"/>
        </w:rPr>
      </w:pPr>
    </w:p>
    <w:p>
      <w:pPr>
        <w:pStyle w:val="BodyText"/>
        <w:spacing w:line="360" w:lineRule="auto"/>
        <w:ind w:left="102" w:right="106" w:firstLine="719"/>
        <w:jc w:val="both"/>
      </w:pPr>
      <w:r>
        <w:rPr/>
        <w:t>При сопоставлении исследуемой и контрольной групп больных по возрасту статистически значимых различий не выявлено. Cредний возраст больных раком эндометрия, подвергшихся лапаротомии составил 59,7±1,4 лет, в группе лапароскопических операций – 62,2±1,3 лет (Табл. 3.1).</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508" w:lineRule="auto" w:before="224"/>
        <w:ind w:left="1822" w:right="204" w:firstLine="6052"/>
      </w:pPr>
      <w:r>
        <w:rPr/>
        <w:t>Таблица 3.1 Распределение больных раком эндометрия по возрасту</w:t>
      </w:r>
    </w:p>
    <w:p>
      <w:pPr>
        <w:pStyle w:val="BodyText"/>
        <w:rPr>
          <w:sz w:val="20"/>
        </w:rPr>
      </w:pPr>
    </w:p>
    <w:p>
      <w:pPr>
        <w:pStyle w:val="BodyText"/>
        <w:rPr>
          <w:sz w:val="20"/>
        </w:rPr>
      </w:pPr>
    </w:p>
    <w:p>
      <w:pPr>
        <w:pStyle w:val="BodyText"/>
        <w:spacing w:before="2"/>
        <w:rPr>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2"/>
        <w:gridCol w:w="3622"/>
        <w:gridCol w:w="3236"/>
      </w:tblGrid>
      <w:tr>
        <w:trPr>
          <w:trHeight w:val="2060" w:hRule="exact"/>
        </w:trPr>
        <w:tc>
          <w:tcPr>
            <w:tcW w:w="2432" w:type="dxa"/>
          </w:tcPr>
          <w:p>
            <w:pPr>
              <w:pStyle w:val="TableParagraph"/>
              <w:rPr>
                <w:sz w:val="30"/>
              </w:rPr>
            </w:pPr>
          </w:p>
          <w:p>
            <w:pPr>
              <w:pStyle w:val="TableParagraph"/>
              <w:spacing w:before="7"/>
              <w:rPr>
                <w:sz w:val="37"/>
              </w:rPr>
            </w:pPr>
          </w:p>
          <w:p>
            <w:pPr>
              <w:pStyle w:val="TableParagraph"/>
              <w:spacing w:line="360" w:lineRule="auto"/>
              <w:ind w:left="767" w:right="491" w:hanging="267"/>
              <w:rPr>
                <w:sz w:val="28"/>
              </w:rPr>
            </w:pPr>
            <w:r>
              <w:rPr>
                <w:sz w:val="28"/>
              </w:rPr>
              <w:t>Возрастные группы</w:t>
            </w:r>
          </w:p>
        </w:tc>
        <w:tc>
          <w:tcPr>
            <w:tcW w:w="3622" w:type="dxa"/>
          </w:tcPr>
          <w:p>
            <w:pPr>
              <w:pStyle w:val="TableParagraph"/>
              <w:rPr>
                <w:sz w:val="30"/>
              </w:rPr>
            </w:pPr>
          </w:p>
          <w:p>
            <w:pPr>
              <w:pStyle w:val="TableParagraph"/>
              <w:spacing w:before="10"/>
              <w:rPr>
                <w:sz w:val="28"/>
              </w:rPr>
            </w:pPr>
          </w:p>
          <w:p>
            <w:pPr>
              <w:pStyle w:val="TableParagraph"/>
              <w:spacing w:line="511" w:lineRule="auto"/>
              <w:ind w:left="1557" w:right="996" w:hanging="548"/>
              <w:rPr>
                <w:sz w:val="28"/>
              </w:rPr>
            </w:pPr>
            <w:r>
              <w:rPr>
                <w:sz w:val="28"/>
              </w:rPr>
              <w:t>Лапаротомия n(%)</w:t>
            </w:r>
          </w:p>
        </w:tc>
        <w:tc>
          <w:tcPr>
            <w:tcW w:w="3236" w:type="dxa"/>
          </w:tcPr>
          <w:p>
            <w:pPr>
              <w:pStyle w:val="TableParagraph"/>
              <w:rPr>
                <w:sz w:val="30"/>
              </w:rPr>
            </w:pPr>
          </w:p>
          <w:p>
            <w:pPr>
              <w:pStyle w:val="TableParagraph"/>
              <w:spacing w:before="10"/>
              <w:rPr>
                <w:sz w:val="28"/>
              </w:rPr>
            </w:pPr>
          </w:p>
          <w:p>
            <w:pPr>
              <w:pStyle w:val="TableParagraph"/>
              <w:spacing w:line="511" w:lineRule="auto"/>
              <w:ind w:left="1330" w:right="749" w:hanging="570"/>
              <w:rPr>
                <w:sz w:val="28"/>
              </w:rPr>
            </w:pPr>
            <w:r>
              <w:rPr>
                <w:sz w:val="28"/>
              </w:rPr>
              <w:t>Лапароскопия n(%)</w:t>
            </w:r>
          </w:p>
        </w:tc>
      </w:tr>
      <w:tr>
        <w:trPr>
          <w:trHeight w:val="838" w:hRule="exact"/>
        </w:trPr>
        <w:tc>
          <w:tcPr>
            <w:tcW w:w="2432" w:type="dxa"/>
          </w:tcPr>
          <w:p>
            <w:pPr>
              <w:pStyle w:val="TableParagraph"/>
              <w:spacing w:before="67"/>
              <w:ind w:left="329" w:right="330"/>
              <w:jc w:val="center"/>
              <w:rPr>
                <w:sz w:val="28"/>
              </w:rPr>
            </w:pPr>
            <w:r>
              <w:rPr>
                <w:sz w:val="28"/>
              </w:rPr>
              <w:t>До 30 лет</w:t>
            </w:r>
          </w:p>
        </w:tc>
        <w:tc>
          <w:tcPr>
            <w:tcW w:w="3622" w:type="dxa"/>
          </w:tcPr>
          <w:p>
            <w:pPr>
              <w:pStyle w:val="TableParagraph"/>
              <w:spacing w:before="67"/>
              <w:ind w:left="1014" w:right="1017"/>
              <w:jc w:val="center"/>
              <w:rPr>
                <w:sz w:val="28"/>
              </w:rPr>
            </w:pPr>
            <w:r>
              <w:rPr>
                <w:sz w:val="28"/>
              </w:rPr>
              <w:t>12 (0,93)</w:t>
            </w:r>
          </w:p>
        </w:tc>
        <w:tc>
          <w:tcPr>
            <w:tcW w:w="3236" w:type="dxa"/>
          </w:tcPr>
          <w:p>
            <w:pPr>
              <w:pStyle w:val="TableParagraph"/>
              <w:spacing w:before="67"/>
              <w:ind w:left="890" w:right="894"/>
              <w:jc w:val="center"/>
              <w:rPr>
                <w:sz w:val="28"/>
              </w:rPr>
            </w:pPr>
            <w:r>
              <w:rPr>
                <w:sz w:val="28"/>
              </w:rPr>
              <w:t>8 (1,1)</w:t>
            </w:r>
          </w:p>
        </w:tc>
      </w:tr>
      <w:tr>
        <w:trPr>
          <w:trHeight w:val="840" w:hRule="exact"/>
        </w:trPr>
        <w:tc>
          <w:tcPr>
            <w:tcW w:w="2432" w:type="dxa"/>
          </w:tcPr>
          <w:p>
            <w:pPr>
              <w:pStyle w:val="TableParagraph"/>
              <w:spacing w:before="67"/>
              <w:ind w:left="329" w:right="329"/>
              <w:jc w:val="center"/>
              <w:rPr>
                <w:sz w:val="28"/>
              </w:rPr>
            </w:pPr>
            <w:r>
              <w:rPr>
                <w:sz w:val="28"/>
              </w:rPr>
              <w:t>30-39 лет</w:t>
            </w:r>
          </w:p>
        </w:tc>
        <w:tc>
          <w:tcPr>
            <w:tcW w:w="3622" w:type="dxa"/>
          </w:tcPr>
          <w:p>
            <w:pPr>
              <w:pStyle w:val="TableParagraph"/>
              <w:spacing w:before="67"/>
              <w:ind w:left="1014" w:right="1017"/>
              <w:jc w:val="center"/>
              <w:rPr>
                <w:sz w:val="28"/>
              </w:rPr>
            </w:pPr>
            <w:r>
              <w:rPr>
                <w:sz w:val="28"/>
              </w:rPr>
              <w:t>36 (2,79)</w:t>
            </w:r>
          </w:p>
        </w:tc>
        <w:tc>
          <w:tcPr>
            <w:tcW w:w="3236" w:type="dxa"/>
          </w:tcPr>
          <w:p>
            <w:pPr>
              <w:pStyle w:val="TableParagraph"/>
              <w:spacing w:before="67"/>
              <w:ind w:left="890" w:right="894"/>
              <w:jc w:val="center"/>
              <w:rPr>
                <w:sz w:val="28"/>
              </w:rPr>
            </w:pPr>
            <w:r>
              <w:rPr>
                <w:sz w:val="28"/>
              </w:rPr>
              <w:t>32 (4,2)</w:t>
            </w:r>
          </w:p>
        </w:tc>
      </w:tr>
      <w:tr>
        <w:trPr>
          <w:trHeight w:val="838" w:hRule="exact"/>
        </w:trPr>
        <w:tc>
          <w:tcPr>
            <w:tcW w:w="2432" w:type="dxa"/>
          </w:tcPr>
          <w:p>
            <w:pPr>
              <w:pStyle w:val="TableParagraph"/>
              <w:spacing w:before="65"/>
              <w:ind w:left="329" w:right="329"/>
              <w:jc w:val="center"/>
              <w:rPr>
                <w:sz w:val="28"/>
              </w:rPr>
            </w:pPr>
            <w:r>
              <w:rPr>
                <w:sz w:val="28"/>
              </w:rPr>
              <w:t>40-49 лет</w:t>
            </w:r>
          </w:p>
        </w:tc>
        <w:tc>
          <w:tcPr>
            <w:tcW w:w="3622" w:type="dxa"/>
          </w:tcPr>
          <w:p>
            <w:pPr>
              <w:pStyle w:val="TableParagraph"/>
              <w:spacing w:before="65"/>
              <w:ind w:left="1014" w:right="1017"/>
              <w:jc w:val="center"/>
              <w:rPr>
                <w:sz w:val="28"/>
              </w:rPr>
            </w:pPr>
            <w:r>
              <w:rPr>
                <w:sz w:val="28"/>
              </w:rPr>
              <w:t>200 (15,52)</w:t>
            </w:r>
          </w:p>
        </w:tc>
        <w:tc>
          <w:tcPr>
            <w:tcW w:w="3236" w:type="dxa"/>
          </w:tcPr>
          <w:p>
            <w:pPr>
              <w:pStyle w:val="TableParagraph"/>
              <w:spacing w:before="65"/>
              <w:ind w:left="890" w:right="892"/>
              <w:jc w:val="center"/>
              <w:rPr>
                <w:sz w:val="28"/>
              </w:rPr>
            </w:pPr>
            <w:r>
              <w:rPr>
                <w:sz w:val="28"/>
              </w:rPr>
              <w:t>91 (12,0)</w:t>
            </w:r>
          </w:p>
        </w:tc>
      </w:tr>
      <w:tr>
        <w:trPr>
          <w:trHeight w:val="838" w:hRule="exact"/>
        </w:trPr>
        <w:tc>
          <w:tcPr>
            <w:tcW w:w="2432" w:type="dxa"/>
          </w:tcPr>
          <w:p>
            <w:pPr>
              <w:pStyle w:val="TableParagraph"/>
              <w:spacing w:before="65"/>
              <w:ind w:left="329" w:right="329"/>
              <w:jc w:val="center"/>
              <w:rPr>
                <w:sz w:val="28"/>
              </w:rPr>
            </w:pPr>
            <w:r>
              <w:rPr>
                <w:sz w:val="28"/>
              </w:rPr>
              <w:t>50-59 лет</w:t>
            </w:r>
          </w:p>
        </w:tc>
        <w:tc>
          <w:tcPr>
            <w:tcW w:w="3622" w:type="dxa"/>
          </w:tcPr>
          <w:p>
            <w:pPr>
              <w:pStyle w:val="TableParagraph"/>
              <w:spacing w:before="65"/>
              <w:ind w:left="1014" w:right="1017"/>
              <w:jc w:val="center"/>
              <w:rPr>
                <w:sz w:val="28"/>
              </w:rPr>
            </w:pPr>
            <w:r>
              <w:rPr>
                <w:sz w:val="28"/>
              </w:rPr>
              <w:t>566 (43,91)</w:t>
            </w:r>
          </w:p>
        </w:tc>
        <w:tc>
          <w:tcPr>
            <w:tcW w:w="3236" w:type="dxa"/>
          </w:tcPr>
          <w:p>
            <w:pPr>
              <w:pStyle w:val="TableParagraph"/>
              <w:spacing w:before="65"/>
              <w:ind w:right="996"/>
              <w:jc w:val="right"/>
              <w:rPr>
                <w:sz w:val="28"/>
              </w:rPr>
            </w:pPr>
            <w:r>
              <w:rPr>
                <w:sz w:val="28"/>
              </w:rPr>
              <w:t>310 (41,0)</w:t>
            </w:r>
          </w:p>
        </w:tc>
      </w:tr>
      <w:tr>
        <w:trPr>
          <w:trHeight w:val="838" w:hRule="exact"/>
        </w:trPr>
        <w:tc>
          <w:tcPr>
            <w:tcW w:w="2432" w:type="dxa"/>
          </w:tcPr>
          <w:p>
            <w:pPr>
              <w:pStyle w:val="TableParagraph"/>
              <w:spacing w:before="65"/>
              <w:ind w:left="329" w:right="329"/>
              <w:jc w:val="center"/>
              <w:rPr>
                <w:sz w:val="28"/>
              </w:rPr>
            </w:pPr>
            <w:r>
              <w:rPr>
                <w:sz w:val="28"/>
              </w:rPr>
              <w:t>60-69 лет</w:t>
            </w:r>
          </w:p>
        </w:tc>
        <w:tc>
          <w:tcPr>
            <w:tcW w:w="3622" w:type="dxa"/>
          </w:tcPr>
          <w:p>
            <w:pPr>
              <w:pStyle w:val="TableParagraph"/>
              <w:spacing w:before="65"/>
              <w:ind w:left="1014" w:right="1017"/>
              <w:jc w:val="center"/>
              <w:rPr>
                <w:sz w:val="28"/>
              </w:rPr>
            </w:pPr>
            <w:r>
              <w:rPr>
                <w:sz w:val="28"/>
              </w:rPr>
              <w:t>396 (30,72)</w:t>
            </w:r>
          </w:p>
        </w:tc>
        <w:tc>
          <w:tcPr>
            <w:tcW w:w="3236" w:type="dxa"/>
          </w:tcPr>
          <w:p>
            <w:pPr>
              <w:pStyle w:val="TableParagraph"/>
              <w:spacing w:before="65"/>
              <w:ind w:right="1031"/>
              <w:jc w:val="right"/>
              <w:rPr>
                <w:sz w:val="28"/>
              </w:rPr>
            </w:pPr>
            <w:r>
              <w:rPr>
                <w:sz w:val="28"/>
              </w:rPr>
              <w:t>279 (36,9)</w:t>
            </w:r>
          </w:p>
        </w:tc>
      </w:tr>
      <w:tr>
        <w:trPr>
          <w:trHeight w:val="838" w:hRule="exact"/>
        </w:trPr>
        <w:tc>
          <w:tcPr>
            <w:tcW w:w="2432" w:type="dxa"/>
          </w:tcPr>
          <w:p>
            <w:pPr>
              <w:pStyle w:val="TableParagraph"/>
              <w:spacing w:before="65"/>
              <w:ind w:left="329" w:right="332"/>
              <w:jc w:val="center"/>
              <w:rPr>
                <w:sz w:val="28"/>
              </w:rPr>
            </w:pPr>
            <w:r>
              <w:rPr>
                <w:sz w:val="28"/>
              </w:rPr>
              <w:t>Старше 70 лет</w:t>
            </w:r>
          </w:p>
        </w:tc>
        <w:tc>
          <w:tcPr>
            <w:tcW w:w="3622" w:type="dxa"/>
          </w:tcPr>
          <w:p>
            <w:pPr>
              <w:pStyle w:val="TableParagraph"/>
              <w:spacing w:before="65"/>
              <w:ind w:left="1014" w:right="1017"/>
              <w:jc w:val="center"/>
              <w:rPr>
                <w:sz w:val="28"/>
              </w:rPr>
            </w:pPr>
            <w:r>
              <w:rPr>
                <w:sz w:val="28"/>
              </w:rPr>
              <w:t>79 (6,13)</w:t>
            </w:r>
          </w:p>
        </w:tc>
        <w:tc>
          <w:tcPr>
            <w:tcW w:w="3236" w:type="dxa"/>
          </w:tcPr>
          <w:p>
            <w:pPr>
              <w:pStyle w:val="TableParagraph"/>
              <w:spacing w:before="65"/>
              <w:ind w:left="890" w:right="894"/>
              <w:jc w:val="center"/>
              <w:rPr>
                <w:sz w:val="28"/>
              </w:rPr>
            </w:pPr>
            <w:r>
              <w:rPr>
                <w:sz w:val="28"/>
              </w:rPr>
              <w:t>36 (4,8)</w:t>
            </w:r>
          </w:p>
        </w:tc>
      </w:tr>
      <w:tr>
        <w:trPr>
          <w:trHeight w:val="841" w:hRule="exact"/>
        </w:trPr>
        <w:tc>
          <w:tcPr>
            <w:tcW w:w="2432" w:type="dxa"/>
          </w:tcPr>
          <w:p>
            <w:pPr>
              <w:pStyle w:val="TableParagraph"/>
              <w:spacing w:before="67"/>
              <w:ind w:left="329" w:right="329"/>
              <w:jc w:val="center"/>
              <w:rPr>
                <w:sz w:val="28"/>
              </w:rPr>
            </w:pPr>
            <w:r>
              <w:rPr>
                <w:sz w:val="28"/>
              </w:rPr>
              <w:t>Всего</w:t>
            </w:r>
          </w:p>
        </w:tc>
        <w:tc>
          <w:tcPr>
            <w:tcW w:w="3622" w:type="dxa"/>
          </w:tcPr>
          <w:p>
            <w:pPr>
              <w:pStyle w:val="TableParagraph"/>
              <w:spacing w:before="67"/>
              <w:ind w:left="1014" w:right="1016"/>
              <w:jc w:val="center"/>
              <w:rPr>
                <w:sz w:val="28"/>
              </w:rPr>
            </w:pPr>
            <w:r>
              <w:rPr>
                <w:sz w:val="28"/>
              </w:rPr>
              <w:t>1289</w:t>
            </w:r>
          </w:p>
        </w:tc>
        <w:tc>
          <w:tcPr>
            <w:tcW w:w="3236" w:type="dxa"/>
          </w:tcPr>
          <w:p>
            <w:pPr>
              <w:pStyle w:val="TableParagraph"/>
              <w:spacing w:before="67"/>
              <w:ind w:left="890" w:right="893"/>
              <w:jc w:val="center"/>
              <w:rPr>
                <w:sz w:val="28"/>
              </w:rPr>
            </w:pPr>
            <w:r>
              <w:rPr>
                <w:sz w:val="28"/>
              </w:rPr>
              <w:t>756</w:t>
            </w:r>
          </w:p>
        </w:tc>
      </w:tr>
    </w:tbl>
    <w:p>
      <w:pPr>
        <w:pStyle w:val="BodyText"/>
        <w:rPr>
          <w:sz w:val="20"/>
        </w:rPr>
      </w:pPr>
    </w:p>
    <w:p>
      <w:pPr>
        <w:pStyle w:val="BodyText"/>
        <w:rPr>
          <w:sz w:val="20"/>
        </w:rPr>
      </w:pPr>
    </w:p>
    <w:p>
      <w:pPr>
        <w:pStyle w:val="BodyText"/>
        <w:spacing w:line="360" w:lineRule="auto" w:before="214"/>
        <w:ind w:left="222" w:right="230" w:firstLine="719"/>
        <w:jc w:val="both"/>
      </w:pPr>
      <w:r>
        <w:rPr/>
        <w:t>При анализе состояния репродуктивной функции установлено, что 82% больных находились в постменопаузе, 18% пациенток оказались моложе 50 лет.</w:t>
      </w:r>
    </w:p>
    <w:p>
      <w:pPr>
        <w:pStyle w:val="BodyText"/>
        <w:spacing w:line="360" w:lineRule="auto" w:before="204"/>
        <w:ind w:left="222" w:right="228" w:firstLine="719"/>
        <w:jc w:val="both"/>
      </w:pPr>
      <w:r>
        <w:rPr/>
        <w:t>В старших возрастных группах, к которым относятся подавляющее большинство больных раком эндометрия концентрируются и разнообразные нарушения в репродуктивном и энергетическом</w:t>
      </w:r>
    </w:p>
    <w:p>
      <w:pPr>
        <w:spacing w:after="0" w:line="360" w:lineRule="auto"/>
        <w:jc w:val="both"/>
        <w:sectPr>
          <w:pgSz w:w="11900" w:h="16850"/>
          <w:pgMar w:header="712" w:footer="0" w:top="1020" w:bottom="280" w:left="1480" w:right="900"/>
        </w:sectPr>
      </w:pPr>
    </w:p>
    <w:p>
      <w:pPr>
        <w:pStyle w:val="BodyText"/>
        <w:rPr>
          <w:sz w:val="20"/>
        </w:rPr>
      </w:pPr>
    </w:p>
    <w:p>
      <w:pPr>
        <w:pStyle w:val="BodyText"/>
        <w:rPr>
          <w:sz w:val="20"/>
        </w:rPr>
      </w:pPr>
    </w:p>
    <w:p>
      <w:pPr>
        <w:pStyle w:val="BodyText"/>
        <w:tabs>
          <w:tab w:pos="3756" w:val="left" w:leader="none"/>
        </w:tabs>
        <w:spacing w:line="360" w:lineRule="auto" w:before="224"/>
        <w:ind w:left="102" w:right="106"/>
        <w:jc w:val="both"/>
      </w:pPr>
      <w:r>
        <w:rPr/>
        <w:t>гомеостатах,    </w:t>
      </w:r>
      <w:r>
        <w:rPr>
          <w:spacing w:val="36"/>
        </w:rPr>
        <w:t> </w:t>
      </w:r>
      <w:r>
        <w:rPr/>
        <w:t>нередко</w:t>
        <w:tab/>
        <w:t>приводящие      к    </w:t>
      </w:r>
      <w:r>
        <w:rPr>
          <w:spacing w:val="8"/>
        </w:rPr>
        <w:t> </w:t>
      </w:r>
      <w:r>
        <w:rPr/>
        <w:t>развитию    </w:t>
      </w:r>
      <w:r>
        <w:rPr>
          <w:spacing w:val="36"/>
        </w:rPr>
        <w:t> </w:t>
      </w:r>
      <w:r>
        <w:rPr/>
        <w:t>выраженной</w:t>
      </w:r>
      <w:r>
        <w:rPr>
          <w:w w:val="100"/>
        </w:rPr>
        <w:t> </w:t>
      </w:r>
      <w:r>
        <w:rPr/>
        <w:t>сопутствующей патологии. Помимо хорошо известных факторов риска развития гормонозависимых опухолей органов репродуктивной системы, эти заболевания оказывают непосредственное влияние на выбор лечебной тактики, нередко ограничивая возможности проведения радикальных программ комбинированного и комплексного</w:t>
      </w:r>
      <w:r>
        <w:rPr>
          <w:spacing w:val="-18"/>
        </w:rPr>
        <w:t> </w:t>
      </w:r>
      <w:r>
        <w:rPr/>
        <w:t>лечения.</w:t>
      </w:r>
    </w:p>
    <w:p>
      <w:pPr>
        <w:pStyle w:val="BodyText"/>
        <w:spacing w:line="360" w:lineRule="auto" w:before="205"/>
        <w:ind w:left="102" w:right="101" w:firstLine="789"/>
        <w:jc w:val="both"/>
      </w:pPr>
      <w:r>
        <w:rPr/>
        <w:t>Мы проанализировали частоту наиболее значимых сопутствующих заболеваний, оказывающих непосредственное влияние на лечебную тактику, в том числе и на рассматриваемые в этой главе объем хирургического вмешательства и выбор оптимального доступа для его выполнения. К таким заболеваниям мы отнесли ожирение различной степени, сахарный диабет, патологию сердечно - сосудистой и  дыхательной системы, препятствующие наложению карбоксиперитонеума и помещению пациентки в положение Тренделенбурга, а также сопутствующую гинекологическую патологию и предшествовавшие хирургические вмешательства на органах брюшной полости, которые могут значительно усложнить ход не только лапароскопических, но и лапаротомных операций. В следующей таблице суммированы наиболее значимые заболевания органов сердечно-сосудистой системы, степень выраженности которых учитывалась при определении рисков хирургических вмешательств (Табл.</w:t>
      </w:r>
      <w:r>
        <w:rPr>
          <w:spacing w:val="-9"/>
        </w:rPr>
        <w:t> </w:t>
      </w:r>
      <w:r>
        <w:rPr/>
        <w:t>3.2).</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508" w:lineRule="auto" w:before="224"/>
        <w:ind w:left="1839" w:right="207" w:firstLine="6032"/>
      </w:pPr>
      <w:r>
        <w:rPr/>
        <w:t>Таблица 3.2 Сопутствующая сердечно-сосудистая патология  n (%)</w:t>
      </w:r>
    </w:p>
    <w:p>
      <w:pPr>
        <w:pStyle w:val="BodyText"/>
        <w:rPr>
          <w:sz w:val="20"/>
        </w:rPr>
      </w:pPr>
    </w:p>
    <w:p>
      <w:pPr>
        <w:pStyle w:val="BodyText"/>
        <w:rPr>
          <w:sz w:val="20"/>
        </w:rPr>
      </w:pPr>
    </w:p>
    <w:p>
      <w:pPr>
        <w:pStyle w:val="BodyText"/>
        <w:spacing w:before="2"/>
        <w:rPr>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65"/>
        <w:gridCol w:w="2244"/>
        <w:gridCol w:w="1981"/>
      </w:tblGrid>
      <w:tr>
        <w:trPr>
          <w:trHeight w:val="1152" w:hRule="exact"/>
        </w:trPr>
        <w:tc>
          <w:tcPr>
            <w:tcW w:w="5065" w:type="dxa"/>
          </w:tcPr>
          <w:p>
            <w:pPr>
              <w:pStyle w:val="TableParagraph"/>
              <w:spacing w:before="2"/>
              <w:rPr>
                <w:sz w:val="24"/>
              </w:rPr>
            </w:pPr>
          </w:p>
          <w:p>
            <w:pPr>
              <w:pStyle w:val="TableParagraph"/>
              <w:ind w:left="382" w:right="382"/>
              <w:jc w:val="center"/>
              <w:rPr>
                <w:sz w:val="28"/>
              </w:rPr>
            </w:pPr>
            <w:r>
              <w:rPr>
                <w:sz w:val="28"/>
              </w:rPr>
              <w:t>Сердечно-сосудистые заболевания</w:t>
            </w:r>
          </w:p>
        </w:tc>
        <w:tc>
          <w:tcPr>
            <w:tcW w:w="2244" w:type="dxa"/>
          </w:tcPr>
          <w:p>
            <w:pPr>
              <w:pStyle w:val="TableParagraph"/>
              <w:spacing w:line="424" w:lineRule="auto"/>
              <w:ind w:left="592" w:right="307" w:hanging="272"/>
              <w:rPr>
                <w:sz w:val="28"/>
              </w:rPr>
            </w:pPr>
            <w:r>
              <w:rPr>
                <w:sz w:val="28"/>
              </w:rPr>
              <w:t>Лапаротомия (n=1289)</w:t>
            </w:r>
          </w:p>
        </w:tc>
        <w:tc>
          <w:tcPr>
            <w:tcW w:w="1981" w:type="dxa"/>
          </w:tcPr>
          <w:p>
            <w:pPr>
              <w:pStyle w:val="TableParagraph"/>
              <w:spacing w:line="424" w:lineRule="auto"/>
              <w:ind w:left="531" w:right="118" w:hanging="396"/>
              <w:rPr>
                <w:sz w:val="28"/>
              </w:rPr>
            </w:pPr>
            <w:r>
              <w:rPr>
                <w:sz w:val="28"/>
              </w:rPr>
              <w:t>Лапароскопия (n=756)</w:t>
            </w:r>
          </w:p>
        </w:tc>
      </w:tr>
      <w:tr>
        <w:trPr>
          <w:trHeight w:val="1150" w:hRule="exact"/>
        </w:trPr>
        <w:tc>
          <w:tcPr>
            <w:tcW w:w="5065" w:type="dxa"/>
          </w:tcPr>
          <w:p>
            <w:pPr>
              <w:pStyle w:val="TableParagraph"/>
              <w:spacing w:line="316" w:lineRule="exact"/>
              <w:ind w:left="382" w:right="382"/>
              <w:jc w:val="center"/>
              <w:rPr>
                <w:sz w:val="28"/>
              </w:rPr>
            </w:pPr>
            <w:r>
              <w:rPr>
                <w:sz w:val="28"/>
              </w:rPr>
              <w:t>Ишемическая болезнь сердца</w:t>
            </w:r>
          </w:p>
        </w:tc>
        <w:tc>
          <w:tcPr>
            <w:tcW w:w="2244" w:type="dxa"/>
          </w:tcPr>
          <w:p>
            <w:pPr>
              <w:pStyle w:val="TableParagraph"/>
              <w:spacing w:before="3"/>
              <w:rPr>
                <w:sz w:val="24"/>
              </w:rPr>
            </w:pPr>
          </w:p>
          <w:p>
            <w:pPr>
              <w:pStyle w:val="TableParagraph"/>
              <w:ind w:left="396" w:right="398"/>
              <w:jc w:val="center"/>
              <w:rPr>
                <w:sz w:val="28"/>
              </w:rPr>
            </w:pPr>
            <w:r>
              <w:rPr>
                <w:sz w:val="28"/>
              </w:rPr>
              <w:t>580 (45,0%)</w:t>
            </w:r>
          </w:p>
        </w:tc>
        <w:tc>
          <w:tcPr>
            <w:tcW w:w="1981" w:type="dxa"/>
          </w:tcPr>
          <w:p>
            <w:pPr>
              <w:pStyle w:val="TableParagraph"/>
              <w:spacing w:before="3"/>
              <w:rPr>
                <w:sz w:val="24"/>
              </w:rPr>
            </w:pPr>
          </w:p>
          <w:p>
            <w:pPr>
              <w:pStyle w:val="TableParagraph"/>
              <w:ind w:left="265" w:right="266"/>
              <w:jc w:val="center"/>
              <w:rPr>
                <w:sz w:val="28"/>
              </w:rPr>
            </w:pPr>
            <w:r>
              <w:rPr>
                <w:sz w:val="28"/>
              </w:rPr>
              <w:t>279 (36,9%)</w:t>
            </w:r>
          </w:p>
        </w:tc>
      </w:tr>
      <w:tr>
        <w:trPr>
          <w:trHeight w:val="1152" w:hRule="exact"/>
        </w:trPr>
        <w:tc>
          <w:tcPr>
            <w:tcW w:w="5065" w:type="dxa"/>
          </w:tcPr>
          <w:p>
            <w:pPr>
              <w:pStyle w:val="TableParagraph"/>
              <w:spacing w:line="315" w:lineRule="exact"/>
              <w:ind w:left="381" w:right="382"/>
              <w:jc w:val="center"/>
              <w:rPr>
                <w:sz w:val="28"/>
              </w:rPr>
            </w:pPr>
            <w:r>
              <w:rPr>
                <w:sz w:val="28"/>
              </w:rPr>
              <w:t>Гипертоническая болезнь</w:t>
            </w:r>
          </w:p>
        </w:tc>
        <w:tc>
          <w:tcPr>
            <w:tcW w:w="2244" w:type="dxa"/>
          </w:tcPr>
          <w:p>
            <w:pPr>
              <w:pStyle w:val="TableParagraph"/>
              <w:spacing w:before="2"/>
              <w:rPr>
                <w:sz w:val="24"/>
              </w:rPr>
            </w:pPr>
          </w:p>
          <w:p>
            <w:pPr>
              <w:pStyle w:val="TableParagraph"/>
              <w:ind w:left="396" w:right="398"/>
              <w:jc w:val="center"/>
              <w:rPr>
                <w:sz w:val="28"/>
              </w:rPr>
            </w:pPr>
            <w:r>
              <w:rPr>
                <w:sz w:val="28"/>
              </w:rPr>
              <w:t>309 (23,9%)</w:t>
            </w:r>
          </w:p>
        </w:tc>
        <w:tc>
          <w:tcPr>
            <w:tcW w:w="1981" w:type="dxa"/>
          </w:tcPr>
          <w:p>
            <w:pPr>
              <w:pStyle w:val="TableParagraph"/>
              <w:spacing w:before="2"/>
              <w:rPr>
                <w:sz w:val="24"/>
              </w:rPr>
            </w:pPr>
          </w:p>
          <w:p>
            <w:pPr>
              <w:pStyle w:val="TableParagraph"/>
              <w:ind w:left="265" w:right="266"/>
              <w:jc w:val="center"/>
              <w:rPr>
                <w:sz w:val="28"/>
              </w:rPr>
            </w:pPr>
            <w:r>
              <w:rPr>
                <w:sz w:val="28"/>
              </w:rPr>
              <w:t>166 (21,9%)</w:t>
            </w:r>
          </w:p>
        </w:tc>
      </w:tr>
      <w:tr>
        <w:trPr>
          <w:trHeight w:val="1150" w:hRule="exact"/>
        </w:trPr>
        <w:tc>
          <w:tcPr>
            <w:tcW w:w="5065" w:type="dxa"/>
          </w:tcPr>
          <w:p>
            <w:pPr>
              <w:pStyle w:val="TableParagraph"/>
              <w:spacing w:line="315" w:lineRule="exact"/>
              <w:ind w:left="381" w:right="382"/>
              <w:jc w:val="center"/>
              <w:rPr>
                <w:sz w:val="28"/>
              </w:rPr>
            </w:pPr>
            <w:r>
              <w:rPr>
                <w:sz w:val="28"/>
              </w:rPr>
              <w:t>Кардиосклероз</w:t>
            </w:r>
          </w:p>
        </w:tc>
        <w:tc>
          <w:tcPr>
            <w:tcW w:w="2244" w:type="dxa"/>
          </w:tcPr>
          <w:p>
            <w:pPr>
              <w:pStyle w:val="TableParagraph"/>
              <w:spacing w:before="2"/>
              <w:rPr>
                <w:sz w:val="24"/>
              </w:rPr>
            </w:pPr>
          </w:p>
          <w:p>
            <w:pPr>
              <w:pStyle w:val="TableParagraph"/>
              <w:ind w:left="396" w:right="398"/>
              <w:jc w:val="center"/>
              <w:rPr>
                <w:sz w:val="28"/>
              </w:rPr>
            </w:pPr>
            <w:r>
              <w:rPr>
                <w:sz w:val="28"/>
              </w:rPr>
              <w:t>476 (36,9%)</w:t>
            </w:r>
          </w:p>
        </w:tc>
        <w:tc>
          <w:tcPr>
            <w:tcW w:w="1981" w:type="dxa"/>
          </w:tcPr>
          <w:p>
            <w:pPr>
              <w:pStyle w:val="TableParagraph"/>
              <w:spacing w:before="2"/>
              <w:rPr>
                <w:sz w:val="24"/>
              </w:rPr>
            </w:pPr>
          </w:p>
          <w:p>
            <w:pPr>
              <w:pStyle w:val="TableParagraph"/>
              <w:ind w:left="265" w:right="266"/>
              <w:jc w:val="center"/>
              <w:rPr>
                <w:sz w:val="28"/>
              </w:rPr>
            </w:pPr>
            <w:r>
              <w:rPr>
                <w:sz w:val="28"/>
              </w:rPr>
              <w:t>219 (28,9%)</w:t>
            </w:r>
          </w:p>
        </w:tc>
      </w:tr>
      <w:tr>
        <w:trPr>
          <w:trHeight w:val="1150" w:hRule="exact"/>
        </w:trPr>
        <w:tc>
          <w:tcPr>
            <w:tcW w:w="5065" w:type="dxa"/>
          </w:tcPr>
          <w:p>
            <w:pPr>
              <w:pStyle w:val="TableParagraph"/>
              <w:spacing w:line="315" w:lineRule="exact"/>
              <w:ind w:left="381" w:right="382"/>
              <w:jc w:val="center"/>
              <w:rPr>
                <w:sz w:val="28"/>
              </w:rPr>
            </w:pPr>
            <w:r>
              <w:rPr>
                <w:sz w:val="28"/>
              </w:rPr>
              <w:t>Аритмии</w:t>
            </w:r>
          </w:p>
        </w:tc>
        <w:tc>
          <w:tcPr>
            <w:tcW w:w="2244" w:type="dxa"/>
          </w:tcPr>
          <w:p>
            <w:pPr>
              <w:pStyle w:val="TableParagraph"/>
              <w:spacing w:before="2"/>
              <w:rPr>
                <w:sz w:val="24"/>
              </w:rPr>
            </w:pPr>
          </w:p>
          <w:p>
            <w:pPr>
              <w:pStyle w:val="TableParagraph"/>
              <w:ind w:left="396" w:right="398"/>
              <w:jc w:val="center"/>
              <w:rPr>
                <w:sz w:val="28"/>
              </w:rPr>
            </w:pPr>
            <w:r>
              <w:rPr>
                <w:sz w:val="28"/>
              </w:rPr>
              <w:t>191 (14,8%)</w:t>
            </w:r>
          </w:p>
        </w:tc>
        <w:tc>
          <w:tcPr>
            <w:tcW w:w="1981" w:type="dxa"/>
          </w:tcPr>
          <w:p>
            <w:pPr>
              <w:pStyle w:val="TableParagraph"/>
              <w:spacing w:before="2"/>
              <w:rPr>
                <w:sz w:val="24"/>
              </w:rPr>
            </w:pPr>
          </w:p>
          <w:p>
            <w:pPr>
              <w:pStyle w:val="TableParagraph"/>
              <w:ind w:left="265" w:right="265"/>
              <w:jc w:val="center"/>
              <w:rPr>
                <w:sz w:val="28"/>
              </w:rPr>
            </w:pPr>
            <w:r>
              <w:rPr>
                <w:sz w:val="28"/>
              </w:rPr>
              <w:t>98 (12,9%)</w:t>
            </w:r>
          </w:p>
        </w:tc>
      </w:tr>
      <w:tr>
        <w:trPr>
          <w:trHeight w:val="1152" w:hRule="exact"/>
        </w:trPr>
        <w:tc>
          <w:tcPr>
            <w:tcW w:w="5065" w:type="dxa"/>
          </w:tcPr>
          <w:p>
            <w:pPr>
              <w:pStyle w:val="TableParagraph"/>
              <w:spacing w:line="317" w:lineRule="exact"/>
              <w:ind w:left="382" w:right="382"/>
              <w:jc w:val="center"/>
              <w:rPr>
                <w:sz w:val="28"/>
              </w:rPr>
            </w:pPr>
            <w:r>
              <w:rPr>
                <w:sz w:val="28"/>
              </w:rPr>
              <w:t>Тромбофлебит, варикозная болезнь</w:t>
            </w:r>
          </w:p>
        </w:tc>
        <w:tc>
          <w:tcPr>
            <w:tcW w:w="2244" w:type="dxa"/>
          </w:tcPr>
          <w:p>
            <w:pPr>
              <w:pStyle w:val="TableParagraph"/>
              <w:spacing w:before="2"/>
              <w:rPr>
                <w:sz w:val="24"/>
              </w:rPr>
            </w:pPr>
          </w:p>
          <w:p>
            <w:pPr>
              <w:pStyle w:val="TableParagraph"/>
              <w:ind w:left="396" w:right="398"/>
              <w:jc w:val="center"/>
              <w:rPr>
                <w:sz w:val="28"/>
              </w:rPr>
            </w:pPr>
            <w:r>
              <w:rPr>
                <w:sz w:val="28"/>
              </w:rPr>
              <w:t>618 (47,9%)</w:t>
            </w:r>
          </w:p>
        </w:tc>
        <w:tc>
          <w:tcPr>
            <w:tcW w:w="1981" w:type="dxa"/>
          </w:tcPr>
          <w:p>
            <w:pPr>
              <w:pStyle w:val="TableParagraph"/>
              <w:spacing w:before="2"/>
              <w:rPr>
                <w:sz w:val="24"/>
              </w:rPr>
            </w:pPr>
          </w:p>
          <w:p>
            <w:pPr>
              <w:pStyle w:val="TableParagraph"/>
              <w:ind w:left="265" w:right="266"/>
              <w:jc w:val="center"/>
              <w:rPr>
                <w:sz w:val="28"/>
              </w:rPr>
            </w:pPr>
            <w:r>
              <w:rPr>
                <w:sz w:val="28"/>
              </w:rPr>
              <w:t>366 (48,4%)</w:t>
            </w:r>
          </w:p>
        </w:tc>
      </w:tr>
      <w:tr>
        <w:trPr>
          <w:trHeight w:val="1150" w:hRule="exact"/>
        </w:trPr>
        <w:tc>
          <w:tcPr>
            <w:tcW w:w="5065" w:type="dxa"/>
          </w:tcPr>
          <w:p>
            <w:pPr>
              <w:pStyle w:val="TableParagraph"/>
              <w:spacing w:line="315" w:lineRule="exact"/>
              <w:ind w:left="382" w:right="382"/>
              <w:jc w:val="center"/>
              <w:rPr>
                <w:sz w:val="28"/>
              </w:rPr>
            </w:pPr>
            <w:r>
              <w:rPr>
                <w:sz w:val="28"/>
              </w:rPr>
              <w:t>Инсульт в анамнезе</w:t>
            </w:r>
          </w:p>
        </w:tc>
        <w:tc>
          <w:tcPr>
            <w:tcW w:w="2244" w:type="dxa"/>
          </w:tcPr>
          <w:p>
            <w:pPr>
              <w:pStyle w:val="TableParagraph"/>
              <w:spacing w:before="2"/>
              <w:rPr>
                <w:sz w:val="24"/>
              </w:rPr>
            </w:pPr>
          </w:p>
          <w:p>
            <w:pPr>
              <w:pStyle w:val="TableParagraph"/>
              <w:ind w:left="396" w:right="396"/>
              <w:jc w:val="center"/>
              <w:rPr>
                <w:sz w:val="28"/>
              </w:rPr>
            </w:pPr>
            <w:r>
              <w:rPr>
                <w:sz w:val="28"/>
              </w:rPr>
              <w:t>25 (1,9%)</w:t>
            </w:r>
          </w:p>
        </w:tc>
        <w:tc>
          <w:tcPr>
            <w:tcW w:w="1981" w:type="dxa"/>
          </w:tcPr>
          <w:p>
            <w:pPr>
              <w:pStyle w:val="TableParagraph"/>
              <w:spacing w:before="2"/>
              <w:rPr>
                <w:sz w:val="24"/>
              </w:rPr>
            </w:pPr>
          </w:p>
          <w:p>
            <w:pPr>
              <w:pStyle w:val="TableParagraph"/>
              <w:ind w:left="265" w:right="265"/>
              <w:jc w:val="center"/>
              <w:rPr>
                <w:sz w:val="28"/>
              </w:rPr>
            </w:pPr>
            <w:r>
              <w:rPr>
                <w:sz w:val="28"/>
              </w:rPr>
              <w:t>11 (1,5%)</w:t>
            </w:r>
          </w:p>
        </w:tc>
      </w:tr>
      <w:tr>
        <w:trPr>
          <w:trHeight w:val="1152" w:hRule="exact"/>
        </w:trPr>
        <w:tc>
          <w:tcPr>
            <w:tcW w:w="5065" w:type="dxa"/>
          </w:tcPr>
          <w:p>
            <w:pPr>
              <w:pStyle w:val="TableParagraph"/>
              <w:spacing w:line="315" w:lineRule="exact"/>
              <w:ind w:left="381" w:right="382"/>
              <w:jc w:val="center"/>
              <w:rPr>
                <w:sz w:val="28"/>
              </w:rPr>
            </w:pPr>
            <w:r>
              <w:rPr>
                <w:sz w:val="28"/>
              </w:rPr>
              <w:t>Инфаркт в анамнезе</w:t>
            </w:r>
          </w:p>
        </w:tc>
        <w:tc>
          <w:tcPr>
            <w:tcW w:w="2244" w:type="dxa"/>
          </w:tcPr>
          <w:p>
            <w:pPr>
              <w:pStyle w:val="TableParagraph"/>
              <w:spacing w:before="2"/>
              <w:rPr>
                <w:sz w:val="24"/>
              </w:rPr>
            </w:pPr>
          </w:p>
          <w:p>
            <w:pPr>
              <w:pStyle w:val="TableParagraph"/>
              <w:ind w:left="396" w:right="396"/>
              <w:jc w:val="center"/>
              <w:rPr>
                <w:sz w:val="28"/>
              </w:rPr>
            </w:pPr>
            <w:r>
              <w:rPr>
                <w:sz w:val="28"/>
              </w:rPr>
              <w:t>90 (7,0%)</w:t>
            </w:r>
          </w:p>
        </w:tc>
        <w:tc>
          <w:tcPr>
            <w:tcW w:w="1981" w:type="dxa"/>
          </w:tcPr>
          <w:p>
            <w:pPr>
              <w:pStyle w:val="TableParagraph"/>
              <w:spacing w:before="2"/>
              <w:rPr>
                <w:sz w:val="24"/>
              </w:rPr>
            </w:pPr>
          </w:p>
          <w:p>
            <w:pPr>
              <w:pStyle w:val="TableParagraph"/>
              <w:ind w:left="265" w:right="265"/>
              <w:jc w:val="center"/>
              <w:rPr>
                <w:sz w:val="28"/>
              </w:rPr>
            </w:pPr>
            <w:r>
              <w:rPr>
                <w:sz w:val="28"/>
              </w:rPr>
              <w:t>25 (3,3%)</w:t>
            </w:r>
          </w:p>
        </w:tc>
      </w:tr>
    </w:tbl>
    <w:p>
      <w:pPr>
        <w:pStyle w:val="BodyText"/>
        <w:rPr>
          <w:sz w:val="20"/>
        </w:rPr>
      </w:pPr>
    </w:p>
    <w:p>
      <w:pPr>
        <w:pStyle w:val="BodyText"/>
        <w:rPr>
          <w:sz w:val="20"/>
        </w:rPr>
      </w:pPr>
    </w:p>
    <w:p>
      <w:pPr>
        <w:pStyle w:val="BodyText"/>
        <w:spacing w:line="360" w:lineRule="auto" w:before="214"/>
        <w:ind w:left="222" w:right="220" w:firstLine="719"/>
        <w:jc w:val="both"/>
      </w:pPr>
      <w:r>
        <w:rPr/>
        <w:t>Наиболее частой патологией оказалась гипертоническая болезнь, встретившаяся примерно с одинаковой частотой в обеих группах пациенток (24 и 22%). В приведенных цифрах учитывались II-III стадии заболевания.   Стенокардия, кардиосклероз, тромбофлебиты вен</w:t>
      </w:r>
      <w:r>
        <w:rPr>
          <w:spacing w:val="-23"/>
        </w:rPr>
        <w:t> </w:t>
      </w:r>
      <w:r>
        <w:rPr/>
        <w:t>нижних</w:t>
      </w:r>
    </w:p>
    <w:p>
      <w:pPr>
        <w:spacing w:after="0" w:line="360" w:lineRule="auto"/>
        <w:jc w:val="both"/>
        <w:sectPr>
          <w:pgSz w:w="11900" w:h="16850"/>
          <w:pgMar w:header="712" w:footer="0" w:top="1020" w:bottom="280" w:left="1480" w:right="900"/>
        </w:sectPr>
      </w:pPr>
    </w:p>
    <w:p>
      <w:pPr>
        <w:pStyle w:val="BodyText"/>
        <w:rPr>
          <w:sz w:val="20"/>
        </w:rPr>
      </w:pPr>
    </w:p>
    <w:p>
      <w:pPr>
        <w:pStyle w:val="BodyText"/>
        <w:rPr>
          <w:sz w:val="20"/>
        </w:rPr>
      </w:pPr>
    </w:p>
    <w:p>
      <w:pPr>
        <w:pStyle w:val="BodyText"/>
        <w:spacing w:line="360" w:lineRule="auto" w:before="224"/>
        <w:ind w:left="102" w:right="100"/>
        <w:jc w:val="both"/>
      </w:pPr>
      <w:r>
        <w:rPr/>
        <w:t>конечностей, синусовая бради- и тахикардия, суправентрикулярная и желудочковая экстрасистолия, мерцательная аритмия постоянной и пароксизмальной форм несколько чаще (р&gt;0,01) регистрировались у больных контрольной группы, определяя выбор данного хирургического доступа и явившись одной из основных причин конверсии в лапаротомию у больных проспективной части исследования. Такую же роль, в подавляющем большинстве случаев, сыграли анамнестические указания на перенесенные ранее инфаркты и</w:t>
      </w:r>
      <w:r>
        <w:rPr>
          <w:spacing w:val="-12"/>
        </w:rPr>
        <w:t> </w:t>
      </w:r>
      <w:r>
        <w:rPr/>
        <w:t>инсульты.</w:t>
      </w:r>
    </w:p>
    <w:p>
      <w:pPr>
        <w:pStyle w:val="BodyText"/>
        <w:spacing w:line="360" w:lineRule="auto" w:before="207"/>
        <w:ind w:left="102" w:right="100" w:firstLine="719"/>
        <w:jc w:val="both"/>
      </w:pPr>
      <w:r>
        <w:rPr/>
        <w:t>Ишемическая болезнь сердца, варикозная болезнь вен нижних конечностей, а также некоторые другие заболевания с одинаковой  частотой диагностированы в обеих группах пациенток и не оказали самостоятельного влияния на выбор хирургического</w:t>
      </w:r>
      <w:r>
        <w:rPr>
          <w:spacing w:val="-18"/>
        </w:rPr>
        <w:t> </w:t>
      </w:r>
      <w:r>
        <w:rPr/>
        <w:t>доступа.</w:t>
      </w:r>
    </w:p>
    <w:p>
      <w:pPr>
        <w:pStyle w:val="BodyText"/>
        <w:spacing w:line="360" w:lineRule="auto" w:before="204"/>
        <w:ind w:left="102" w:right="99" w:firstLine="859"/>
        <w:jc w:val="both"/>
      </w:pPr>
      <w:r>
        <w:rPr/>
        <w:t>Все онкогинекологические больные относятся к группе высокого риска по тромбоэмболическим осложнениям, многократно возрастающим при описанной сердечно-сосудистой патологии. Несмотря на то, что всем пациенткам, вошедшим в исследование, проводилась периоперационная профилактика тромбоэмболических осложнений, в обеих  группах  больных не удалось избежать этого грозного осложнения. Тромбоэмболии мелких ветвей легочной артерии развились у 4 больных основной и у 9 больных контрольной группы, явившись причиной летального исхода соответственно в 1 и 3</w:t>
      </w:r>
      <w:r>
        <w:rPr>
          <w:spacing w:val="-8"/>
        </w:rPr>
        <w:t> </w:t>
      </w:r>
      <w:r>
        <w:rPr/>
        <w:t>случаях.</w:t>
      </w:r>
    </w:p>
    <w:p>
      <w:pPr>
        <w:pStyle w:val="BodyText"/>
        <w:spacing w:line="360" w:lineRule="auto" w:before="206"/>
        <w:ind w:left="102" w:right="107" w:firstLine="719"/>
        <w:jc w:val="both"/>
      </w:pPr>
      <w:r>
        <w:rPr/>
        <w:t>Статистически значимой у больных раком эндометрия оказалась частота сахарного диабета и ожирения различной степени выраженности. Распределение больных раком тела матки в зависимости от заболеваний эндокринной системы показано в следующей таблице (Табл. 3.3).</w:t>
      </w:r>
    </w:p>
    <w:p>
      <w:pPr>
        <w:spacing w:after="0" w:line="360" w:lineRule="auto"/>
        <w:jc w:val="both"/>
        <w:sectPr>
          <w:headerReference w:type="default" r:id="rId57"/>
          <w:pgSz w:w="11900" w:h="16850"/>
          <w:pgMar w:header="712" w:footer="0" w:top="1020" w:bottom="280" w:left="1600" w:right="1020"/>
          <w:pgNumType w:start="110"/>
        </w:sectPr>
      </w:pPr>
    </w:p>
    <w:p>
      <w:pPr>
        <w:pStyle w:val="BodyText"/>
        <w:rPr>
          <w:sz w:val="20"/>
        </w:rPr>
      </w:pPr>
    </w:p>
    <w:p>
      <w:pPr>
        <w:pStyle w:val="BodyText"/>
        <w:rPr>
          <w:sz w:val="20"/>
        </w:rPr>
      </w:pPr>
    </w:p>
    <w:p>
      <w:pPr>
        <w:pStyle w:val="BodyText"/>
        <w:spacing w:before="224"/>
        <w:ind w:left="7772"/>
      </w:pPr>
      <w:r>
        <w:rPr/>
        <w:t>Таблица 3.3</w:t>
      </w:r>
    </w:p>
    <w:p>
      <w:pPr>
        <w:pStyle w:val="BodyText"/>
        <w:spacing w:before="3"/>
        <w:rPr>
          <w:sz w:val="31"/>
        </w:rPr>
      </w:pPr>
    </w:p>
    <w:p>
      <w:pPr>
        <w:pStyle w:val="BodyText"/>
        <w:spacing w:line="388" w:lineRule="auto" w:after="13"/>
        <w:ind w:left="3612" w:right="659" w:hanging="1892"/>
      </w:pPr>
      <w:r>
        <w:rPr/>
        <w:pict>
          <v:line style="position:absolute;mso-position-horizontal-relative:page;mso-position-vertical-relative:paragraph;z-index:-339400" from="85.344002pt,53.030289pt" to="162.860002pt,209.660289pt" stroked="true" strokeweight=".48pt" strokecolor="#000000">
            <v:stroke dashstyle="solid"/>
            <w10:wrap type="none"/>
          </v:line>
        </w:pict>
      </w:r>
      <w:r>
        <w:rPr/>
        <w:t>Частота заболеваний эндокринной системы у больных раком эндометрия n (%)</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1417"/>
        <w:gridCol w:w="1560"/>
        <w:gridCol w:w="1738"/>
        <w:gridCol w:w="1597"/>
        <w:gridCol w:w="1486"/>
      </w:tblGrid>
      <w:tr>
        <w:trPr>
          <w:trHeight w:val="3142" w:hRule="exact"/>
        </w:trPr>
        <w:tc>
          <w:tcPr>
            <w:tcW w:w="1560" w:type="dxa"/>
          </w:tcPr>
          <w:p>
            <w:pPr>
              <w:pStyle w:val="TableParagraph"/>
              <w:spacing w:before="10"/>
              <w:rPr>
                <w:sz w:val="44"/>
              </w:rPr>
            </w:pPr>
          </w:p>
          <w:p>
            <w:pPr>
              <w:pStyle w:val="TableParagraph"/>
              <w:ind w:left="451"/>
              <w:rPr>
                <w:sz w:val="28"/>
              </w:rPr>
            </w:pPr>
            <w:r>
              <w:rPr>
                <w:sz w:val="28"/>
              </w:rPr>
              <w:t>Группы</w:t>
            </w: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7"/>
              <w:rPr>
                <w:sz w:val="33"/>
              </w:rPr>
            </w:pPr>
          </w:p>
          <w:p>
            <w:pPr>
              <w:pStyle w:val="TableParagraph"/>
              <w:ind w:left="103"/>
              <w:rPr>
                <w:sz w:val="28"/>
              </w:rPr>
            </w:pPr>
            <w:r>
              <w:rPr>
                <w:sz w:val="28"/>
              </w:rPr>
              <w:t>Формы</w:t>
            </w:r>
          </w:p>
        </w:tc>
        <w:tc>
          <w:tcPr>
            <w:tcW w:w="1417" w:type="dxa"/>
          </w:tcPr>
          <w:p>
            <w:pPr>
              <w:pStyle w:val="TableParagraph"/>
              <w:tabs>
                <w:tab w:pos="1167" w:val="left" w:leader="none"/>
              </w:tabs>
              <w:ind w:left="103" w:right="101"/>
              <w:rPr>
                <w:sz w:val="28"/>
              </w:rPr>
            </w:pPr>
            <w:r>
              <w:rPr>
                <w:sz w:val="28"/>
              </w:rPr>
              <w:t>Наруше- ние толерант- ности</w:t>
              <w:tab/>
              <w:t>к глюкозе</w:t>
            </w:r>
          </w:p>
        </w:tc>
        <w:tc>
          <w:tcPr>
            <w:tcW w:w="1560" w:type="dxa"/>
          </w:tcPr>
          <w:p>
            <w:pPr>
              <w:pStyle w:val="TableParagraph"/>
              <w:ind w:left="103" w:right="100"/>
              <w:jc w:val="both"/>
              <w:rPr>
                <w:sz w:val="28"/>
              </w:rPr>
            </w:pPr>
            <w:r>
              <w:rPr>
                <w:sz w:val="28"/>
              </w:rPr>
              <w:t>СД 2 типа (компенса- ция)</w:t>
            </w:r>
          </w:p>
        </w:tc>
        <w:tc>
          <w:tcPr>
            <w:tcW w:w="1738" w:type="dxa"/>
          </w:tcPr>
          <w:p>
            <w:pPr>
              <w:pStyle w:val="TableParagraph"/>
              <w:ind w:left="103" w:right="100"/>
              <w:jc w:val="both"/>
              <w:rPr>
                <w:sz w:val="28"/>
              </w:rPr>
            </w:pPr>
            <w:r>
              <w:rPr>
                <w:sz w:val="28"/>
              </w:rPr>
              <w:t>СД 2 типа (субкомпен- сация)</w:t>
            </w:r>
          </w:p>
        </w:tc>
        <w:tc>
          <w:tcPr>
            <w:tcW w:w="1597" w:type="dxa"/>
          </w:tcPr>
          <w:p>
            <w:pPr>
              <w:pStyle w:val="TableParagraph"/>
              <w:ind w:left="103" w:right="100"/>
              <w:jc w:val="both"/>
              <w:rPr>
                <w:sz w:val="28"/>
              </w:rPr>
            </w:pPr>
            <w:r>
              <w:rPr>
                <w:sz w:val="28"/>
              </w:rPr>
              <w:t>СД 2 типа (декомпен- сация)</w:t>
            </w:r>
          </w:p>
        </w:tc>
        <w:tc>
          <w:tcPr>
            <w:tcW w:w="1486" w:type="dxa"/>
          </w:tcPr>
          <w:p>
            <w:pPr>
              <w:pStyle w:val="TableParagraph"/>
              <w:ind w:left="100" w:right="93"/>
              <w:rPr>
                <w:sz w:val="28"/>
              </w:rPr>
            </w:pPr>
            <w:r>
              <w:rPr>
                <w:sz w:val="28"/>
              </w:rPr>
              <w:t>Патология щитовид- ной железы (эутиреоз, гипо- тиреоз)</w:t>
            </w:r>
          </w:p>
        </w:tc>
      </w:tr>
      <w:tr>
        <w:trPr>
          <w:trHeight w:val="1378" w:hRule="exact"/>
        </w:trPr>
        <w:tc>
          <w:tcPr>
            <w:tcW w:w="1560" w:type="dxa"/>
          </w:tcPr>
          <w:p>
            <w:pPr>
              <w:pStyle w:val="TableParagraph"/>
              <w:ind w:left="415" w:right="276" w:hanging="123"/>
              <w:rPr>
                <w:sz w:val="28"/>
              </w:rPr>
            </w:pPr>
            <w:r>
              <w:rPr>
                <w:sz w:val="28"/>
              </w:rPr>
              <w:t>Лапаро- томия</w:t>
            </w:r>
          </w:p>
          <w:p>
            <w:pPr>
              <w:pStyle w:val="TableParagraph"/>
              <w:spacing w:before="203"/>
              <w:ind w:left="103"/>
              <w:rPr>
                <w:sz w:val="28"/>
              </w:rPr>
            </w:pPr>
            <w:r>
              <w:rPr>
                <w:sz w:val="28"/>
              </w:rPr>
              <w:t>(n=1289)</w:t>
            </w:r>
          </w:p>
        </w:tc>
        <w:tc>
          <w:tcPr>
            <w:tcW w:w="1417" w:type="dxa"/>
          </w:tcPr>
          <w:p>
            <w:pPr>
              <w:pStyle w:val="TableParagraph"/>
              <w:spacing w:before="156"/>
              <w:ind w:left="228" w:right="228"/>
              <w:jc w:val="center"/>
              <w:rPr>
                <w:sz w:val="28"/>
              </w:rPr>
            </w:pPr>
            <w:r>
              <w:rPr>
                <w:sz w:val="28"/>
              </w:rPr>
              <w:t>204</w:t>
            </w:r>
          </w:p>
          <w:p>
            <w:pPr>
              <w:pStyle w:val="TableParagraph"/>
              <w:spacing w:before="198"/>
              <w:ind w:left="228" w:right="229"/>
              <w:jc w:val="center"/>
              <w:rPr>
                <w:sz w:val="28"/>
              </w:rPr>
            </w:pPr>
            <w:r>
              <w:rPr>
                <w:sz w:val="28"/>
              </w:rPr>
              <w:t>(15,8%)</w:t>
            </w:r>
          </w:p>
        </w:tc>
        <w:tc>
          <w:tcPr>
            <w:tcW w:w="1560" w:type="dxa"/>
          </w:tcPr>
          <w:p>
            <w:pPr>
              <w:pStyle w:val="TableParagraph"/>
              <w:spacing w:before="156"/>
              <w:ind w:left="299" w:right="299"/>
              <w:jc w:val="center"/>
              <w:rPr>
                <w:sz w:val="28"/>
              </w:rPr>
            </w:pPr>
            <w:r>
              <w:rPr>
                <w:sz w:val="28"/>
              </w:rPr>
              <w:t>92</w:t>
            </w:r>
          </w:p>
          <w:p>
            <w:pPr>
              <w:pStyle w:val="TableParagraph"/>
              <w:spacing w:before="198"/>
              <w:ind w:left="299" w:right="299"/>
              <w:jc w:val="center"/>
              <w:rPr>
                <w:sz w:val="28"/>
              </w:rPr>
            </w:pPr>
            <w:r>
              <w:rPr>
                <w:sz w:val="28"/>
              </w:rPr>
              <w:t>(7,1%)</w:t>
            </w:r>
          </w:p>
        </w:tc>
        <w:tc>
          <w:tcPr>
            <w:tcW w:w="1738" w:type="dxa"/>
          </w:tcPr>
          <w:p>
            <w:pPr>
              <w:pStyle w:val="TableParagraph"/>
              <w:spacing w:before="156"/>
              <w:ind w:left="388" w:right="389"/>
              <w:jc w:val="center"/>
              <w:rPr>
                <w:sz w:val="28"/>
              </w:rPr>
            </w:pPr>
            <w:r>
              <w:rPr>
                <w:sz w:val="28"/>
              </w:rPr>
              <w:t>143</w:t>
            </w:r>
          </w:p>
          <w:p>
            <w:pPr>
              <w:pStyle w:val="TableParagraph"/>
              <w:spacing w:before="198"/>
              <w:ind w:left="389" w:right="389"/>
              <w:jc w:val="center"/>
              <w:rPr>
                <w:sz w:val="28"/>
              </w:rPr>
            </w:pPr>
            <w:r>
              <w:rPr>
                <w:sz w:val="28"/>
              </w:rPr>
              <w:t>(11,1%)</w:t>
            </w:r>
          </w:p>
        </w:tc>
        <w:tc>
          <w:tcPr>
            <w:tcW w:w="1597" w:type="dxa"/>
          </w:tcPr>
          <w:p>
            <w:pPr>
              <w:pStyle w:val="TableParagraph"/>
              <w:spacing w:before="156"/>
              <w:jc w:val="center"/>
              <w:rPr>
                <w:sz w:val="28"/>
              </w:rPr>
            </w:pPr>
            <w:r>
              <w:rPr>
                <w:w w:val="100"/>
                <w:sz w:val="28"/>
              </w:rPr>
              <w:t>-</w:t>
            </w:r>
          </w:p>
        </w:tc>
        <w:tc>
          <w:tcPr>
            <w:tcW w:w="1486" w:type="dxa"/>
          </w:tcPr>
          <w:p>
            <w:pPr>
              <w:pStyle w:val="TableParagraph"/>
              <w:spacing w:before="156"/>
              <w:ind w:left="333" w:right="333"/>
              <w:jc w:val="center"/>
              <w:rPr>
                <w:sz w:val="28"/>
              </w:rPr>
            </w:pPr>
            <w:r>
              <w:rPr>
                <w:sz w:val="28"/>
              </w:rPr>
              <w:t>75</w:t>
            </w:r>
          </w:p>
          <w:p>
            <w:pPr>
              <w:pStyle w:val="TableParagraph"/>
              <w:spacing w:before="198"/>
              <w:ind w:left="333" w:right="333"/>
              <w:jc w:val="center"/>
              <w:rPr>
                <w:sz w:val="28"/>
              </w:rPr>
            </w:pPr>
            <w:r>
              <w:rPr>
                <w:sz w:val="28"/>
              </w:rPr>
              <w:t>(5,8%)</w:t>
            </w:r>
          </w:p>
        </w:tc>
      </w:tr>
      <w:tr>
        <w:trPr>
          <w:trHeight w:val="1376" w:hRule="exact"/>
        </w:trPr>
        <w:tc>
          <w:tcPr>
            <w:tcW w:w="1560" w:type="dxa"/>
          </w:tcPr>
          <w:p>
            <w:pPr>
              <w:pStyle w:val="TableParagraph"/>
              <w:ind w:left="359" w:right="277" w:hanging="68"/>
              <w:rPr>
                <w:sz w:val="28"/>
              </w:rPr>
            </w:pPr>
            <w:r>
              <w:rPr>
                <w:sz w:val="28"/>
              </w:rPr>
              <w:t>Лапаро- скопия</w:t>
            </w:r>
          </w:p>
          <w:p>
            <w:pPr>
              <w:pStyle w:val="TableParagraph"/>
              <w:spacing w:before="206"/>
              <w:ind w:left="103"/>
              <w:rPr>
                <w:sz w:val="28"/>
              </w:rPr>
            </w:pPr>
            <w:r>
              <w:rPr>
                <w:sz w:val="28"/>
              </w:rPr>
              <w:t>(n=756)</w:t>
            </w:r>
          </w:p>
        </w:tc>
        <w:tc>
          <w:tcPr>
            <w:tcW w:w="1417" w:type="dxa"/>
          </w:tcPr>
          <w:p>
            <w:pPr>
              <w:pStyle w:val="TableParagraph"/>
              <w:spacing w:before="154"/>
              <w:ind w:left="228" w:right="228"/>
              <w:jc w:val="center"/>
              <w:rPr>
                <w:sz w:val="28"/>
              </w:rPr>
            </w:pPr>
            <w:r>
              <w:rPr>
                <w:sz w:val="28"/>
              </w:rPr>
              <w:t>86</w:t>
            </w:r>
          </w:p>
          <w:p>
            <w:pPr>
              <w:pStyle w:val="TableParagraph"/>
              <w:spacing w:before="198"/>
              <w:ind w:left="228" w:right="229"/>
              <w:jc w:val="center"/>
              <w:rPr>
                <w:sz w:val="28"/>
              </w:rPr>
            </w:pPr>
            <w:r>
              <w:rPr>
                <w:sz w:val="28"/>
              </w:rPr>
              <w:t>(11,4%)</w:t>
            </w:r>
          </w:p>
        </w:tc>
        <w:tc>
          <w:tcPr>
            <w:tcW w:w="1560" w:type="dxa"/>
          </w:tcPr>
          <w:p>
            <w:pPr>
              <w:pStyle w:val="TableParagraph"/>
              <w:spacing w:before="154"/>
              <w:ind w:left="299" w:right="300"/>
              <w:jc w:val="center"/>
              <w:rPr>
                <w:sz w:val="28"/>
              </w:rPr>
            </w:pPr>
            <w:r>
              <w:rPr>
                <w:sz w:val="28"/>
              </w:rPr>
              <w:t>117</w:t>
            </w:r>
          </w:p>
          <w:p>
            <w:pPr>
              <w:pStyle w:val="TableParagraph"/>
              <w:spacing w:before="198"/>
              <w:ind w:left="299" w:right="300"/>
              <w:jc w:val="center"/>
              <w:rPr>
                <w:sz w:val="28"/>
              </w:rPr>
            </w:pPr>
            <w:r>
              <w:rPr>
                <w:sz w:val="28"/>
              </w:rPr>
              <w:t>(15,5%)</w:t>
            </w:r>
          </w:p>
        </w:tc>
        <w:tc>
          <w:tcPr>
            <w:tcW w:w="1738" w:type="dxa"/>
          </w:tcPr>
          <w:p>
            <w:pPr>
              <w:pStyle w:val="TableParagraph"/>
              <w:spacing w:before="154"/>
              <w:ind w:left="389" w:right="389"/>
              <w:jc w:val="center"/>
              <w:rPr>
                <w:sz w:val="28"/>
              </w:rPr>
            </w:pPr>
            <w:r>
              <w:rPr>
                <w:sz w:val="28"/>
              </w:rPr>
              <w:t>71</w:t>
            </w:r>
          </w:p>
          <w:p>
            <w:pPr>
              <w:pStyle w:val="TableParagraph"/>
              <w:spacing w:before="198"/>
              <w:ind w:left="389" w:right="389"/>
              <w:jc w:val="center"/>
              <w:rPr>
                <w:sz w:val="28"/>
              </w:rPr>
            </w:pPr>
            <w:r>
              <w:rPr>
                <w:sz w:val="28"/>
              </w:rPr>
              <w:t>(9,4%)</w:t>
            </w:r>
          </w:p>
        </w:tc>
        <w:tc>
          <w:tcPr>
            <w:tcW w:w="1597" w:type="dxa"/>
          </w:tcPr>
          <w:p>
            <w:pPr>
              <w:pStyle w:val="TableParagraph"/>
              <w:spacing w:before="154"/>
              <w:ind w:left="388" w:right="387"/>
              <w:jc w:val="center"/>
              <w:rPr>
                <w:sz w:val="28"/>
              </w:rPr>
            </w:pPr>
            <w:r>
              <w:rPr>
                <w:sz w:val="28"/>
              </w:rPr>
              <w:t>25</w:t>
            </w:r>
          </w:p>
          <w:p>
            <w:pPr>
              <w:pStyle w:val="TableParagraph"/>
              <w:spacing w:before="198"/>
              <w:ind w:left="389" w:right="387"/>
              <w:jc w:val="center"/>
              <w:rPr>
                <w:sz w:val="28"/>
              </w:rPr>
            </w:pPr>
            <w:r>
              <w:rPr>
                <w:sz w:val="28"/>
              </w:rPr>
              <w:t>(3,3%)</w:t>
            </w:r>
          </w:p>
        </w:tc>
        <w:tc>
          <w:tcPr>
            <w:tcW w:w="1486" w:type="dxa"/>
          </w:tcPr>
          <w:p>
            <w:pPr>
              <w:pStyle w:val="TableParagraph"/>
              <w:spacing w:before="154"/>
              <w:ind w:left="333" w:right="333"/>
              <w:jc w:val="center"/>
              <w:rPr>
                <w:sz w:val="28"/>
              </w:rPr>
            </w:pPr>
            <w:r>
              <w:rPr>
                <w:sz w:val="28"/>
              </w:rPr>
              <w:t>56</w:t>
            </w:r>
          </w:p>
          <w:p>
            <w:pPr>
              <w:pStyle w:val="TableParagraph"/>
              <w:spacing w:before="198"/>
              <w:ind w:left="333" w:right="333"/>
              <w:jc w:val="center"/>
              <w:rPr>
                <w:sz w:val="28"/>
              </w:rPr>
            </w:pPr>
            <w:r>
              <w:rPr>
                <w:sz w:val="28"/>
              </w:rPr>
              <w:t>(7,4%)</w:t>
            </w:r>
          </w:p>
        </w:tc>
      </w:tr>
    </w:tbl>
    <w:p>
      <w:pPr>
        <w:pStyle w:val="BodyText"/>
        <w:rPr>
          <w:sz w:val="30"/>
        </w:rPr>
      </w:pPr>
    </w:p>
    <w:p>
      <w:pPr>
        <w:pStyle w:val="BodyText"/>
        <w:spacing w:before="10"/>
      </w:pPr>
    </w:p>
    <w:p>
      <w:pPr>
        <w:pStyle w:val="BodyText"/>
        <w:spacing w:line="360" w:lineRule="auto"/>
        <w:ind w:left="122" w:right="405" w:firstLine="719"/>
        <w:jc w:val="both"/>
      </w:pPr>
      <w:r>
        <w:rPr/>
        <w:t>Нарушение углеводного обмена различной степени выраженности выявлено у 34% и 39% больных обеих групп. Сахарный диабет и  патология щитовидной железы требовали проведения предоперационной коррекции, но не явились противопоказанием к выполнению лапароскопической</w:t>
      </w:r>
      <w:r>
        <w:rPr>
          <w:spacing w:val="-14"/>
        </w:rPr>
        <w:t> </w:t>
      </w:r>
      <w:r>
        <w:rPr/>
        <w:t>операции.</w:t>
      </w:r>
    </w:p>
    <w:p>
      <w:pPr>
        <w:pStyle w:val="BodyText"/>
        <w:spacing w:line="360" w:lineRule="auto" w:before="204"/>
        <w:ind w:left="122" w:right="405" w:firstLine="719"/>
        <w:jc w:val="both"/>
      </w:pPr>
      <w:r>
        <w:rPr/>
        <w:t>В отличии от рассмотренных выше декомпенсированных заболеваний сердечно-сосудистой и легочной систем, определяющих высокий риск создания пневмоперитонеума и длительного нахождения больных в положении Тренделенбурга, ожирение, наоборот, может оказаться показанием к использованию лапароскопического доступа.</w:t>
      </w:r>
    </w:p>
    <w:p>
      <w:pPr>
        <w:spacing w:after="0" w:line="360" w:lineRule="auto"/>
        <w:jc w:val="both"/>
        <w:sectPr>
          <w:pgSz w:w="11900" w:h="16850"/>
          <w:pgMar w:header="712" w:footer="0" w:top="1020" w:bottom="280" w:left="1580" w:right="720"/>
        </w:sectPr>
      </w:pPr>
    </w:p>
    <w:p>
      <w:pPr>
        <w:pStyle w:val="BodyText"/>
        <w:rPr>
          <w:sz w:val="20"/>
        </w:rPr>
      </w:pPr>
    </w:p>
    <w:p>
      <w:pPr>
        <w:pStyle w:val="BodyText"/>
        <w:rPr>
          <w:sz w:val="20"/>
        </w:rPr>
      </w:pPr>
    </w:p>
    <w:p>
      <w:pPr>
        <w:pStyle w:val="BodyText"/>
        <w:spacing w:line="352" w:lineRule="auto" w:before="224"/>
        <w:ind w:left="122" w:right="260" w:firstLine="719"/>
        <w:jc w:val="both"/>
      </w:pPr>
      <w:r>
        <w:rPr/>
        <w:t>Распределение больных раком тела матки по отсутствию или наличию ожирения показано в таблице. Расчет данного показателя производился на основании определения индекса массы тела в соответствии с рекомендацией ВОЗ по формуле: масса тела (кг) / рост (м)</w:t>
      </w:r>
      <w:r>
        <w:rPr>
          <w:position w:val="13"/>
          <w:sz w:val="18"/>
        </w:rPr>
        <w:t>2 </w:t>
      </w:r>
      <w:r>
        <w:rPr/>
        <w:t>(Табл. 3.4).</w:t>
      </w:r>
    </w:p>
    <w:p>
      <w:pPr>
        <w:pStyle w:val="BodyText"/>
        <w:spacing w:before="214"/>
        <w:ind w:left="861" w:firstLine="6911"/>
      </w:pPr>
      <w:r>
        <w:rPr/>
        <w:t>Таблица 3.4</w:t>
      </w:r>
    </w:p>
    <w:p>
      <w:pPr>
        <w:pStyle w:val="BodyText"/>
        <w:spacing w:before="6"/>
        <w:rPr>
          <w:sz w:val="31"/>
        </w:rPr>
      </w:pPr>
    </w:p>
    <w:p>
      <w:pPr>
        <w:pStyle w:val="BodyText"/>
        <w:spacing w:line="322" w:lineRule="exact"/>
        <w:ind w:left="861"/>
      </w:pPr>
      <w:r>
        <w:rPr/>
        <w:t>Распределение больных раком эндометрия по степени выраженности</w:t>
      </w:r>
    </w:p>
    <w:p>
      <w:pPr>
        <w:pStyle w:val="BodyText"/>
        <w:ind w:left="4052" w:right="4191"/>
        <w:jc w:val="center"/>
      </w:pPr>
      <w:r>
        <w:rPr/>
        <w:pict>
          <v:line style="position:absolute;mso-position-horizontal-relative:page;mso-position-vertical-relative:paragraph;z-index:-339376" from="85.344002pt,26.990318pt" to="162.860002pt,157.450318pt" stroked="true" strokeweight=".48pt" strokecolor="#000000">
            <v:stroke dashstyle="solid"/>
            <w10:wrap type="none"/>
          </v:line>
        </w:pict>
      </w:r>
      <w:r>
        <w:rPr/>
        <w:t>ожирения</w:t>
      </w:r>
    </w:p>
    <w:p>
      <w:pPr>
        <w:pStyle w:val="BodyText"/>
        <w:spacing w:before="10"/>
        <w:rPr>
          <w:sz w:val="1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1417"/>
        <w:gridCol w:w="1418"/>
        <w:gridCol w:w="1702"/>
        <w:gridCol w:w="1561"/>
        <w:gridCol w:w="1558"/>
      </w:tblGrid>
      <w:tr>
        <w:trPr>
          <w:trHeight w:val="1176" w:hRule="exact"/>
        </w:trPr>
        <w:tc>
          <w:tcPr>
            <w:tcW w:w="1560" w:type="dxa"/>
            <w:vMerge w:val="restart"/>
          </w:tcPr>
          <w:p>
            <w:pPr>
              <w:pStyle w:val="TableParagraph"/>
              <w:spacing w:line="317" w:lineRule="exact"/>
              <w:ind w:left="103"/>
              <w:rPr>
                <w:sz w:val="28"/>
              </w:rPr>
            </w:pPr>
            <w:r>
              <w:rPr>
                <w:sz w:val="28"/>
              </w:rPr>
              <w:t>Ожирение</w:t>
            </w:r>
          </w:p>
          <w:p>
            <w:pPr>
              <w:pStyle w:val="TableParagraph"/>
              <w:spacing w:before="199"/>
              <w:ind w:left="590"/>
              <w:rPr>
                <w:sz w:val="28"/>
              </w:rPr>
            </w:pPr>
            <w:r>
              <w:rPr>
                <w:sz w:val="28"/>
              </w:rPr>
              <w:t>(ИМТ)</w:t>
            </w:r>
          </w:p>
          <w:p>
            <w:pPr>
              <w:pStyle w:val="TableParagraph"/>
              <w:rPr>
                <w:sz w:val="30"/>
              </w:rPr>
            </w:pPr>
          </w:p>
          <w:p>
            <w:pPr>
              <w:pStyle w:val="TableParagraph"/>
              <w:rPr>
                <w:sz w:val="30"/>
              </w:rPr>
            </w:pPr>
          </w:p>
          <w:p>
            <w:pPr>
              <w:pStyle w:val="TableParagraph"/>
              <w:rPr>
                <w:sz w:val="30"/>
              </w:rPr>
            </w:pPr>
          </w:p>
          <w:p>
            <w:pPr>
              <w:pStyle w:val="TableParagraph"/>
              <w:spacing w:before="210"/>
              <w:ind w:left="103"/>
              <w:rPr>
                <w:sz w:val="28"/>
              </w:rPr>
            </w:pPr>
            <w:r>
              <w:rPr>
                <w:sz w:val="28"/>
              </w:rPr>
              <w:t>Группы</w:t>
            </w:r>
          </w:p>
        </w:tc>
        <w:tc>
          <w:tcPr>
            <w:tcW w:w="1417" w:type="dxa"/>
          </w:tcPr>
          <w:p>
            <w:pPr>
              <w:pStyle w:val="TableParagraph"/>
              <w:spacing w:before="6"/>
              <w:rPr>
                <w:sz w:val="27"/>
              </w:rPr>
            </w:pPr>
          </w:p>
          <w:p>
            <w:pPr>
              <w:pStyle w:val="TableParagraph"/>
              <w:ind w:left="228" w:right="229"/>
              <w:jc w:val="center"/>
              <w:rPr>
                <w:sz w:val="28"/>
              </w:rPr>
            </w:pPr>
            <w:r>
              <w:rPr>
                <w:sz w:val="28"/>
              </w:rPr>
              <w:t>Норма</w:t>
            </w:r>
          </w:p>
        </w:tc>
        <w:tc>
          <w:tcPr>
            <w:tcW w:w="1418" w:type="dxa"/>
          </w:tcPr>
          <w:p>
            <w:pPr>
              <w:pStyle w:val="TableParagraph"/>
              <w:ind w:left="182" w:right="181"/>
              <w:jc w:val="center"/>
              <w:rPr>
                <w:sz w:val="28"/>
              </w:rPr>
            </w:pPr>
            <w:r>
              <w:rPr>
                <w:sz w:val="28"/>
              </w:rPr>
              <w:t>Избыток массы тела</w:t>
            </w:r>
          </w:p>
        </w:tc>
        <w:tc>
          <w:tcPr>
            <w:tcW w:w="1702" w:type="dxa"/>
          </w:tcPr>
          <w:p>
            <w:pPr>
              <w:pStyle w:val="TableParagraph"/>
              <w:spacing w:line="388" w:lineRule="auto" w:before="55"/>
              <w:ind w:left="290" w:right="211" w:hanging="63"/>
              <w:rPr>
                <w:sz w:val="28"/>
              </w:rPr>
            </w:pPr>
            <w:r>
              <w:rPr>
                <w:sz w:val="28"/>
              </w:rPr>
              <w:t>Ожирение I степени</w:t>
            </w:r>
          </w:p>
        </w:tc>
        <w:tc>
          <w:tcPr>
            <w:tcW w:w="1561" w:type="dxa"/>
          </w:tcPr>
          <w:p>
            <w:pPr>
              <w:pStyle w:val="TableParagraph"/>
              <w:spacing w:line="388" w:lineRule="auto" w:before="55"/>
              <w:ind w:left="172" w:right="140" w:hanging="15"/>
              <w:rPr>
                <w:sz w:val="28"/>
              </w:rPr>
            </w:pPr>
            <w:r>
              <w:rPr>
                <w:sz w:val="28"/>
              </w:rPr>
              <w:t>Ожирение II степени</w:t>
            </w:r>
          </w:p>
        </w:tc>
        <w:tc>
          <w:tcPr>
            <w:tcW w:w="1558" w:type="dxa"/>
          </w:tcPr>
          <w:p>
            <w:pPr>
              <w:pStyle w:val="TableParagraph"/>
              <w:spacing w:line="388" w:lineRule="auto" w:before="55"/>
              <w:ind w:left="124" w:right="109" w:firstLine="31"/>
              <w:rPr>
                <w:sz w:val="28"/>
              </w:rPr>
            </w:pPr>
            <w:r>
              <w:rPr>
                <w:sz w:val="28"/>
              </w:rPr>
              <w:t>Ожирение III степени</w:t>
            </w:r>
          </w:p>
        </w:tc>
      </w:tr>
      <w:tr>
        <w:trPr>
          <w:trHeight w:val="854" w:hRule="exact"/>
        </w:trPr>
        <w:tc>
          <w:tcPr>
            <w:tcW w:w="1560" w:type="dxa"/>
            <w:vMerge/>
          </w:tcPr>
          <w:p>
            <w:pPr/>
          </w:p>
        </w:tc>
        <w:tc>
          <w:tcPr>
            <w:tcW w:w="1417" w:type="dxa"/>
          </w:tcPr>
          <w:p>
            <w:pPr>
              <w:pStyle w:val="TableParagraph"/>
              <w:spacing w:line="317" w:lineRule="exact"/>
              <w:ind w:left="103"/>
              <w:rPr>
                <w:sz w:val="28"/>
              </w:rPr>
            </w:pPr>
            <w:r>
              <w:rPr>
                <w:sz w:val="28"/>
              </w:rPr>
              <w:t>(18,5-</w:t>
            </w:r>
          </w:p>
          <w:p>
            <w:pPr>
              <w:pStyle w:val="TableParagraph"/>
              <w:ind w:left="103"/>
              <w:rPr>
                <w:sz w:val="28"/>
              </w:rPr>
            </w:pPr>
            <w:r>
              <w:rPr>
                <w:sz w:val="28"/>
              </w:rPr>
              <w:t>24,9)</w:t>
            </w:r>
          </w:p>
        </w:tc>
        <w:tc>
          <w:tcPr>
            <w:tcW w:w="1418" w:type="dxa"/>
          </w:tcPr>
          <w:p>
            <w:pPr>
              <w:pStyle w:val="TableParagraph"/>
              <w:spacing w:line="317" w:lineRule="exact"/>
              <w:ind w:left="103"/>
              <w:rPr>
                <w:sz w:val="28"/>
              </w:rPr>
            </w:pPr>
            <w:r>
              <w:rPr>
                <w:sz w:val="28"/>
              </w:rPr>
              <w:t>(25,0 –</w:t>
            </w:r>
          </w:p>
          <w:p>
            <w:pPr>
              <w:pStyle w:val="TableParagraph"/>
              <w:ind w:left="103"/>
              <w:rPr>
                <w:sz w:val="28"/>
              </w:rPr>
            </w:pPr>
            <w:r>
              <w:rPr>
                <w:sz w:val="28"/>
              </w:rPr>
              <w:t>29,9)</w:t>
            </w:r>
          </w:p>
        </w:tc>
        <w:tc>
          <w:tcPr>
            <w:tcW w:w="1702" w:type="dxa"/>
          </w:tcPr>
          <w:p>
            <w:pPr>
              <w:pStyle w:val="TableParagraph"/>
              <w:spacing w:before="156"/>
              <w:ind w:left="103" w:right="102"/>
              <w:jc w:val="center"/>
              <w:rPr>
                <w:sz w:val="28"/>
              </w:rPr>
            </w:pPr>
            <w:r>
              <w:rPr>
                <w:sz w:val="28"/>
              </w:rPr>
              <w:t>(30,0 – 34,9)</w:t>
            </w:r>
          </w:p>
        </w:tc>
        <w:tc>
          <w:tcPr>
            <w:tcW w:w="1561" w:type="dxa"/>
          </w:tcPr>
          <w:p>
            <w:pPr>
              <w:pStyle w:val="TableParagraph"/>
              <w:spacing w:line="317" w:lineRule="exact"/>
              <w:ind w:left="5" w:right="6"/>
              <w:jc w:val="center"/>
              <w:rPr>
                <w:sz w:val="28"/>
              </w:rPr>
            </w:pPr>
            <w:r>
              <w:rPr>
                <w:sz w:val="28"/>
              </w:rPr>
              <w:t>(35,0 –</w:t>
            </w:r>
          </w:p>
          <w:p>
            <w:pPr>
              <w:pStyle w:val="TableParagraph"/>
              <w:ind w:left="5" w:right="6"/>
              <w:jc w:val="center"/>
              <w:rPr>
                <w:sz w:val="28"/>
              </w:rPr>
            </w:pPr>
            <w:r>
              <w:rPr>
                <w:sz w:val="28"/>
              </w:rPr>
              <w:t>39,9)</w:t>
            </w:r>
          </w:p>
        </w:tc>
        <w:tc>
          <w:tcPr>
            <w:tcW w:w="1558" w:type="dxa"/>
          </w:tcPr>
          <w:p>
            <w:pPr>
              <w:pStyle w:val="TableParagraph"/>
              <w:spacing w:before="156"/>
              <w:ind w:left="267" w:right="269"/>
              <w:jc w:val="center"/>
              <w:rPr>
                <w:sz w:val="28"/>
              </w:rPr>
            </w:pPr>
            <w:r>
              <w:rPr>
                <w:sz w:val="28"/>
              </w:rPr>
              <w:t>≥ 40,0</w:t>
            </w:r>
          </w:p>
        </w:tc>
      </w:tr>
      <w:tr>
        <w:trPr>
          <w:trHeight w:val="591" w:hRule="exact"/>
        </w:trPr>
        <w:tc>
          <w:tcPr>
            <w:tcW w:w="1560" w:type="dxa"/>
            <w:vMerge/>
          </w:tcPr>
          <w:p>
            <w:pPr/>
          </w:p>
        </w:tc>
        <w:tc>
          <w:tcPr>
            <w:tcW w:w="1417" w:type="dxa"/>
          </w:tcPr>
          <w:p>
            <w:pPr>
              <w:pStyle w:val="TableParagraph"/>
              <w:spacing w:before="21"/>
              <w:ind w:left="228" w:right="227"/>
              <w:jc w:val="center"/>
              <w:rPr>
                <w:sz w:val="28"/>
              </w:rPr>
            </w:pPr>
            <w:r>
              <w:rPr>
                <w:sz w:val="28"/>
              </w:rPr>
              <w:t>n (%)</w:t>
            </w:r>
          </w:p>
        </w:tc>
        <w:tc>
          <w:tcPr>
            <w:tcW w:w="1418" w:type="dxa"/>
          </w:tcPr>
          <w:p>
            <w:pPr>
              <w:pStyle w:val="TableParagraph"/>
              <w:spacing w:before="21"/>
              <w:ind w:left="388"/>
              <w:rPr>
                <w:sz w:val="28"/>
              </w:rPr>
            </w:pPr>
            <w:r>
              <w:rPr>
                <w:sz w:val="28"/>
              </w:rPr>
              <w:t>n (%)</w:t>
            </w:r>
          </w:p>
        </w:tc>
        <w:tc>
          <w:tcPr>
            <w:tcW w:w="1702" w:type="dxa"/>
          </w:tcPr>
          <w:p>
            <w:pPr>
              <w:pStyle w:val="TableParagraph"/>
              <w:spacing w:before="21"/>
              <w:ind w:left="102" w:right="102"/>
              <w:jc w:val="center"/>
              <w:rPr>
                <w:sz w:val="28"/>
              </w:rPr>
            </w:pPr>
            <w:r>
              <w:rPr>
                <w:sz w:val="28"/>
              </w:rPr>
              <w:t>n (%)</w:t>
            </w:r>
          </w:p>
        </w:tc>
        <w:tc>
          <w:tcPr>
            <w:tcW w:w="1561" w:type="dxa"/>
          </w:tcPr>
          <w:p>
            <w:pPr>
              <w:pStyle w:val="TableParagraph"/>
              <w:spacing w:before="21"/>
              <w:ind w:left="460"/>
              <w:rPr>
                <w:sz w:val="28"/>
              </w:rPr>
            </w:pPr>
            <w:r>
              <w:rPr>
                <w:sz w:val="28"/>
              </w:rPr>
              <w:t>n (%)</w:t>
            </w:r>
          </w:p>
        </w:tc>
        <w:tc>
          <w:tcPr>
            <w:tcW w:w="1558" w:type="dxa"/>
          </w:tcPr>
          <w:p>
            <w:pPr>
              <w:pStyle w:val="TableParagraph"/>
              <w:spacing w:before="21"/>
              <w:ind w:left="269" w:right="269"/>
              <w:jc w:val="center"/>
              <w:rPr>
                <w:sz w:val="28"/>
              </w:rPr>
            </w:pPr>
            <w:r>
              <w:rPr>
                <w:sz w:val="28"/>
              </w:rPr>
              <w:t>n (%)</w:t>
            </w:r>
          </w:p>
        </w:tc>
      </w:tr>
      <w:tr>
        <w:trPr>
          <w:trHeight w:val="1963" w:hRule="exact"/>
        </w:trPr>
        <w:tc>
          <w:tcPr>
            <w:tcW w:w="1560" w:type="dxa"/>
          </w:tcPr>
          <w:p>
            <w:pPr>
              <w:pStyle w:val="TableParagraph"/>
              <w:spacing w:line="388" w:lineRule="auto" w:before="187"/>
              <w:ind w:left="85" w:right="84"/>
              <w:jc w:val="center"/>
              <w:rPr>
                <w:sz w:val="28"/>
              </w:rPr>
            </w:pPr>
            <w:r>
              <w:rPr>
                <w:sz w:val="28"/>
              </w:rPr>
              <w:t>Лапаро- томия (n=1289)</w:t>
            </w:r>
          </w:p>
        </w:tc>
        <w:tc>
          <w:tcPr>
            <w:tcW w:w="1417" w:type="dxa"/>
          </w:tcPr>
          <w:p>
            <w:pPr>
              <w:pStyle w:val="TableParagraph"/>
              <w:spacing w:before="9"/>
              <w:rPr>
                <w:sz w:val="38"/>
              </w:rPr>
            </w:pPr>
          </w:p>
          <w:p>
            <w:pPr>
              <w:pStyle w:val="TableParagraph"/>
              <w:ind w:left="228" w:right="228"/>
              <w:jc w:val="center"/>
              <w:rPr>
                <w:sz w:val="28"/>
              </w:rPr>
            </w:pPr>
            <w:r>
              <w:rPr>
                <w:sz w:val="28"/>
              </w:rPr>
              <w:t>103</w:t>
            </w:r>
          </w:p>
          <w:p>
            <w:pPr>
              <w:pStyle w:val="TableParagraph"/>
              <w:spacing w:before="200"/>
              <w:ind w:left="228" w:right="228"/>
              <w:jc w:val="center"/>
              <w:rPr>
                <w:sz w:val="28"/>
              </w:rPr>
            </w:pPr>
            <w:r>
              <w:rPr>
                <w:sz w:val="28"/>
              </w:rPr>
              <w:t>(8,0%)</w:t>
            </w:r>
          </w:p>
        </w:tc>
        <w:tc>
          <w:tcPr>
            <w:tcW w:w="1418" w:type="dxa"/>
          </w:tcPr>
          <w:p>
            <w:pPr>
              <w:pStyle w:val="TableParagraph"/>
              <w:spacing w:before="9"/>
              <w:rPr>
                <w:sz w:val="38"/>
              </w:rPr>
            </w:pPr>
          </w:p>
          <w:p>
            <w:pPr>
              <w:pStyle w:val="TableParagraph"/>
              <w:ind w:left="181" w:right="181"/>
              <w:jc w:val="center"/>
              <w:rPr>
                <w:sz w:val="28"/>
              </w:rPr>
            </w:pPr>
            <w:r>
              <w:rPr>
                <w:sz w:val="28"/>
              </w:rPr>
              <w:t>334</w:t>
            </w:r>
          </w:p>
          <w:p>
            <w:pPr>
              <w:pStyle w:val="TableParagraph"/>
              <w:spacing w:before="200"/>
              <w:ind w:left="182" w:right="181"/>
              <w:jc w:val="center"/>
              <w:rPr>
                <w:sz w:val="28"/>
              </w:rPr>
            </w:pPr>
            <w:r>
              <w:rPr>
                <w:sz w:val="28"/>
              </w:rPr>
              <w:t>(25,9%)</w:t>
            </w:r>
          </w:p>
        </w:tc>
        <w:tc>
          <w:tcPr>
            <w:tcW w:w="1702" w:type="dxa"/>
          </w:tcPr>
          <w:p>
            <w:pPr>
              <w:pStyle w:val="TableParagraph"/>
              <w:spacing w:before="9"/>
              <w:rPr>
                <w:sz w:val="38"/>
              </w:rPr>
            </w:pPr>
          </w:p>
          <w:p>
            <w:pPr>
              <w:pStyle w:val="TableParagraph"/>
              <w:ind w:left="103" w:right="102"/>
              <w:jc w:val="center"/>
              <w:rPr>
                <w:sz w:val="28"/>
              </w:rPr>
            </w:pPr>
            <w:r>
              <w:rPr>
                <w:sz w:val="28"/>
              </w:rPr>
              <w:t>463</w:t>
            </w:r>
          </w:p>
          <w:p>
            <w:pPr>
              <w:pStyle w:val="TableParagraph"/>
              <w:spacing w:before="200"/>
              <w:ind w:left="102" w:right="102"/>
              <w:jc w:val="center"/>
              <w:rPr>
                <w:sz w:val="28"/>
              </w:rPr>
            </w:pPr>
            <w:r>
              <w:rPr>
                <w:sz w:val="28"/>
              </w:rPr>
              <w:t>(36%)</w:t>
            </w:r>
          </w:p>
        </w:tc>
        <w:tc>
          <w:tcPr>
            <w:tcW w:w="1561" w:type="dxa"/>
          </w:tcPr>
          <w:p>
            <w:pPr>
              <w:pStyle w:val="TableParagraph"/>
              <w:spacing w:before="9"/>
              <w:rPr>
                <w:sz w:val="38"/>
              </w:rPr>
            </w:pPr>
          </w:p>
          <w:p>
            <w:pPr>
              <w:pStyle w:val="TableParagraph"/>
              <w:ind w:left="6" w:right="6"/>
              <w:jc w:val="center"/>
              <w:rPr>
                <w:sz w:val="28"/>
              </w:rPr>
            </w:pPr>
            <w:r>
              <w:rPr>
                <w:sz w:val="28"/>
              </w:rPr>
              <w:t>244</w:t>
            </w:r>
          </w:p>
          <w:p>
            <w:pPr>
              <w:pStyle w:val="TableParagraph"/>
              <w:spacing w:before="200"/>
              <w:ind w:left="5" w:right="6"/>
              <w:jc w:val="center"/>
              <w:rPr>
                <w:sz w:val="28"/>
              </w:rPr>
            </w:pPr>
            <w:r>
              <w:rPr>
                <w:sz w:val="28"/>
              </w:rPr>
              <w:t>(18,9%)</w:t>
            </w:r>
          </w:p>
        </w:tc>
        <w:tc>
          <w:tcPr>
            <w:tcW w:w="1558" w:type="dxa"/>
          </w:tcPr>
          <w:p>
            <w:pPr>
              <w:pStyle w:val="TableParagraph"/>
              <w:spacing w:before="9"/>
              <w:rPr>
                <w:sz w:val="38"/>
              </w:rPr>
            </w:pPr>
          </w:p>
          <w:p>
            <w:pPr>
              <w:pStyle w:val="TableParagraph"/>
              <w:ind w:left="268" w:right="269"/>
              <w:jc w:val="center"/>
              <w:rPr>
                <w:sz w:val="28"/>
              </w:rPr>
            </w:pPr>
            <w:r>
              <w:rPr>
                <w:sz w:val="28"/>
              </w:rPr>
              <w:t>145</w:t>
            </w:r>
          </w:p>
          <w:p>
            <w:pPr>
              <w:pStyle w:val="TableParagraph"/>
              <w:spacing w:before="200"/>
              <w:ind w:left="268" w:right="269"/>
              <w:jc w:val="center"/>
              <w:rPr>
                <w:sz w:val="28"/>
              </w:rPr>
            </w:pPr>
            <w:r>
              <w:rPr>
                <w:sz w:val="28"/>
              </w:rPr>
              <w:t>(11,2%)</w:t>
            </w:r>
          </w:p>
        </w:tc>
      </w:tr>
      <w:tr>
        <w:trPr>
          <w:trHeight w:val="1594" w:hRule="exact"/>
        </w:trPr>
        <w:tc>
          <w:tcPr>
            <w:tcW w:w="1560" w:type="dxa"/>
          </w:tcPr>
          <w:p>
            <w:pPr>
              <w:pStyle w:val="TableParagraph"/>
              <w:spacing w:before="101"/>
              <w:ind w:left="321" w:right="276" w:hanging="29"/>
              <w:rPr>
                <w:sz w:val="28"/>
              </w:rPr>
            </w:pPr>
            <w:r>
              <w:rPr>
                <w:sz w:val="28"/>
              </w:rPr>
              <w:t>Лапаро- скопия</w:t>
            </w:r>
          </w:p>
          <w:p>
            <w:pPr>
              <w:pStyle w:val="TableParagraph"/>
              <w:spacing w:before="202"/>
              <w:ind w:left="321"/>
              <w:rPr>
                <w:sz w:val="28"/>
              </w:rPr>
            </w:pPr>
            <w:r>
              <w:rPr>
                <w:sz w:val="28"/>
              </w:rPr>
              <w:t>(n=756)</w:t>
            </w:r>
          </w:p>
        </w:tc>
        <w:tc>
          <w:tcPr>
            <w:tcW w:w="1417" w:type="dxa"/>
          </w:tcPr>
          <w:p>
            <w:pPr>
              <w:pStyle w:val="TableParagraph"/>
              <w:spacing w:before="6"/>
              <w:rPr>
                <w:sz w:val="31"/>
              </w:rPr>
            </w:pPr>
          </w:p>
          <w:p>
            <w:pPr>
              <w:pStyle w:val="TableParagraph"/>
              <w:spacing w:line="322" w:lineRule="exact"/>
              <w:ind w:left="228" w:right="228"/>
              <w:jc w:val="center"/>
              <w:rPr>
                <w:sz w:val="28"/>
              </w:rPr>
            </w:pPr>
            <w:r>
              <w:rPr>
                <w:sz w:val="28"/>
              </w:rPr>
              <w:t>121</w:t>
            </w:r>
          </w:p>
          <w:p>
            <w:pPr>
              <w:pStyle w:val="TableParagraph"/>
              <w:ind w:left="228" w:right="229"/>
              <w:jc w:val="center"/>
              <w:rPr>
                <w:sz w:val="28"/>
              </w:rPr>
            </w:pPr>
            <w:r>
              <w:rPr>
                <w:sz w:val="28"/>
              </w:rPr>
              <w:t>(16,0%)</w:t>
            </w:r>
          </w:p>
        </w:tc>
        <w:tc>
          <w:tcPr>
            <w:tcW w:w="1418" w:type="dxa"/>
          </w:tcPr>
          <w:p>
            <w:pPr>
              <w:pStyle w:val="TableParagraph"/>
              <w:spacing w:before="261"/>
              <w:ind w:left="181" w:right="181"/>
              <w:jc w:val="center"/>
              <w:rPr>
                <w:sz w:val="28"/>
              </w:rPr>
            </w:pPr>
            <w:r>
              <w:rPr>
                <w:sz w:val="28"/>
              </w:rPr>
              <w:t>143</w:t>
            </w:r>
          </w:p>
          <w:p>
            <w:pPr>
              <w:pStyle w:val="TableParagraph"/>
              <w:spacing w:before="200"/>
              <w:ind w:left="182" w:right="181"/>
              <w:jc w:val="center"/>
              <w:rPr>
                <w:sz w:val="28"/>
              </w:rPr>
            </w:pPr>
            <w:r>
              <w:rPr>
                <w:sz w:val="28"/>
              </w:rPr>
              <w:t>(18,9%)</w:t>
            </w:r>
          </w:p>
        </w:tc>
        <w:tc>
          <w:tcPr>
            <w:tcW w:w="1702" w:type="dxa"/>
          </w:tcPr>
          <w:p>
            <w:pPr>
              <w:pStyle w:val="TableParagraph"/>
              <w:spacing w:before="261"/>
              <w:ind w:left="103" w:right="102"/>
              <w:jc w:val="center"/>
              <w:rPr>
                <w:sz w:val="28"/>
              </w:rPr>
            </w:pPr>
            <w:r>
              <w:rPr>
                <w:sz w:val="28"/>
              </w:rPr>
              <w:t>257</w:t>
            </w:r>
          </w:p>
          <w:p>
            <w:pPr>
              <w:pStyle w:val="TableParagraph"/>
              <w:spacing w:before="200"/>
              <w:ind w:left="103" w:right="102"/>
              <w:jc w:val="center"/>
              <w:rPr>
                <w:sz w:val="28"/>
              </w:rPr>
            </w:pPr>
            <w:r>
              <w:rPr>
                <w:sz w:val="28"/>
              </w:rPr>
              <w:t>(34,0%)</w:t>
            </w:r>
          </w:p>
        </w:tc>
        <w:tc>
          <w:tcPr>
            <w:tcW w:w="1561" w:type="dxa"/>
          </w:tcPr>
          <w:p>
            <w:pPr>
              <w:pStyle w:val="TableParagraph"/>
              <w:spacing w:before="261"/>
              <w:ind w:left="6" w:right="6"/>
              <w:jc w:val="center"/>
              <w:rPr>
                <w:sz w:val="28"/>
              </w:rPr>
            </w:pPr>
            <w:r>
              <w:rPr>
                <w:sz w:val="28"/>
              </w:rPr>
              <w:t>129</w:t>
            </w:r>
          </w:p>
          <w:p>
            <w:pPr>
              <w:pStyle w:val="TableParagraph"/>
              <w:spacing w:before="200"/>
              <w:ind w:left="5" w:right="6"/>
              <w:jc w:val="center"/>
              <w:rPr>
                <w:sz w:val="28"/>
              </w:rPr>
            </w:pPr>
            <w:r>
              <w:rPr>
                <w:sz w:val="28"/>
              </w:rPr>
              <w:t>(17,1%)</w:t>
            </w:r>
          </w:p>
        </w:tc>
        <w:tc>
          <w:tcPr>
            <w:tcW w:w="1558" w:type="dxa"/>
          </w:tcPr>
          <w:p>
            <w:pPr>
              <w:pStyle w:val="TableParagraph"/>
              <w:spacing w:before="261"/>
              <w:ind w:left="268" w:right="269"/>
              <w:jc w:val="center"/>
              <w:rPr>
                <w:sz w:val="28"/>
              </w:rPr>
            </w:pPr>
            <w:r>
              <w:rPr>
                <w:sz w:val="28"/>
              </w:rPr>
              <w:t>106</w:t>
            </w:r>
          </w:p>
          <w:p>
            <w:pPr>
              <w:pStyle w:val="TableParagraph"/>
              <w:spacing w:before="200"/>
              <w:ind w:left="268" w:right="269"/>
              <w:jc w:val="center"/>
              <w:rPr>
                <w:sz w:val="28"/>
              </w:rPr>
            </w:pPr>
            <w:r>
              <w:rPr>
                <w:sz w:val="28"/>
              </w:rPr>
              <w:t>(14,0%)</w:t>
            </w:r>
          </w:p>
        </w:tc>
      </w:tr>
    </w:tbl>
    <w:p>
      <w:pPr>
        <w:pStyle w:val="BodyText"/>
        <w:rPr>
          <w:sz w:val="30"/>
        </w:rPr>
      </w:pPr>
    </w:p>
    <w:p>
      <w:pPr>
        <w:pStyle w:val="BodyText"/>
        <w:spacing w:before="7"/>
      </w:pPr>
    </w:p>
    <w:p>
      <w:pPr>
        <w:pStyle w:val="BodyText"/>
        <w:spacing w:line="360" w:lineRule="auto"/>
        <w:ind w:left="122" w:right="262" w:firstLine="719"/>
        <w:jc w:val="both"/>
      </w:pPr>
      <w:r>
        <w:rPr/>
        <w:t>Из данных таблицы видно, что около 90 % больных имели повышенную массу тела. Чаще всего в обеих группах встречалось ожирение I степени (36% и 34% соответственно). Ожирение III степени выявлено у 11% пациенток 1-й группы и 14% пациенток 2-й группы. При достаточном опыте оперирующего хирурга негативные стороны малоинвазивной операции могут быть сведены к минимуму путем</w:t>
      </w:r>
    </w:p>
    <w:p>
      <w:pPr>
        <w:spacing w:after="0" w:line="360" w:lineRule="auto"/>
        <w:jc w:val="both"/>
        <w:sectPr>
          <w:pgSz w:w="11900" w:h="16850"/>
          <w:pgMar w:header="712" w:footer="0" w:top="1020" w:bottom="280" w:left="1580" w:right="860"/>
        </w:sectPr>
      </w:pPr>
    </w:p>
    <w:p>
      <w:pPr>
        <w:pStyle w:val="BodyText"/>
        <w:rPr>
          <w:sz w:val="20"/>
        </w:rPr>
      </w:pPr>
    </w:p>
    <w:p>
      <w:pPr>
        <w:pStyle w:val="BodyText"/>
        <w:rPr>
          <w:sz w:val="20"/>
        </w:rPr>
      </w:pPr>
    </w:p>
    <w:p>
      <w:pPr>
        <w:pStyle w:val="BodyText"/>
        <w:spacing w:line="355" w:lineRule="auto" w:before="224"/>
        <w:ind w:left="222" w:right="216"/>
        <w:jc w:val="both"/>
      </w:pPr>
      <w:r>
        <w:rPr/>
        <w:t>снижения давления газа в брюшной полости до 6-8 мм.рт.ст. и положением Тренделенбурга не более 10-15</w:t>
      </w:r>
      <w:r>
        <w:rPr>
          <w:position w:val="13"/>
          <w:sz w:val="18"/>
        </w:rPr>
        <w:t>о</w:t>
      </w:r>
      <w:r>
        <w:rPr/>
        <w:t>. У этой наиболее сложной категории больных преимущества лапароскопической операции отчетливо проявляются как в ходе самого вмешательства, так и в течении послеоперационного периода. Нередкое сочетание данной патологии с другими тяжелыми заболеваниями, в первую очередь, сердечно- сосудистой системы лимитирует использование данной методики у страдающих   ожирением   больных   раком   эндометрия.      В  следующей</w:t>
      </w:r>
    </w:p>
    <w:p>
      <w:pPr>
        <w:pStyle w:val="BodyText"/>
        <w:spacing w:line="360" w:lineRule="auto" w:before="14"/>
        <w:ind w:left="222" w:right="225"/>
        <w:jc w:val="both"/>
      </w:pPr>
      <w:r>
        <w:rPr/>
        <w:t>таблице представлены другие наиболее частые сопутствующие заболевания, выявленные у больных раком эндометрия, вошедших в исследование (Табл. 3.5).</w:t>
      </w:r>
    </w:p>
    <w:p>
      <w:pPr>
        <w:pStyle w:val="BodyText"/>
        <w:spacing w:line="388" w:lineRule="auto" w:before="207" w:after="16"/>
        <w:ind w:left="1239" w:right="207" w:firstLine="6632"/>
      </w:pPr>
      <w:r>
        <w:rPr/>
        <w:t>Таблица 3.5 Сопутствующие заболевания у больных раком эндометрия n (%)</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30"/>
        <w:gridCol w:w="2626"/>
        <w:gridCol w:w="2333"/>
      </w:tblGrid>
      <w:tr>
        <w:trPr>
          <w:trHeight w:val="1054" w:hRule="exact"/>
        </w:trPr>
        <w:tc>
          <w:tcPr>
            <w:tcW w:w="4330" w:type="dxa"/>
            <w:tcBorders>
              <w:left w:val="single" w:sz="4" w:space="0" w:color="000000"/>
              <w:bottom w:val="single" w:sz="4" w:space="0" w:color="000000"/>
              <w:right w:val="single" w:sz="4" w:space="0" w:color="000000"/>
            </w:tcBorders>
          </w:tcPr>
          <w:p>
            <w:pPr/>
          </w:p>
        </w:tc>
        <w:tc>
          <w:tcPr>
            <w:tcW w:w="2626" w:type="dxa"/>
            <w:tcBorders>
              <w:left w:val="single" w:sz="4" w:space="0" w:color="000000"/>
              <w:bottom w:val="single" w:sz="4" w:space="0" w:color="000000"/>
              <w:right w:val="single" w:sz="4" w:space="0" w:color="000000"/>
            </w:tcBorders>
          </w:tcPr>
          <w:p>
            <w:pPr>
              <w:pStyle w:val="TableParagraph"/>
              <w:spacing w:line="388" w:lineRule="auto"/>
              <w:ind w:left="785" w:right="496" w:hanging="272"/>
              <w:rPr>
                <w:sz w:val="28"/>
              </w:rPr>
            </w:pPr>
            <w:r>
              <w:rPr>
                <w:sz w:val="28"/>
              </w:rPr>
              <w:t>Лапаротомия (n=1289)</w:t>
            </w:r>
          </w:p>
        </w:tc>
        <w:tc>
          <w:tcPr>
            <w:tcW w:w="2333" w:type="dxa"/>
            <w:tcBorders>
              <w:left w:val="single" w:sz="4" w:space="0" w:color="000000"/>
              <w:bottom w:val="single" w:sz="4" w:space="0" w:color="000000"/>
              <w:right w:val="single" w:sz="4" w:space="0" w:color="000000"/>
            </w:tcBorders>
          </w:tcPr>
          <w:p>
            <w:pPr>
              <w:pStyle w:val="TableParagraph"/>
              <w:spacing w:line="388" w:lineRule="auto"/>
              <w:ind w:left="706" w:right="297" w:hanging="397"/>
              <w:rPr>
                <w:sz w:val="28"/>
              </w:rPr>
            </w:pPr>
            <w:r>
              <w:rPr>
                <w:sz w:val="28"/>
              </w:rPr>
              <w:t>Лапароскопия (n=756)</w:t>
            </w:r>
          </w:p>
        </w:tc>
      </w:tr>
      <w:tr>
        <w:trPr>
          <w:trHeight w:val="1054" w:hRule="exact"/>
        </w:trPr>
        <w:tc>
          <w:tcPr>
            <w:tcW w:w="4330" w:type="dxa"/>
            <w:tcBorders>
              <w:top w:val="single" w:sz="4" w:space="0" w:color="000000"/>
              <w:left w:val="single" w:sz="4" w:space="0" w:color="000000"/>
              <w:bottom w:val="single" w:sz="4" w:space="0" w:color="000000"/>
              <w:right w:val="single" w:sz="4" w:space="0" w:color="000000"/>
            </w:tcBorders>
          </w:tcPr>
          <w:p>
            <w:pPr>
              <w:pStyle w:val="TableParagraph"/>
              <w:spacing w:line="315" w:lineRule="exact"/>
              <w:ind w:left="132" w:right="131"/>
              <w:jc w:val="center"/>
              <w:rPr>
                <w:sz w:val="28"/>
              </w:rPr>
            </w:pPr>
            <w:r>
              <w:rPr>
                <w:sz w:val="28"/>
              </w:rPr>
              <w:t>Бронхит, бронхиальная астма</w:t>
            </w:r>
          </w:p>
        </w:tc>
        <w:tc>
          <w:tcPr>
            <w:tcW w:w="2626" w:type="dxa"/>
            <w:tcBorders>
              <w:top w:val="single" w:sz="4" w:space="0" w:color="000000"/>
              <w:left w:val="single" w:sz="4" w:space="0" w:color="000000"/>
              <w:bottom w:val="single" w:sz="4" w:space="0" w:color="000000"/>
              <w:right w:val="single" w:sz="4" w:space="0" w:color="000000"/>
            </w:tcBorders>
          </w:tcPr>
          <w:p>
            <w:pPr>
              <w:pStyle w:val="TableParagraph"/>
              <w:spacing w:line="315" w:lineRule="exact"/>
              <w:ind w:left="833" w:right="833"/>
              <w:jc w:val="center"/>
              <w:rPr>
                <w:sz w:val="28"/>
              </w:rPr>
            </w:pPr>
            <w:r>
              <w:rPr>
                <w:sz w:val="28"/>
              </w:rPr>
              <w:t>35</w:t>
            </w:r>
          </w:p>
          <w:p>
            <w:pPr>
              <w:pStyle w:val="TableParagraph"/>
              <w:spacing w:before="199"/>
              <w:ind w:left="833" w:right="761"/>
              <w:jc w:val="center"/>
              <w:rPr>
                <w:sz w:val="28"/>
              </w:rPr>
            </w:pPr>
            <w:r>
              <w:rPr>
                <w:sz w:val="28"/>
              </w:rPr>
              <w:t>(2,7%)</w:t>
            </w:r>
          </w:p>
        </w:tc>
        <w:tc>
          <w:tcPr>
            <w:tcW w:w="2333" w:type="dxa"/>
            <w:tcBorders>
              <w:top w:val="single" w:sz="4" w:space="0" w:color="000000"/>
              <w:left w:val="single" w:sz="4" w:space="0" w:color="000000"/>
              <w:bottom w:val="single" w:sz="4" w:space="0" w:color="000000"/>
              <w:right w:val="single" w:sz="4" w:space="0" w:color="000000"/>
            </w:tcBorders>
          </w:tcPr>
          <w:p>
            <w:pPr>
              <w:pStyle w:val="TableParagraph"/>
              <w:spacing w:line="315" w:lineRule="exact"/>
              <w:ind w:left="685" w:right="687"/>
              <w:jc w:val="center"/>
              <w:rPr>
                <w:sz w:val="28"/>
              </w:rPr>
            </w:pPr>
            <w:r>
              <w:rPr>
                <w:sz w:val="28"/>
              </w:rPr>
              <w:t>13</w:t>
            </w:r>
          </w:p>
          <w:p>
            <w:pPr>
              <w:pStyle w:val="TableParagraph"/>
              <w:spacing w:before="199"/>
              <w:ind w:left="685" w:right="686"/>
              <w:jc w:val="center"/>
              <w:rPr>
                <w:sz w:val="28"/>
              </w:rPr>
            </w:pPr>
            <w:r>
              <w:rPr>
                <w:sz w:val="28"/>
              </w:rPr>
              <w:t>(1,7%)</w:t>
            </w:r>
          </w:p>
        </w:tc>
      </w:tr>
      <w:tr>
        <w:trPr>
          <w:trHeight w:val="1054" w:hRule="exact"/>
        </w:trPr>
        <w:tc>
          <w:tcPr>
            <w:tcW w:w="4330" w:type="dxa"/>
            <w:tcBorders>
              <w:top w:val="single" w:sz="4" w:space="0" w:color="000000"/>
              <w:left w:val="single" w:sz="4" w:space="0" w:color="000000"/>
              <w:bottom w:val="single" w:sz="4" w:space="0" w:color="000000"/>
              <w:right w:val="single" w:sz="4" w:space="0" w:color="000000"/>
            </w:tcBorders>
          </w:tcPr>
          <w:p>
            <w:pPr>
              <w:pStyle w:val="TableParagraph"/>
              <w:ind w:left="1161" w:right="778" w:hanging="368"/>
              <w:rPr>
                <w:sz w:val="28"/>
              </w:rPr>
            </w:pPr>
            <w:r>
              <w:rPr>
                <w:sz w:val="28"/>
              </w:rPr>
              <w:t>Хроническая почечная недостаточность</w:t>
            </w:r>
          </w:p>
        </w:tc>
        <w:tc>
          <w:tcPr>
            <w:tcW w:w="2626" w:type="dxa"/>
            <w:tcBorders>
              <w:top w:val="single" w:sz="4" w:space="0" w:color="000000"/>
              <w:left w:val="single" w:sz="4" w:space="0" w:color="000000"/>
              <w:bottom w:val="single" w:sz="4" w:space="0" w:color="000000"/>
              <w:right w:val="single" w:sz="4" w:space="0" w:color="000000"/>
            </w:tcBorders>
          </w:tcPr>
          <w:p>
            <w:pPr>
              <w:pStyle w:val="TableParagraph"/>
              <w:spacing w:line="315" w:lineRule="exact"/>
              <w:ind w:left="1"/>
              <w:jc w:val="center"/>
              <w:rPr>
                <w:sz w:val="28"/>
              </w:rPr>
            </w:pPr>
            <w:r>
              <w:rPr>
                <w:w w:val="100"/>
                <w:sz w:val="28"/>
              </w:rPr>
              <w:t>8</w:t>
            </w:r>
          </w:p>
          <w:p>
            <w:pPr>
              <w:pStyle w:val="TableParagraph"/>
              <w:spacing w:before="201"/>
              <w:ind w:left="833" w:right="762"/>
              <w:jc w:val="center"/>
              <w:rPr>
                <w:sz w:val="28"/>
              </w:rPr>
            </w:pPr>
            <w:r>
              <w:rPr>
                <w:sz w:val="28"/>
              </w:rPr>
              <w:t>(0,6%)</w:t>
            </w:r>
          </w:p>
        </w:tc>
        <w:tc>
          <w:tcPr>
            <w:tcW w:w="2333" w:type="dxa"/>
            <w:tcBorders>
              <w:top w:val="single" w:sz="4" w:space="0" w:color="000000"/>
              <w:left w:val="single" w:sz="4" w:space="0" w:color="000000"/>
              <w:bottom w:val="single" w:sz="4" w:space="0" w:color="000000"/>
              <w:right w:val="single" w:sz="4" w:space="0" w:color="000000"/>
            </w:tcBorders>
          </w:tcPr>
          <w:p>
            <w:pPr>
              <w:pStyle w:val="TableParagraph"/>
              <w:spacing w:line="315" w:lineRule="exact"/>
              <w:ind w:right="1"/>
              <w:jc w:val="center"/>
              <w:rPr>
                <w:sz w:val="28"/>
              </w:rPr>
            </w:pPr>
            <w:r>
              <w:rPr>
                <w:w w:val="100"/>
                <w:sz w:val="28"/>
              </w:rPr>
              <w:t>1</w:t>
            </w:r>
          </w:p>
          <w:p>
            <w:pPr>
              <w:pStyle w:val="TableParagraph"/>
              <w:spacing w:before="201"/>
              <w:ind w:left="685" w:right="686"/>
              <w:jc w:val="center"/>
              <w:rPr>
                <w:sz w:val="28"/>
              </w:rPr>
            </w:pPr>
            <w:r>
              <w:rPr>
                <w:sz w:val="28"/>
              </w:rPr>
              <w:t>(0,1%)</w:t>
            </w:r>
          </w:p>
        </w:tc>
      </w:tr>
      <w:tr>
        <w:trPr>
          <w:trHeight w:val="1054" w:hRule="exact"/>
        </w:trPr>
        <w:tc>
          <w:tcPr>
            <w:tcW w:w="4330" w:type="dxa"/>
            <w:tcBorders>
              <w:top w:val="single" w:sz="4" w:space="0" w:color="000000"/>
              <w:left w:val="single" w:sz="4" w:space="0" w:color="000000"/>
              <w:bottom w:val="single" w:sz="4" w:space="0" w:color="000000"/>
              <w:right w:val="single" w:sz="4" w:space="0" w:color="000000"/>
            </w:tcBorders>
          </w:tcPr>
          <w:p>
            <w:pPr>
              <w:pStyle w:val="TableParagraph"/>
              <w:spacing w:line="316" w:lineRule="exact"/>
              <w:ind w:left="132" w:right="133"/>
              <w:jc w:val="center"/>
              <w:rPr>
                <w:sz w:val="28"/>
              </w:rPr>
            </w:pPr>
            <w:r>
              <w:rPr>
                <w:sz w:val="28"/>
              </w:rPr>
              <w:t>Язвенная болезнь желудка</w:t>
            </w:r>
          </w:p>
        </w:tc>
        <w:tc>
          <w:tcPr>
            <w:tcW w:w="2626" w:type="dxa"/>
            <w:tcBorders>
              <w:top w:val="single" w:sz="4" w:space="0" w:color="000000"/>
              <w:left w:val="single" w:sz="4" w:space="0" w:color="000000"/>
              <w:bottom w:val="single" w:sz="4" w:space="0" w:color="000000"/>
              <w:right w:val="single" w:sz="4" w:space="0" w:color="000000"/>
            </w:tcBorders>
          </w:tcPr>
          <w:p>
            <w:pPr>
              <w:pStyle w:val="TableParagraph"/>
              <w:spacing w:line="316" w:lineRule="exact"/>
              <w:ind w:left="832" w:right="833"/>
              <w:jc w:val="center"/>
              <w:rPr>
                <w:sz w:val="28"/>
              </w:rPr>
            </w:pPr>
            <w:r>
              <w:rPr>
                <w:sz w:val="28"/>
              </w:rPr>
              <w:t>327</w:t>
            </w:r>
          </w:p>
          <w:p>
            <w:pPr>
              <w:pStyle w:val="TableParagraph"/>
              <w:spacing w:before="201"/>
              <w:ind w:left="833" w:right="833"/>
              <w:jc w:val="center"/>
              <w:rPr>
                <w:sz w:val="28"/>
              </w:rPr>
            </w:pPr>
            <w:r>
              <w:rPr>
                <w:sz w:val="28"/>
              </w:rPr>
              <w:t>(25,4%)</w:t>
            </w:r>
          </w:p>
        </w:tc>
        <w:tc>
          <w:tcPr>
            <w:tcW w:w="2333" w:type="dxa"/>
            <w:tcBorders>
              <w:top w:val="single" w:sz="4" w:space="0" w:color="000000"/>
              <w:left w:val="single" w:sz="4" w:space="0" w:color="000000"/>
              <w:bottom w:val="single" w:sz="4" w:space="0" w:color="000000"/>
              <w:right w:val="single" w:sz="4" w:space="0" w:color="000000"/>
            </w:tcBorders>
          </w:tcPr>
          <w:p>
            <w:pPr>
              <w:pStyle w:val="TableParagraph"/>
              <w:spacing w:line="316" w:lineRule="exact"/>
              <w:ind w:left="685" w:right="688"/>
              <w:jc w:val="center"/>
              <w:rPr>
                <w:sz w:val="28"/>
              </w:rPr>
            </w:pPr>
            <w:r>
              <w:rPr>
                <w:sz w:val="28"/>
              </w:rPr>
              <w:t>138</w:t>
            </w:r>
          </w:p>
          <w:p>
            <w:pPr>
              <w:pStyle w:val="TableParagraph"/>
              <w:spacing w:before="201"/>
              <w:ind w:left="685" w:right="688"/>
              <w:jc w:val="center"/>
              <w:rPr>
                <w:sz w:val="28"/>
              </w:rPr>
            </w:pPr>
            <w:r>
              <w:rPr>
                <w:sz w:val="28"/>
              </w:rPr>
              <w:t>(18,3%)</w:t>
            </w:r>
          </w:p>
        </w:tc>
      </w:tr>
      <w:tr>
        <w:trPr>
          <w:trHeight w:val="1054" w:hRule="exact"/>
        </w:trPr>
        <w:tc>
          <w:tcPr>
            <w:tcW w:w="4330" w:type="dxa"/>
            <w:tcBorders>
              <w:top w:val="single" w:sz="4" w:space="0" w:color="000000"/>
              <w:left w:val="single" w:sz="4" w:space="0" w:color="000000"/>
              <w:bottom w:val="single" w:sz="4" w:space="0" w:color="000000"/>
              <w:right w:val="single" w:sz="4" w:space="0" w:color="000000"/>
            </w:tcBorders>
          </w:tcPr>
          <w:p>
            <w:pPr>
              <w:pStyle w:val="TableParagraph"/>
              <w:ind w:left="1094" w:right="219" w:hanging="860"/>
              <w:rPr>
                <w:sz w:val="28"/>
              </w:rPr>
            </w:pPr>
            <w:r>
              <w:rPr>
                <w:sz w:val="28"/>
              </w:rPr>
              <w:t>Метахронный / синхронный рак молочной железы</w:t>
            </w:r>
          </w:p>
        </w:tc>
        <w:tc>
          <w:tcPr>
            <w:tcW w:w="2626" w:type="dxa"/>
            <w:tcBorders>
              <w:top w:val="single" w:sz="4" w:space="0" w:color="000000"/>
              <w:left w:val="single" w:sz="4" w:space="0" w:color="000000"/>
              <w:bottom w:val="single" w:sz="4" w:space="0" w:color="000000"/>
              <w:right w:val="single" w:sz="4" w:space="0" w:color="000000"/>
            </w:tcBorders>
          </w:tcPr>
          <w:p>
            <w:pPr>
              <w:pStyle w:val="TableParagraph"/>
              <w:spacing w:line="315" w:lineRule="exact"/>
              <w:ind w:left="833" w:right="833"/>
              <w:jc w:val="center"/>
              <w:rPr>
                <w:sz w:val="28"/>
              </w:rPr>
            </w:pPr>
            <w:r>
              <w:rPr>
                <w:sz w:val="28"/>
              </w:rPr>
              <w:t>47</w:t>
            </w:r>
          </w:p>
          <w:p>
            <w:pPr>
              <w:pStyle w:val="TableParagraph"/>
              <w:spacing w:before="201"/>
              <w:ind w:left="833" w:right="833"/>
              <w:jc w:val="center"/>
              <w:rPr>
                <w:sz w:val="28"/>
              </w:rPr>
            </w:pPr>
            <w:r>
              <w:rPr>
                <w:sz w:val="28"/>
              </w:rPr>
              <w:t>(3,6%)</w:t>
            </w:r>
          </w:p>
        </w:tc>
        <w:tc>
          <w:tcPr>
            <w:tcW w:w="2333" w:type="dxa"/>
            <w:tcBorders>
              <w:top w:val="single" w:sz="4" w:space="0" w:color="000000"/>
              <w:left w:val="single" w:sz="4" w:space="0" w:color="000000"/>
              <w:bottom w:val="single" w:sz="4" w:space="0" w:color="000000"/>
              <w:right w:val="single" w:sz="4" w:space="0" w:color="000000"/>
            </w:tcBorders>
          </w:tcPr>
          <w:p>
            <w:pPr>
              <w:pStyle w:val="TableParagraph"/>
              <w:spacing w:line="315" w:lineRule="exact"/>
              <w:ind w:left="685" w:right="687"/>
              <w:jc w:val="center"/>
              <w:rPr>
                <w:sz w:val="28"/>
              </w:rPr>
            </w:pPr>
            <w:r>
              <w:rPr>
                <w:sz w:val="28"/>
              </w:rPr>
              <w:t>29</w:t>
            </w:r>
          </w:p>
          <w:p>
            <w:pPr>
              <w:pStyle w:val="TableParagraph"/>
              <w:spacing w:before="201"/>
              <w:ind w:left="685" w:right="686"/>
              <w:jc w:val="center"/>
              <w:rPr>
                <w:sz w:val="28"/>
              </w:rPr>
            </w:pPr>
            <w:r>
              <w:rPr>
                <w:sz w:val="28"/>
              </w:rPr>
              <w:t>(3,8%)</w:t>
            </w:r>
          </w:p>
        </w:tc>
      </w:tr>
      <w:tr>
        <w:trPr>
          <w:trHeight w:val="1054" w:hRule="exact"/>
        </w:trPr>
        <w:tc>
          <w:tcPr>
            <w:tcW w:w="4330" w:type="dxa"/>
            <w:tcBorders>
              <w:top w:val="single" w:sz="4" w:space="0" w:color="000000"/>
              <w:left w:val="single" w:sz="4" w:space="0" w:color="000000"/>
              <w:bottom w:val="single" w:sz="4" w:space="0" w:color="000000"/>
              <w:right w:val="single" w:sz="4" w:space="0" w:color="000000"/>
            </w:tcBorders>
          </w:tcPr>
          <w:p>
            <w:pPr>
              <w:pStyle w:val="TableParagraph"/>
              <w:spacing w:line="315" w:lineRule="exact"/>
              <w:ind w:left="132" w:right="133"/>
              <w:jc w:val="center"/>
              <w:rPr>
                <w:sz w:val="28"/>
              </w:rPr>
            </w:pPr>
            <w:r>
              <w:rPr>
                <w:sz w:val="28"/>
              </w:rPr>
              <w:t>Метахронный рак толстой кишки</w:t>
            </w:r>
          </w:p>
        </w:tc>
        <w:tc>
          <w:tcPr>
            <w:tcW w:w="2626" w:type="dxa"/>
            <w:tcBorders>
              <w:top w:val="single" w:sz="4" w:space="0" w:color="000000"/>
              <w:left w:val="single" w:sz="4" w:space="0" w:color="000000"/>
              <w:bottom w:val="single" w:sz="4" w:space="0" w:color="000000"/>
              <w:right w:val="single" w:sz="4" w:space="0" w:color="000000"/>
            </w:tcBorders>
          </w:tcPr>
          <w:p>
            <w:pPr>
              <w:pStyle w:val="TableParagraph"/>
              <w:spacing w:line="315" w:lineRule="exact"/>
              <w:ind w:left="1"/>
              <w:jc w:val="center"/>
              <w:rPr>
                <w:sz w:val="28"/>
              </w:rPr>
            </w:pPr>
            <w:r>
              <w:rPr>
                <w:w w:val="100"/>
                <w:sz w:val="28"/>
              </w:rPr>
              <w:t>7</w:t>
            </w:r>
          </w:p>
          <w:p>
            <w:pPr>
              <w:pStyle w:val="TableParagraph"/>
              <w:spacing w:before="201"/>
              <w:ind w:left="833" w:right="833"/>
              <w:jc w:val="center"/>
              <w:rPr>
                <w:sz w:val="28"/>
              </w:rPr>
            </w:pPr>
            <w:r>
              <w:rPr>
                <w:sz w:val="28"/>
              </w:rPr>
              <w:t>(0,5%)</w:t>
            </w:r>
          </w:p>
        </w:tc>
        <w:tc>
          <w:tcPr>
            <w:tcW w:w="2333" w:type="dxa"/>
            <w:tcBorders>
              <w:top w:val="single" w:sz="4" w:space="0" w:color="000000"/>
              <w:left w:val="single" w:sz="4" w:space="0" w:color="000000"/>
              <w:bottom w:val="single" w:sz="4" w:space="0" w:color="000000"/>
              <w:right w:val="single" w:sz="4" w:space="0" w:color="000000"/>
            </w:tcBorders>
          </w:tcPr>
          <w:p>
            <w:pPr>
              <w:pStyle w:val="TableParagraph"/>
              <w:spacing w:line="315" w:lineRule="exact"/>
              <w:ind w:right="4"/>
              <w:jc w:val="center"/>
              <w:rPr>
                <w:sz w:val="28"/>
              </w:rPr>
            </w:pPr>
            <w:r>
              <w:rPr>
                <w:w w:val="100"/>
                <w:sz w:val="28"/>
              </w:rPr>
              <w:t>-</w:t>
            </w:r>
          </w:p>
        </w:tc>
      </w:tr>
      <w:tr>
        <w:trPr>
          <w:trHeight w:val="1056" w:hRule="exact"/>
        </w:trPr>
        <w:tc>
          <w:tcPr>
            <w:tcW w:w="4330" w:type="dxa"/>
            <w:tcBorders>
              <w:top w:val="single" w:sz="4" w:space="0" w:color="000000"/>
              <w:left w:val="single" w:sz="4" w:space="0" w:color="000000"/>
              <w:bottom w:val="single" w:sz="4" w:space="0" w:color="000000"/>
              <w:right w:val="single" w:sz="4" w:space="0" w:color="000000"/>
            </w:tcBorders>
          </w:tcPr>
          <w:p>
            <w:pPr>
              <w:pStyle w:val="TableParagraph"/>
              <w:spacing w:line="317" w:lineRule="exact"/>
              <w:ind w:left="132" w:right="131"/>
              <w:jc w:val="center"/>
              <w:rPr>
                <w:sz w:val="28"/>
              </w:rPr>
            </w:pPr>
            <w:r>
              <w:rPr>
                <w:sz w:val="28"/>
              </w:rPr>
              <w:t>Рак яичников</w:t>
            </w:r>
          </w:p>
        </w:tc>
        <w:tc>
          <w:tcPr>
            <w:tcW w:w="2626" w:type="dxa"/>
            <w:tcBorders>
              <w:top w:val="single" w:sz="4" w:space="0" w:color="000000"/>
              <w:left w:val="single" w:sz="4" w:space="0" w:color="000000"/>
              <w:bottom w:val="single" w:sz="4" w:space="0" w:color="000000"/>
              <w:right w:val="single" w:sz="4" w:space="0" w:color="000000"/>
            </w:tcBorders>
          </w:tcPr>
          <w:p>
            <w:pPr>
              <w:pStyle w:val="TableParagraph"/>
              <w:spacing w:line="317" w:lineRule="exact"/>
              <w:ind w:left="833" w:right="833"/>
              <w:jc w:val="center"/>
              <w:rPr>
                <w:sz w:val="28"/>
              </w:rPr>
            </w:pPr>
            <w:r>
              <w:rPr>
                <w:sz w:val="28"/>
              </w:rPr>
              <w:t>17</w:t>
            </w:r>
          </w:p>
          <w:p>
            <w:pPr>
              <w:pStyle w:val="TableParagraph"/>
              <w:spacing w:before="199"/>
              <w:ind w:left="833" w:right="833"/>
              <w:jc w:val="center"/>
              <w:rPr>
                <w:sz w:val="28"/>
              </w:rPr>
            </w:pPr>
            <w:r>
              <w:rPr>
                <w:sz w:val="28"/>
              </w:rPr>
              <w:t>(1,3%)</w:t>
            </w:r>
          </w:p>
        </w:tc>
        <w:tc>
          <w:tcPr>
            <w:tcW w:w="2333" w:type="dxa"/>
            <w:tcBorders>
              <w:top w:val="single" w:sz="4" w:space="0" w:color="000000"/>
              <w:left w:val="single" w:sz="4" w:space="0" w:color="000000"/>
              <w:bottom w:val="single" w:sz="4" w:space="0" w:color="000000"/>
              <w:right w:val="single" w:sz="4" w:space="0" w:color="000000"/>
            </w:tcBorders>
          </w:tcPr>
          <w:p>
            <w:pPr>
              <w:pStyle w:val="TableParagraph"/>
              <w:spacing w:line="317" w:lineRule="exact"/>
              <w:ind w:right="1"/>
              <w:jc w:val="center"/>
              <w:rPr>
                <w:sz w:val="28"/>
              </w:rPr>
            </w:pPr>
            <w:r>
              <w:rPr>
                <w:w w:val="100"/>
                <w:sz w:val="28"/>
              </w:rPr>
              <w:t>1</w:t>
            </w:r>
          </w:p>
          <w:p>
            <w:pPr>
              <w:pStyle w:val="TableParagraph"/>
              <w:spacing w:before="199"/>
              <w:ind w:left="685" w:right="686"/>
              <w:jc w:val="center"/>
              <w:rPr>
                <w:sz w:val="28"/>
              </w:rPr>
            </w:pPr>
            <w:r>
              <w:rPr>
                <w:sz w:val="28"/>
              </w:rPr>
              <w:t>(0,1%)</w:t>
            </w:r>
          </w:p>
        </w:tc>
      </w:tr>
    </w:tbl>
    <w:p>
      <w:pPr>
        <w:spacing w:after="0"/>
        <w:jc w:val="center"/>
        <w:rPr>
          <w:sz w:val="28"/>
        </w:rPr>
        <w:sectPr>
          <w:pgSz w:w="11900" w:h="16850"/>
          <w:pgMar w:header="712" w:footer="0" w:top="1020" w:bottom="280" w:left="1480" w:right="900"/>
        </w:sectPr>
      </w:pPr>
    </w:p>
    <w:p>
      <w:pPr>
        <w:pStyle w:val="BodyText"/>
        <w:rPr>
          <w:sz w:val="20"/>
        </w:rPr>
      </w:pPr>
    </w:p>
    <w:p>
      <w:pPr>
        <w:pStyle w:val="BodyText"/>
        <w:rPr>
          <w:sz w:val="20"/>
        </w:rPr>
      </w:pPr>
    </w:p>
    <w:p>
      <w:pPr>
        <w:pStyle w:val="BodyText"/>
        <w:spacing w:line="360" w:lineRule="auto" w:before="224"/>
        <w:ind w:left="122" w:right="281" w:firstLine="789"/>
        <w:jc w:val="both"/>
      </w:pPr>
      <w:r>
        <w:rPr/>
        <w:t>Указанные заболевания не влияли на выбор хирургического доступа. 14 больным из ретроспективной группы и 6 из проспективной выполнены одномоментные операции по поводу синхронных опухолей молочной железы и тела матки. Диагностированный в ходе лапароскопической операции синхронный первично-множественный рак яичников IB стадии послужил основанием для конверсии</w:t>
      </w:r>
      <w:r>
        <w:rPr>
          <w:spacing w:val="-23"/>
        </w:rPr>
        <w:t> </w:t>
      </w:r>
      <w:r>
        <w:rPr/>
        <w:t>доступа.</w:t>
      </w:r>
    </w:p>
    <w:p>
      <w:pPr>
        <w:pStyle w:val="BodyText"/>
        <w:spacing w:line="360" w:lineRule="auto" w:before="205"/>
        <w:ind w:left="122" w:right="280" w:firstLine="789"/>
        <w:jc w:val="both"/>
      </w:pPr>
      <w:r>
        <w:rPr/>
        <w:t>Выраженная сопутствующая патология, выявленная в каждом третьем наблюдении у больных раком эндометрия, определила высокие риски операции и анестезиологического пособия и потребовала  проведения предоперационной подготовки (Табл.</w:t>
      </w:r>
      <w:r>
        <w:rPr>
          <w:spacing w:val="-19"/>
        </w:rPr>
        <w:t> </w:t>
      </w:r>
      <w:r>
        <w:rPr/>
        <w:t>3.6).</w:t>
      </w:r>
    </w:p>
    <w:p>
      <w:pPr>
        <w:pStyle w:val="BodyText"/>
        <w:rPr>
          <w:sz w:val="30"/>
        </w:rPr>
      </w:pPr>
    </w:p>
    <w:p>
      <w:pPr>
        <w:pStyle w:val="BodyText"/>
        <w:rPr>
          <w:sz w:val="30"/>
        </w:rPr>
      </w:pPr>
    </w:p>
    <w:p>
      <w:pPr>
        <w:pStyle w:val="BodyText"/>
        <w:spacing w:line="511" w:lineRule="auto" w:before="198" w:after="16"/>
        <w:ind w:left="981" w:right="264" w:firstLine="6793"/>
      </w:pPr>
      <w:r>
        <w:rPr/>
        <w:t>Таблица 3.6 Показатели  операционного риска больных раком эндометрия</w:t>
      </w:r>
    </w:p>
    <w:tbl>
      <w:tblPr>
        <w:tblW w:w="0" w:type="auto"/>
        <w:jc w:val="left"/>
        <w:tblInd w:w="114" w:type="dxa"/>
        <w:tblBorders>
          <w:top w:val="double" w:sz="9" w:space="0" w:color="EFEFEF"/>
          <w:left w:val="double" w:sz="9" w:space="0" w:color="EFEFEF"/>
          <w:bottom w:val="double" w:sz="9" w:space="0" w:color="EFEFEF"/>
          <w:right w:val="double" w:sz="9" w:space="0" w:color="EFEFEF"/>
          <w:insideH w:val="double" w:sz="9" w:space="0" w:color="EFEFEF"/>
          <w:insideV w:val="double" w:sz="9" w:space="0" w:color="EFEFEF"/>
        </w:tblBorders>
        <w:tblLayout w:type="fixed"/>
        <w:tblCellMar>
          <w:top w:w="0" w:type="dxa"/>
          <w:left w:w="0" w:type="dxa"/>
          <w:bottom w:w="0" w:type="dxa"/>
          <w:right w:w="0" w:type="dxa"/>
        </w:tblCellMar>
        <w:tblLook w:val="01E0"/>
      </w:tblPr>
      <w:tblGrid>
        <w:gridCol w:w="4675"/>
        <w:gridCol w:w="2513"/>
        <w:gridCol w:w="1979"/>
      </w:tblGrid>
      <w:tr>
        <w:trPr>
          <w:trHeight w:val="1115" w:hRule="exact"/>
        </w:trPr>
        <w:tc>
          <w:tcPr>
            <w:tcW w:w="4675" w:type="dxa"/>
            <w:tcBorders>
              <w:left w:val="double" w:sz="8" w:space="0" w:color="9F9F9F"/>
              <w:bottom w:val="double" w:sz="10" w:space="0" w:color="EFEFEF"/>
              <w:right w:val="double" w:sz="9" w:space="0" w:color="EFEFEF"/>
            </w:tcBorders>
          </w:tcPr>
          <w:p>
            <w:pPr/>
          </w:p>
        </w:tc>
        <w:tc>
          <w:tcPr>
            <w:tcW w:w="2513" w:type="dxa"/>
            <w:tcBorders>
              <w:left w:val="double" w:sz="9" w:space="0" w:color="EFEFEF"/>
              <w:bottom w:val="double" w:sz="10" w:space="0" w:color="EFEFEF"/>
            </w:tcBorders>
          </w:tcPr>
          <w:p>
            <w:pPr>
              <w:pStyle w:val="TableParagraph"/>
              <w:spacing w:line="388" w:lineRule="auto"/>
              <w:ind w:left="695" w:right="413" w:hanging="272"/>
              <w:rPr>
                <w:sz w:val="28"/>
              </w:rPr>
            </w:pPr>
            <w:r>
              <w:rPr>
                <w:sz w:val="28"/>
              </w:rPr>
              <w:t>Лапаротомия (n=1289)</w:t>
            </w:r>
          </w:p>
        </w:tc>
        <w:tc>
          <w:tcPr>
            <w:tcW w:w="1979" w:type="dxa"/>
            <w:tcBorders>
              <w:bottom w:val="double" w:sz="10" w:space="0" w:color="EFEFEF"/>
              <w:right w:val="double" w:sz="8" w:space="0" w:color="EFEFEF"/>
            </w:tcBorders>
          </w:tcPr>
          <w:p>
            <w:pPr>
              <w:pStyle w:val="TableParagraph"/>
              <w:spacing w:line="388" w:lineRule="auto"/>
              <w:ind w:left="502" w:right="90" w:hanging="396"/>
              <w:rPr>
                <w:sz w:val="28"/>
              </w:rPr>
            </w:pPr>
            <w:r>
              <w:rPr>
                <w:sz w:val="28"/>
              </w:rPr>
              <w:t>Лапароскопия (n=756)</w:t>
            </w:r>
          </w:p>
        </w:tc>
      </w:tr>
      <w:tr>
        <w:trPr>
          <w:trHeight w:val="1114" w:hRule="exact"/>
        </w:trPr>
        <w:tc>
          <w:tcPr>
            <w:tcW w:w="4675" w:type="dxa"/>
            <w:tcBorders>
              <w:top w:val="double" w:sz="10" w:space="0" w:color="EFEFEF"/>
              <w:left w:val="double" w:sz="8" w:space="0" w:color="9F9F9F"/>
              <w:bottom w:val="double" w:sz="10" w:space="0" w:color="EFEFEF"/>
              <w:right w:val="double" w:sz="9" w:space="0" w:color="EFEFEF"/>
            </w:tcBorders>
          </w:tcPr>
          <w:p>
            <w:pPr>
              <w:pStyle w:val="TableParagraph"/>
              <w:spacing w:line="315" w:lineRule="exact"/>
              <w:ind w:left="107"/>
              <w:rPr>
                <w:sz w:val="28"/>
              </w:rPr>
            </w:pPr>
            <w:r>
              <w:rPr>
                <w:sz w:val="28"/>
              </w:rPr>
              <w:t>Оценка по шкале ASA</w:t>
            </w:r>
          </w:p>
        </w:tc>
        <w:tc>
          <w:tcPr>
            <w:tcW w:w="2513" w:type="dxa"/>
            <w:tcBorders>
              <w:top w:val="double" w:sz="10" w:space="0" w:color="EFEFEF"/>
              <w:left w:val="double" w:sz="9" w:space="0" w:color="EFEFEF"/>
              <w:bottom w:val="double" w:sz="10" w:space="0" w:color="EFEFEF"/>
            </w:tcBorders>
          </w:tcPr>
          <w:p>
            <w:pPr>
              <w:pStyle w:val="TableParagraph"/>
              <w:spacing w:line="315" w:lineRule="exact"/>
              <w:ind w:left="791"/>
              <w:rPr>
                <w:sz w:val="28"/>
              </w:rPr>
            </w:pPr>
            <w:r>
              <w:rPr>
                <w:sz w:val="28"/>
              </w:rPr>
              <w:t>2,8±0,1</w:t>
            </w:r>
          </w:p>
        </w:tc>
        <w:tc>
          <w:tcPr>
            <w:tcW w:w="1979" w:type="dxa"/>
            <w:tcBorders>
              <w:top w:val="double" w:sz="10" w:space="0" w:color="EFEFEF"/>
              <w:bottom w:val="double" w:sz="10" w:space="0" w:color="EFEFEF"/>
              <w:right w:val="double" w:sz="8" w:space="0" w:color="EFEFEF"/>
            </w:tcBorders>
          </w:tcPr>
          <w:p>
            <w:pPr>
              <w:pStyle w:val="TableParagraph"/>
              <w:spacing w:line="315" w:lineRule="exact"/>
              <w:ind w:left="233" w:right="236"/>
              <w:jc w:val="center"/>
              <w:rPr>
                <w:sz w:val="28"/>
              </w:rPr>
            </w:pPr>
            <w:r>
              <w:rPr>
                <w:sz w:val="28"/>
              </w:rPr>
              <w:t>2,4±0,1</w:t>
            </w:r>
          </w:p>
        </w:tc>
      </w:tr>
      <w:tr>
        <w:trPr>
          <w:trHeight w:val="1639" w:hRule="exact"/>
        </w:trPr>
        <w:tc>
          <w:tcPr>
            <w:tcW w:w="4675" w:type="dxa"/>
            <w:tcBorders>
              <w:top w:val="double" w:sz="10" w:space="0" w:color="EFEFEF"/>
              <w:left w:val="double" w:sz="8" w:space="0" w:color="9F9F9F"/>
              <w:right w:val="double" w:sz="9" w:space="0" w:color="EFEFEF"/>
            </w:tcBorders>
          </w:tcPr>
          <w:p>
            <w:pPr>
              <w:pStyle w:val="TableParagraph"/>
              <w:spacing w:line="315" w:lineRule="exact"/>
              <w:ind w:left="107"/>
              <w:rPr>
                <w:sz w:val="28"/>
              </w:rPr>
            </w:pPr>
            <w:r>
              <w:rPr>
                <w:sz w:val="28"/>
              </w:rPr>
              <w:t>Доля пациенток с оценкой</w:t>
            </w:r>
          </w:p>
          <w:p>
            <w:pPr>
              <w:pStyle w:val="TableParagraph"/>
              <w:rPr>
                <w:sz w:val="30"/>
              </w:rPr>
            </w:pPr>
          </w:p>
          <w:p>
            <w:pPr>
              <w:pStyle w:val="TableParagraph"/>
              <w:spacing w:before="9"/>
              <w:rPr>
                <w:sz w:val="32"/>
              </w:rPr>
            </w:pPr>
          </w:p>
          <w:p>
            <w:pPr>
              <w:pStyle w:val="TableParagraph"/>
              <w:ind w:left="107"/>
              <w:rPr>
                <w:sz w:val="28"/>
              </w:rPr>
            </w:pPr>
            <w:r>
              <w:rPr>
                <w:sz w:val="28"/>
              </w:rPr>
              <w:t>по шкале ASA ≥ 3</w:t>
            </w:r>
          </w:p>
        </w:tc>
        <w:tc>
          <w:tcPr>
            <w:tcW w:w="2513" w:type="dxa"/>
            <w:tcBorders>
              <w:top w:val="double" w:sz="10" w:space="0" w:color="EFEFEF"/>
              <w:left w:val="double" w:sz="9" w:space="0" w:color="EFEFEF"/>
            </w:tcBorders>
          </w:tcPr>
          <w:p>
            <w:pPr>
              <w:pStyle w:val="TableParagraph"/>
              <w:spacing w:before="8"/>
              <w:rPr>
                <w:sz w:val="44"/>
              </w:rPr>
            </w:pPr>
          </w:p>
          <w:p>
            <w:pPr>
              <w:pStyle w:val="TableParagraph"/>
              <w:ind w:left="662"/>
              <w:rPr>
                <w:sz w:val="28"/>
              </w:rPr>
            </w:pPr>
            <w:r>
              <w:rPr>
                <w:sz w:val="28"/>
              </w:rPr>
              <w:t>77,1% (145)</w:t>
            </w:r>
          </w:p>
        </w:tc>
        <w:tc>
          <w:tcPr>
            <w:tcW w:w="1979" w:type="dxa"/>
            <w:tcBorders>
              <w:top w:val="double" w:sz="10" w:space="0" w:color="EFEFEF"/>
              <w:right w:val="double" w:sz="8" w:space="0" w:color="EFEFEF"/>
            </w:tcBorders>
          </w:tcPr>
          <w:p>
            <w:pPr>
              <w:pStyle w:val="TableParagraph"/>
              <w:spacing w:before="8"/>
              <w:rPr>
                <w:sz w:val="44"/>
              </w:rPr>
            </w:pPr>
          </w:p>
          <w:p>
            <w:pPr>
              <w:pStyle w:val="TableParagraph"/>
              <w:ind w:left="236" w:right="236"/>
              <w:jc w:val="center"/>
              <w:rPr>
                <w:sz w:val="28"/>
              </w:rPr>
            </w:pPr>
            <w:r>
              <w:rPr>
                <w:sz w:val="28"/>
              </w:rPr>
              <w:t>53,2% (402)</w:t>
            </w:r>
          </w:p>
        </w:tc>
      </w:tr>
    </w:tbl>
    <w:p>
      <w:pPr>
        <w:pStyle w:val="BodyText"/>
        <w:rPr>
          <w:sz w:val="30"/>
        </w:rPr>
      </w:pPr>
    </w:p>
    <w:p>
      <w:pPr>
        <w:pStyle w:val="BodyText"/>
        <w:spacing w:before="7"/>
      </w:pPr>
    </w:p>
    <w:p>
      <w:pPr>
        <w:pStyle w:val="BodyText"/>
        <w:spacing w:line="360" w:lineRule="auto"/>
        <w:ind w:left="122" w:right="280" w:firstLine="719"/>
        <w:jc w:val="both"/>
      </w:pPr>
      <w:r>
        <w:rPr/>
        <w:t>С учетом описанных рисков определялись показания и противопоказания к лапароскопии. Выраженная субкомпенсированная сердечно-легочная патология существенно ограничивают возможности лапароскопического доступа, в то время как ожирение и сахарный диабет,</w:t>
      </w:r>
    </w:p>
    <w:p>
      <w:pPr>
        <w:spacing w:after="0" w:line="360" w:lineRule="auto"/>
        <w:jc w:val="both"/>
        <w:sectPr>
          <w:pgSz w:w="11900" w:h="16850"/>
          <w:pgMar w:header="712" w:footer="0" w:top="1020" w:bottom="280" w:left="1580" w:right="840"/>
        </w:sectPr>
      </w:pPr>
    </w:p>
    <w:p>
      <w:pPr>
        <w:pStyle w:val="BodyText"/>
        <w:rPr>
          <w:sz w:val="20"/>
        </w:rPr>
      </w:pPr>
    </w:p>
    <w:p>
      <w:pPr>
        <w:pStyle w:val="BodyText"/>
        <w:rPr>
          <w:sz w:val="20"/>
        </w:rPr>
      </w:pPr>
    </w:p>
    <w:p>
      <w:pPr>
        <w:pStyle w:val="BodyText"/>
        <w:tabs>
          <w:tab w:pos="1536" w:val="left" w:leader="none"/>
          <w:tab w:pos="2695" w:val="left" w:leader="none"/>
          <w:tab w:pos="4671" w:val="left" w:leader="none"/>
          <w:tab w:pos="5311" w:val="left" w:leader="none"/>
          <w:tab w:pos="6764" w:val="left" w:leader="none"/>
          <w:tab w:pos="7141" w:val="left" w:leader="none"/>
        </w:tabs>
        <w:spacing w:line="360" w:lineRule="auto" w:before="224"/>
        <w:ind w:left="122" w:right="189"/>
      </w:pPr>
      <w:r>
        <w:rPr/>
        <w:t>наоборот,</w:t>
        <w:tab/>
        <w:t>следует</w:t>
        <w:tab/>
        <w:t>рассматривать</w:t>
        <w:tab/>
        <w:t>как</w:t>
        <w:tab/>
        <w:t>показание</w:t>
        <w:tab/>
        <w:t>к</w:t>
        <w:tab/>
      </w:r>
      <w:r>
        <w:rPr>
          <w:spacing w:val="-1"/>
        </w:rPr>
        <w:t>малоинвазивным </w:t>
      </w:r>
      <w:r>
        <w:rPr/>
        <w:t>операциям.</w:t>
      </w:r>
    </w:p>
    <w:p>
      <w:pPr>
        <w:pStyle w:val="BodyText"/>
        <w:spacing w:line="360" w:lineRule="auto" w:before="207"/>
        <w:ind w:left="122" w:right="181" w:firstLine="347"/>
        <w:jc w:val="both"/>
      </w:pPr>
      <w:r>
        <w:rPr/>
        <w:t>Еще одним фактором, определяющим показания к выполнению лапаротомии оказалась сопутствующая гинекологическая патология, а именно миома матки и опухоли яичников.</w:t>
      </w:r>
    </w:p>
    <w:p>
      <w:pPr>
        <w:pStyle w:val="BodyText"/>
        <w:tabs>
          <w:tab w:pos="2068" w:val="left" w:leader="none"/>
        </w:tabs>
        <w:spacing w:line="360" w:lineRule="auto" w:before="207"/>
        <w:ind w:left="122" w:right="180"/>
      </w:pPr>
      <w:r>
        <w:rPr/>
        <w:t>Миома</w:t>
      </w:r>
      <w:r>
        <w:rPr>
          <w:spacing w:val="7"/>
        </w:rPr>
        <w:t> </w:t>
      </w:r>
      <w:r>
        <w:rPr/>
        <w:t>матки</w:t>
        <w:tab/>
        <w:t>была выявлена в 53% и 36% случаев в </w:t>
      </w:r>
      <w:r>
        <w:rPr>
          <w:spacing w:val="3"/>
        </w:rPr>
        <w:t>1-й </w:t>
      </w:r>
      <w:r>
        <w:rPr/>
        <w:t>и во </w:t>
      </w:r>
      <w:r>
        <w:rPr>
          <w:spacing w:val="23"/>
        </w:rPr>
        <w:t> </w:t>
      </w:r>
      <w:r>
        <w:rPr/>
        <w:t>2-й</w:t>
      </w:r>
      <w:r>
        <w:rPr>
          <w:spacing w:val="9"/>
        </w:rPr>
        <w:t> </w:t>
      </w:r>
      <w:r>
        <w:rPr/>
        <w:t>группе,</w:t>
      </w:r>
      <w:r>
        <w:rPr>
          <w:w w:val="100"/>
        </w:rPr>
        <w:t> </w:t>
      </w:r>
      <w:r>
        <w:rPr/>
        <w:t>доброкачественные опухоли яичников в 14 и 12% наблюдений (Табл.</w:t>
      </w:r>
      <w:r>
        <w:rPr>
          <w:spacing w:val="-19"/>
        </w:rPr>
        <w:t> </w:t>
      </w:r>
      <w:r>
        <w:rPr/>
        <w:t>3.7).</w:t>
      </w:r>
    </w:p>
    <w:p>
      <w:pPr>
        <w:pStyle w:val="BodyText"/>
        <w:spacing w:line="508" w:lineRule="auto" w:before="204"/>
        <w:ind w:left="1650" w:right="164" w:firstLine="6124"/>
      </w:pPr>
      <w:r>
        <w:rPr/>
        <w:t>Таблица 3.7 Сопутствующая гинекологическая патология у больных</w:t>
      </w:r>
    </w:p>
    <w:p>
      <w:pPr>
        <w:pStyle w:val="BodyText"/>
        <w:spacing w:before="11"/>
        <w:ind w:left="3576"/>
      </w:pPr>
      <w:r>
        <w:rPr/>
        <w:t>раком эндометрия n (%)</w:t>
      </w:r>
    </w:p>
    <w:p>
      <w:pPr>
        <w:pStyle w:val="BodyText"/>
        <w:rPr>
          <w:sz w:val="20"/>
        </w:rPr>
      </w:pPr>
    </w:p>
    <w:p>
      <w:pPr>
        <w:pStyle w:val="BodyText"/>
        <w:rPr>
          <w:sz w:val="1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7"/>
        <w:gridCol w:w="2410"/>
        <w:gridCol w:w="2199"/>
      </w:tblGrid>
      <w:tr>
        <w:trPr>
          <w:trHeight w:val="1054" w:hRule="exact"/>
        </w:trPr>
        <w:tc>
          <w:tcPr>
            <w:tcW w:w="4537" w:type="dxa"/>
          </w:tcPr>
          <w:p>
            <w:pPr>
              <w:pStyle w:val="TableParagraph"/>
              <w:spacing w:before="10"/>
              <w:rPr>
                <w:sz w:val="44"/>
              </w:rPr>
            </w:pPr>
          </w:p>
          <w:p>
            <w:pPr>
              <w:pStyle w:val="TableParagraph"/>
              <w:ind w:left="371" w:right="372"/>
              <w:jc w:val="center"/>
              <w:rPr>
                <w:sz w:val="28"/>
              </w:rPr>
            </w:pPr>
            <w:r>
              <w:rPr>
                <w:sz w:val="28"/>
              </w:rPr>
              <w:t>Гинекологические заболевания</w:t>
            </w:r>
          </w:p>
        </w:tc>
        <w:tc>
          <w:tcPr>
            <w:tcW w:w="2410" w:type="dxa"/>
          </w:tcPr>
          <w:p>
            <w:pPr>
              <w:pStyle w:val="TableParagraph"/>
              <w:spacing w:line="391" w:lineRule="auto"/>
              <w:ind w:left="677" w:right="388" w:hanging="272"/>
              <w:rPr>
                <w:sz w:val="28"/>
              </w:rPr>
            </w:pPr>
            <w:r>
              <w:rPr>
                <w:sz w:val="28"/>
              </w:rPr>
              <w:t>Лапаротомия (n=1289)</w:t>
            </w:r>
          </w:p>
        </w:tc>
        <w:tc>
          <w:tcPr>
            <w:tcW w:w="2199" w:type="dxa"/>
          </w:tcPr>
          <w:p>
            <w:pPr>
              <w:pStyle w:val="TableParagraph"/>
              <w:spacing w:line="391" w:lineRule="auto"/>
              <w:ind w:left="641" w:right="228" w:hanging="397"/>
              <w:rPr>
                <w:sz w:val="28"/>
              </w:rPr>
            </w:pPr>
            <w:r>
              <w:rPr>
                <w:sz w:val="28"/>
              </w:rPr>
              <w:t>Лапароскопия (n=756)</w:t>
            </w:r>
          </w:p>
        </w:tc>
      </w:tr>
      <w:tr>
        <w:trPr>
          <w:trHeight w:val="1375" w:hRule="exact"/>
        </w:trPr>
        <w:tc>
          <w:tcPr>
            <w:tcW w:w="4537" w:type="dxa"/>
          </w:tcPr>
          <w:p>
            <w:pPr>
              <w:pStyle w:val="TableParagraph"/>
              <w:spacing w:line="242" w:lineRule="auto"/>
              <w:ind w:left="368" w:right="372"/>
              <w:jc w:val="center"/>
              <w:rPr>
                <w:sz w:val="28"/>
              </w:rPr>
            </w:pPr>
            <w:r>
              <w:rPr>
                <w:sz w:val="28"/>
              </w:rPr>
              <w:t>Доброкачественные опухоли яичников</w:t>
            </w:r>
          </w:p>
          <w:p>
            <w:pPr>
              <w:pStyle w:val="TableParagraph"/>
              <w:spacing w:before="202"/>
              <w:ind w:left="371" w:right="371"/>
              <w:jc w:val="center"/>
              <w:rPr>
                <w:sz w:val="28"/>
              </w:rPr>
            </w:pPr>
            <w:r>
              <w:rPr>
                <w:sz w:val="28"/>
              </w:rPr>
              <w:t>до 10 см</w:t>
            </w:r>
          </w:p>
        </w:tc>
        <w:tc>
          <w:tcPr>
            <w:tcW w:w="2410" w:type="dxa"/>
          </w:tcPr>
          <w:p>
            <w:pPr>
              <w:pStyle w:val="TableParagraph"/>
              <w:spacing w:before="1"/>
              <w:rPr>
                <w:sz w:val="36"/>
              </w:rPr>
            </w:pPr>
          </w:p>
          <w:p>
            <w:pPr>
              <w:pStyle w:val="TableParagraph"/>
              <w:ind w:left="479" w:right="479"/>
              <w:jc w:val="center"/>
              <w:rPr>
                <w:sz w:val="28"/>
              </w:rPr>
            </w:pPr>
            <w:r>
              <w:rPr>
                <w:sz w:val="28"/>
              </w:rPr>
              <w:t>103 (8,0%)</w:t>
            </w:r>
          </w:p>
        </w:tc>
        <w:tc>
          <w:tcPr>
            <w:tcW w:w="2199" w:type="dxa"/>
          </w:tcPr>
          <w:p>
            <w:pPr>
              <w:pStyle w:val="TableParagraph"/>
              <w:spacing w:before="1"/>
              <w:rPr>
                <w:sz w:val="36"/>
              </w:rPr>
            </w:pPr>
          </w:p>
          <w:p>
            <w:pPr>
              <w:pStyle w:val="TableParagraph"/>
              <w:ind w:left="374" w:right="374"/>
              <w:jc w:val="center"/>
              <w:rPr>
                <w:sz w:val="28"/>
              </w:rPr>
            </w:pPr>
            <w:r>
              <w:rPr>
                <w:sz w:val="28"/>
              </w:rPr>
              <w:t>57 (7,5%)</w:t>
            </w:r>
          </w:p>
        </w:tc>
      </w:tr>
      <w:tr>
        <w:trPr>
          <w:trHeight w:val="1234" w:hRule="exact"/>
        </w:trPr>
        <w:tc>
          <w:tcPr>
            <w:tcW w:w="4537" w:type="dxa"/>
          </w:tcPr>
          <w:p>
            <w:pPr>
              <w:pStyle w:val="TableParagraph"/>
              <w:spacing w:before="185"/>
              <w:ind w:left="967" w:right="516" w:hanging="440"/>
              <w:rPr>
                <w:sz w:val="28"/>
              </w:rPr>
            </w:pPr>
            <w:r>
              <w:rPr>
                <w:sz w:val="28"/>
              </w:rPr>
              <w:t>Доброкачественные опухоли яичников более 10 см</w:t>
            </w:r>
          </w:p>
        </w:tc>
        <w:tc>
          <w:tcPr>
            <w:tcW w:w="2410" w:type="dxa"/>
          </w:tcPr>
          <w:p>
            <w:pPr>
              <w:pStyle w:val="TableParagraph"/>
              <w:rPr>
                <w:sz w:val="30"/>
              </w:rPr>
            </w:pPr>
          </w:p>
          <w:p>
            <w:pPr>
              <w:pStyle w:val="TableParagraph"/>
              <w:spacing w:before="1"/>
              <w:ind w:left="479" w:right="479"/>
              <w:jc w:val="center"/>
              <w:rPr>
                <w:sz w:val="28"/>
              </w:rPr>
            </w:pPr>
            <w:r>
              <w:rPr>
                <w:sz w:val="28"/>
              </w:rPr>
              <w:t>77 (5,9%)</w:t>
            </w:r>
          </w:p>
        </w:tc>
        <w:tc>
          <w:tcPr>
            <w:tcW w:w="2199" w:type="dxa"/>
          </w:tcPr>
          <w:p>
            <w:pPr>
              <w:pStyle w:val="TableParagraph"/>
              <w:rPr>
                <w:sz w:val="30"/>
              </w:rPr>
            </w:pPr>
          </w:p>
          <w:p>
            <w:pPr>
              <w:pStyle w:val="TableParagraph"/>
              <w:spacing w:before="1"/>
              <w:ind w:right="1"/>
              <w:jc w:val="center"/>
              <w:rPr>
                <w:sz w:val="28"/>
              </w:rPr>
            </w:pPr>
            <w:r>
              <w:rPr>
                <w:w w:val="100"/>
                <w:sz w:val="28"/>
              </w:rPr>
              <w:t>-</w:t>
            </w:r>
          </w:p>
        </w:tc>
      </w:tr>
      <w:tr>
        <w:trPr>
          <w:trHeight w:val="1265" w:hRule="exact"/>
        </w:trPr>
        <w:tc>
          <w:tcPr>
            <w:tcW w:w="4537" w:type="dxa"/>
          </w:tcPr>
          <w:p>
            <w:pPr>
              <w:pStyle w:val="TableParagraph"/>
              <w:spacing w:before="4"/>
              <w:rPr>
                <w:sz w:val="31"/>
              </w:rPr>
            </w:pPr>
          </w:p>
          <w:p>
            <w:pPr>
              <w:pStyle w:val="TableParagraph"/>
              <w:ind w:left="370" w:right="372"/>
              <w:jc w:val="center"/>
              <w:rPr>
                <w:sz w:val="28"/>
              </w:rPr>
            </w:pPr>
            <w:r>
              <w:rPr>
                <w:sz w:val="28"/>
              </w:rPr>
              <w:t>Миома матки до 10 см</w:t>
            </w:r>
          </w:p>
        </w:tc>
        <w:tc>
          <w:tcPr>
            <w:tcW w:w="2410" w:type="dxa"/>
          </w:tcPr>
          <w:p>
            <w:pPr>
              <w:pStyle w:val="TableParagraph"/>
              <w:spacing w:before="4"/>
              <w:rPr>
                <w:sz w:val="31"/>
              </w:rPr>
            </w:pPr>
          </w:p>
          <w:p>
            <w:pPr>
              <w:pStyle w:val="TableParagraph"/>
              <w:ind w:left="479" w:right="480"/>
              <w:jc w:val="center"/>
              <w:rPr>
                <w:sz w:val="28"/>
              </w:rPr>
            </w:pPr>
            <w:r>
              <w:rPr>
                <w:sz w:val="28"/>
              </w:rPr>
              <w:t>394 (30,6%)</w:t>
            </w:r>
          </w:p>
        </w:tc>
        <w:tc>
          <w:tcPr>
            <w:tcW w:w="2199" w:type="dxa"/>
          </w:tcPr>
          <w:p>
            <w:pPr>
              <w:pStyle w:val="TableParagraph"/>
              <w:spacing w:before="4"/>
              <w:rPr>
                <w:sz w:val="31"/>
              </w:rPr>
            </w:pPr>
          </w:p>
          <w:p>
            <w:pPr>
              <w:pStyle w:val="TableParagraph"/>
              <w:ind w:left="374" w:right="375"/>
              <w:jc w:val="center"/>
              <w:rPr>
                <w:sz w:val="28"/>
              </w:rPr>
            </w:pPr>
            <w:r>
              <w:rPr>
                <w:sz w:val="28"/>
              </w:rPr>
              <w:t>272 (35,9%)</w:t>
            </w:r>
          </w:p>
        </w:tc>
      </w:tr>
      <w:tr>
        <w:trPr>
          <w:trHeight w:val="1128" w:hRule="exact"/>
        </w:trPr>
        <w:tc>
          <w:tcPr>
            <w:tcW w:w="4537" w:type="dxa"/>
          </w:tcPr>
          <w:p>
            <w:pPr>
              <w:pStyle w:val="TableParagraph"/>
              <w:spacing w:before="3"/>
              <w:rPr>
                <w:sz w:val="25"/>
              </w:rPr>
            </w:pPr>
          </w:p>
          <w:p>
            <w:pPr>
              <w:pStyle w:val="TableParagraph"/>
              <w:ind w:left="371" w:right="371"/>
              <w:jc w:val="center"/>
              <w:rPr>
                <w:sz w:val="28"/>
              </w:rPr>
            </w:pPr>
            <w:r>
              <w:rPr>
                <w:sz w:val="28"/>
              </w:rPr>
              <w:t>Миома матки более 10 см</w:t>
            </w:r>
          </w:p>
        </w:tc>
        <w:tc>
          <w:tcPr>
            <w:tcW w:w="2410" w:type="dxa"/>
          </w:tcPr>
          <w:p>
            <w:pPr>
              <w:pStyle w:val="TableParagraph"/>
              <w:spacing w:before="3"/>
              <w:rPr>
                <w:sz w:val="25"/>
              </w:rPr>
            </w:pPr>
          </w:p>
          <w:p>
            <w:pPr>
              <w:pStyle w:val="TableParagraph"/>
              <w:ind w:left="479" w:right="480"/>
              <w:jc w:val="center"/>
              <w:rPr>
                <w:sz w:val="28"/>
              </w:rPr>
            </w:pPr>
            <w:r>
              <w:rPr>
                <w:sz w:val="28"/>
              </w:rPr>
              <w:t>283 (22,0%)</w:t>
            </w:r>
          </w:p>
        </w:tc>
        <w:tc>
          <w:tcPr>
            <w:tcW w:w="2199" w:type="dxa"/>
          </w:tcPr>
          <w:p>
            <w:pPr>
              <w:pStyle w:val="TableParagraph"/>
              <w:spacing w:before="3"/>
              <w:rPr>
                <w:sz w:val="25"/>
              </w:rPr>
            </w:pPr>
          </w:p>
          <w:p>
            <w:pPr>
              <w:pStyle w:val="TableParagraph"/>
              <w:ind w:right="1"/>
              <w:jc w:val="center"/>
              <w:rPr>
                <w:sz w:val="28"/>
              </w:rPr>
            </w:pPr>
            <w:r>
              <w:rPr>
                <w:w w:val="100"/>
                <w:sz w:val="28"/>
              </w:rPr>
              <w:t>-</w:t>
            </w:r>
          </w:p>
        </w:tc>
      </w:tr>
    </w:tbl>
    <w:p>
      <w:pPr>
        <w:pStyle w:val="BodyText"/>
        <w:rPr>
          <w:sz w:val="30"/>
        </w:rPr>
      </w:pPr>
    </w:p>
    <w:p>
      <w:pPr>
        <w:pStyle w:val="BodyText"/>
        <w:spacing w:before="10"/>
      </w:pPr>
    </w:p>
    <w:p>
      <w:pPr>
        <w:pStyle w:val="BodyText"/>
        <w:spacing w:line="360" w:lineRule="auto"/>
        <w:ind w:left="122" w:right="189" w:firstLine="719"/>
      </w:pPr>
      <w:r>
        <w:rPr/>
        <w:t>Миома матки более 10 см в диаметре послужила противопоказанием к лапароскопической операции в связи с высоким риском нарушения</w:t>
      </w:r>
    </w:p>
    <w:p>
      <w:pPr>
        <w:spacing w:after="0" w:line="360" w:lineRule="auto"/>
        <w:sectPr>
          <w:pgSz w:w="11900" w:h="16850"/>
          <w:pgMar w:header="712" w:footer="0" w:top="1020" w:bottom="280" w:left="1580" w:right="940"/>
        </w:sectPr>
      </w:pPr>
    </w:p>
    <w:p>
      <w:pPr>
        <w:pStyle w:val="BodyText"/>
        <w:rPr>
          <w:sz w:val="20"/>
        </w:rPr>
      </w:pPr>
    </w:p>
    <w:p>
      <w:pPr>
        <w:pStyle w:val="BodyText"/>
        <w:rPr>
          <w:sz w:val="20"/>
        </w:rPr>
      </w:pPr>
    </w:p>
    <w:p>
      <w:pPr>
        <w:pStyle w:val="BodyText"/>
        <w:spacing w:line="360" w:lineRule="auto" w:before="224"/>
        <w:ind w:left="102" w:right="102"/>
        <w:jc w:val="both"/>
      </w:pPr>
      <w:r>
        <w:rPr/>
        <w:t>правил абластики, связанным не только с техническими сложностями подобных вмешательств, но и с извлечением препарата из брюшной полости. В 7 случаях лапароскопических вмешательств по поводу рака эндометрия в сочетании с миомой матки больших размеров значительно возрастала длительность операции и объем интраоперационной кровопотери, значительно осложнившие течение операции и анестезиологического пособия. Трем пациенткам были выполнены конверсионные лапаротомии. Более того, категорическая невозможность использования марцеллятора все равно потребовала выполнения лапаротомии для извлечения препарата. Та же логика рассуждений применима и к случаям сочетания рака эндометрия с опухолями яичников. Как будет показано в 5 главе, на сегодняшний день отсутствуют методы диагностики, позволяющие с уверенностью судить о характере опухолевого процесса в яичниках. Кроме того, необходимо еще и учитывать высокую частоту синхронных полинеоплазий. Опухоли яичников более 10 см в диаметре в нашем исследовании определили показание к лапаротомному</w:t>
      </w:r>
      <w:r>
        <w:rPr>
          <w:spacing w:val="-16"/>
        </w:rPr>
        <w:t> </w:t>
      </w:r>
      <w:r>
        <w:rPr/>
        <w:t>доступу.</w:t>
      </w:r>
    </w:p>
    <w:p>
      <w:pPr>
        <w:pStyle w:val="BodyText"/>
        <w:spacing w:line="360" w:lineRule="auto" w:before="207"/>
        <w:ind w:left="102" w:right="104" w:firstLine="719"/>
        <w:jc w:val="both"/>
      </w:pPr>
      <w:r>
        <w:rPr/>
        <w:t>На выбор доступа к хирургическому лечению также влияет наличие ранее выполненных операций (17% и 13% в 1-й и во 2-й группах соответственно).</w:t>
      </w:r>
    </w:p>
    <w:p>
      <w:pPr>
        <w:pStyle w:val="BodyText"/>
        <w:spacing w:line="360" w:lineRule="auto" w:before="207"/>
        <w:ind w:left="102" w:right="105" w:firstLine="719"/>
        <w:jc w:val="both"/>
      </w:pPr>
      <w:r>
        <w:rPr/>
        <w:t>Противопоказанием к лапароскопии следует считать осложненные хирургические вмешательства, неоднократные повторные лапаротомии, предшествовавшие обширные операции по поводу метахронных злокачественных опухолей. Во всех остальных случаях выполненные ранее лапаротомии несколько увеличивают длительность операции в связи с необходимостью адгезиолизиса, но при этом обеспечивают гораздо более быстрое восстановление пациенток по сравнению с повторной лапаротомией.</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Heading1"/>
        <w:numPr>
          <w:ilvl w:val="1"/>
          <w:numId w:val="20"/>
        </w:numPr>
        <w:tabs>
          <w:tab w:pos="2177" w:val="left" w:leader="none"/>
        </w:tabs>
        <w:spacing w:line="240" w:lineRule="auto" w:before="228" w:after="0"/>
        <w:ind w:left="2176" w:right="0" w:hanging="562"/>
        <w:jc w:val="left"/>
      </w:pPr>
      <w:r>
        <w:rPr/>
        <w:t>Клинико-морфологические особенности</w:t>
      </w:r>
      <w:r>
        <w:rPr>
          <w:spacing w:val="-15"/>
        </w:rPr>
        <w:t> </w:t>
      </w:r>
      <w:r>
        <w:rPr/>
        <w:t>опухоли</w:t>
      </w:r>
    </w:p>
    <w:p>
      <w:pPr>
        <w:pStyle w:val="BodyText"/>
        <w:spacing w:before="9"/>
        <w:rPr>
          <w:b/>
          <w:sz w:val="30"/>
        </w:rPr>
      </w:pPr>
    </w:p>
    <w:p>
      <w:pPr>
        <w:pStyle w:val="BodyText"/>
        <w:spacing w:line="360" w:lineRule="auto"/>
        <w:ind w:left="122" w:right="261" w:firstLine="719"/>
        <w:jc w:val="both"/>
      </w:pPr>
      <w:r>
        <w:rPr/>
        <w:t>Стадирование рака тела матки осуществлялось согласно классификации Международной Федерации Акушеров и Гинекологов (FIGO, 2009 год) и классификации злокачественных опухолей TNM (7-е издание, 2011год). В ретроспективной группе проведено рестадирование в соответствии с 7 изданием.</w:t>
      </w:r>
    </w:p>
    <w:p>
      <w:pPr>
        <w:pStyle w:val="BodyText"/>
        <w:spacing w:line="360" w:lineRule="auto" w:before="207"/>
        <w:ind w:left="122" w:right="260" w:firstLine="719"/>
        <w:jc w:val="both"/>
      </w:pPr>
      <w:r>
        <w:rPr/>
        <w:t>Распределение больных раком эндометрия по стадиям заболевания представлено в таблице 3.8.</w:t>
      </w:r>
    </w:p>
    <w:p>
      <w:pPr>
        <w:pStyle w:val="BodyText"/>
        <w:spacing w:line="508" w:lineRule="auto" w:before="206" w:after="21"/>
        <w:ind w:left="122" w:right="246" w:firstLine="7650"/>
      </w:pPr>
      <w:r>
        <w:rPr/>
        <w:t>Таблица 3.8 Распределение больных раком эндометрия по стадиям заболевания n (%)</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133"/>
        <w:gridCol w:w="1135"/>
        <w:gridCol w:w="1133"/>
        <w:gridCol w:w="1135"/>
        <w:gridCol w:w="1133"/>
        <w:gridCol w:w="1136"/>
        <w:gridCol w:w="991"/>
      </w:tblGrid>
      <w:tr>
        <w:trPr>
          <w:trHeight w:val="2619" w:hRule="exact"/>
        </w:trPr>
        <w:tc>
          <w:tcPr>
            <w:tcW w:w="1418" w:type="dxa"/>
          </w:tcPr>
          <w:p>
            <w:pPr>
              <w:pStyle w:val="TableParagraph"/>
              <w:rPr>
                <w:sz w:val="30"/>
              </w:rPr>
            </w:pPr>
          </w:p>
          <w:p>
            <w:pPr>
              <w:pStyle w:val="TableParagraph"/>
              <w:rPr>
                <w:sz w:val="30"/>
              </w:rPr>
            </w:pPr>
          </w:p>
          <w:p>
            <w:pPr>
              <w:pStyle w:val="TableParagraph"/>
              <w:spacing w:before="2"/>
              <w:rPr>
                <w:sz w:val="30"/>
              </w:rPr>
            </w:pPr>
          </w:p>
          <w:p>
            <w:pPr>
              <w:pStyle w:val="TableParagraph"/>
              <w:ind w:left="239"/>
              <w:rPr>
                <w:sz w:val="28"/>
              </w:rPr>
            </w:pPr>
            <w:r>
              <w:rPr>
                <w:sz w:val="28"/>
              </w:rPr>
              <w:t>Группы</w:t>
            </w:r>
          </w:p>
        </w:tc>
        <w:tc>
          <w:tcPr>
            <w:tcW w:w="1133" w:type="dxa"/>
          </w:tcPr>
          <w:p>
            <w:pPr>
              <w:pStyle w:val="TableParagraph"/>
              <w:rPr>
                <w:sz w:val="30"/>
              </w:rPr>
            </w:pPr>
          </w:p>
          <w:p>
            <w:pPr>
              <w:pStyle w:val="TableParagraph"/>
              <w:spacing w:before="5"/>
              <w:rPr>
                <w:sz w:val="23"/>
              </w:rPr>
            </w:pPr>
          </w:p>
          <w:p>
            <w:pPr>
              <w:pStyle w:val="TableParagraph"/>
              <w:ind w:left="86" w:right="87"/>
              <w:jc w:val="center"/>
              <w:rPr>
                <w:sz w:val="28"/>
              </w:rPr>
            </w:pPr>
            <w:r>
              <w:rPr>
                <w:sz w:val="28"/>
              </w:rPr>
              <w:t>IA</w:t>
            </w:r>
          </w:p>
          <w:p>
            <w:pPr>
              <w:pStyle w:val="TableParagraph"/>
              <w:spacing w:before="200"/>
              <w:ind w:left="86" w:right="83"/>
              <w:jc w:val="center"/>
              <w:rPr>
                <w:sz w:val="28"/>
              </w:rPr>
            </w:pPr>
            <w:r>
              <w:rPr>
                <w:sz w:val="28"/>
              </w:rPr>
              <w:t>T1aN0 M0</w:t>
            </w:r>
          </w:p>
        </w:tc>
        <w:tc>
          <w:tcPr>
            <w:tcW w:w="1135" w:type="dxa"/>
          </w:tcPr>
          <w:p>
            <w:pPr>
              <w:pStyle w:val="TableParagraph"/>
              <w:rPr>
                <w:sz w:val="30"/>
              </w:rPr>
            </w:pPr>
          </w:p>
          <w:p>
            <w:pPr>
              <w:pStyle w:val="TableParagraph"/>
              <w:spacing w:before="5"/>
              <w:rPr>
                <w:sz w:val="23"/>
              </w:rPr>
            </w:pPr>
          </w:p>
          <w:p>
            <w:pPr>
              <w:pStyle w:val="TableParagraph"/>
              <w:ind w:left="50" w:right="157"/>
              <w:jc w:val="center"/>
              <w:rPr>
                <w:sz w:val="28"/>
              </w:rPr>
            </w:pPr>
            <w:r>
              <w:rPr>
                <w:sz w:val="28"/>
              </w:rPr>
              <w:t>IB</w:t>
            </w:r>
          </w:p>
          <w:p>
            <w:pPr>
              <w:pStyle w:val="TableParagraph"/>
              <w:spacing w:before="200"/>
              <w:ind w:left="50" w:right="157"/>
              <w:jc w:val="center"/>
              <w:rPr>
                <w:sz w:val="28"/>
              </w:rPr>
            </w:pPr>
            <w:r>
              <w:rPr>
                <w:sz w:val="28"/>
              </w:rPr>
              <w:t>T1вN0 M0</w:t>
            </w:r>
          </w:p>
        </w:tc>
        <w:tc>
          <w:tcPr>
            <w:tcW w:w="1133" w:type="dxa"/>
          </w:tcPr>
          <w:p>
            <w:pPr>
              <w:pStyle w:val="TableParagraph"/>
              <w:spacing w:before="8"/>
              <w:rPr>
                <w:sz w:val="44"/>
              </w:rPr>
            </w:pPr>
          </w:p>
          <w:p>
            <w:pPr>
              <w:pStyle w:val="TableParagraph"/>
              <w:spacing w:line="388" w:lineRule="auto"/>
              <w:ind w:left="216" w:right="251" w:hanging="2"/>
              <w:jc w:val="center"/>
              <w:rPr>
                <w:sz w:val="28"/>
              </w:rPr>
            </w:pPr>
            <w:r>
              <w:rPr>
                <w:sz w:val="28"/>
              </w:rPr>
              <w:t>II T2N0 M0</w:t>
            </w:r>
          </w:p>
        </w:tc>
        <w:tc>
          <w:tcPr>
            <w:tcW w:w="1135" w:type="dxa"/>
          </w:tcPr>
          <w:p>
            <w:pPr>
              <w:pStyle w:val="TableParagraph"/>
              <w:rPr>
                <w:sz w:val="30"/>
              </w:rPr>
            </w:pPr>
          </w:p>
          <w:p>
            <w:pPr>
              <w:pStyle w:val="TableParagraph"/>
              <w:spacing w:before="2"/>
              <w:rPr>
                <w:sz w:val="32"/>
              </w:rPr>
            </w:pPr>
          </w:p>
          <w:p>
            <w:pPr>
              <w:pStyle w:val="TableParagraph"/>
              <w:spacing w:before="1"/>
              <w:ind w:left="172" w:right="173" w:hanging="3"/>
              <w:jc w:val="center"/>
              <w:rPr>
                <w:sz w:val="28"/>
              </w:rPr>
            </w:pPr>
            <w:r>
              <w:rPr>
                <w:sz w:val="28"/>
              </w:rPr>
              <w:t>IIIA T3аN0 М0</w:t>
            </w:r>
          </w:p>
        </w:tc>
        <w:tc>
          <w:tcPr>
            <w:tcW w:w="1133" w:type="dxa"/>
          </w:tcPr>
          <w:p>
            <w:pPr>
              <w:pStyle w:val="TableParagraph"/>
              <w:spacing w:before="8"/>
              <w:rPr>
                <w:sz w:val="44"/>
              </w:rPr>
            </w:pPr>
          </w:p>
          <w:p>
            <w:pPr>
              <w:pStyle w:val="TableParagraph"/>
              <w:spacing w:line="388" w:lineRule="auto"/>
              <w:ind w:left="163" w:right="162" w:hanging="141"/>
              <w:jc w:val="center"/>
              <w:rPr>
                <w:sz w:val="28"/>
              </w:rPr>
            </w:pPr>
            <w:r>
              <w:rPr>
                <w:sz w:val="28"/>
              </w:rPr>
              <w:t>IIIB T3bN0 М0</w:t>
            </w:r>
          </w:p>
        </w:tc>
        <w:tc>
          <w:tcPr>
            <w:tcW w:w="1136" w:type="dxa"/>
          </w:tcPr>
          <w:p>
            <w:pPr>
              <w:pStyle w:val="TableParagraph"/>
              <w:spacing w:before="8"/>
              <w:rPr>
                <w:sz w:val="44"/>
              </w:rPr>
            </w:pPr>
          </w:p>
          <w:p>
            <w:pPr>
              <w:pStyle w:val="TableParagraph"/>
              <w:spacing w:line="388" w:lineRule="auto"/>
              <w:ind w:left="79" w:right="155" w:firstLine="178"/>
              <w:rPr>
                <w:sz w:val="28"/>
              </w:rPr>
            </w:pPr>
            <w:r>
              <w:rPr>
                <w:sz w:val="28"/>
              </w:rPr>
              <w:t>IIIC T1-3N1</w:t>
            </w:r>
          </w:p>
          <w:p>
            <w:pPr>
              <w:pStyle w:val="TableParagraph"/>
              <w:spacing w:before="6"/>
              <w:ind w:left="295"/>
              <w:rPr>
                <w:sz w:val="28"/>
              </w:rPr>
            </w:pPr>
            <w:r>
              <w:rPr>
                <w:sz w:val="28"/>
              </w:rPr>
              <w:t>M0</w:t>
            </w:r>
          </w:p>
        </w:tc>
        <w:tc>
          <w:tcPr>
            <w:tcW w:w="991" w:type="dxa"/>
          </w:tcPr>
          <w:p>
            <w:pPr>
              <w:pStyle w:val="TableParagraph"/>
              <w:rPr>
                <w:sz w:val="30"/>
              </w:rPr>
            </w:pPr>
          </w:p>
          <w:p>
            <w:pPr>
              <w:pStyle w:val="TableParagraph"/>
              <w:spacing w:before="5"/>
              <w:rPr>
                <w:sz w:val="37"/>
              </w:rPr>
            </w:pPr>
          </w:p>
          <w:p>
            <w:pPr>
              <w:pStyle w:val="TableParagraph"/>
              <w:spacing w:line="388" w:lineRule="auto"/>
              <w:ind w:left="33" w:right="88" w:firstLine="273"/>
              <w:rPr>
                <w:sz w:val="28"/>
              </w:rPr>
            </w:pPr>
            <w:r>
              <w:rPr>
                <w:sz w:val="28"/>
              </w:rPr>
              <w:t>IV T4, M1</w:t>
            </w:r>
          </w:p>
        </w:tc>
      </w:tr>
      <w:tr>
        <w:trPr>
          <w:trHeight w:val="2098" w:hRule="exact"/>
        </w:trPr>
        <w:tc>
          <w:tcPr>
            <w:tcW w:w="1418" w:type="dxa"/>
          </w:tcPr>
          <w:p>
            <w:pPr>
              <w:pStyle w:val="TableParagraph"/>
              <w:spacing w:before="10"/>
              <w:rPr>
                <w:sz w:val="30"/>
              </w:rPr>
            </w:pPr>
          </w:p>
          <w:p>
            <w:pPr>
              <w:pStyle w:val="TableParagraph"/>
              <w:ind w:left="345" w:right="205" w:hanging="123"/>
              <w:rPr>
                <w:sz w:val="28"/>
              </w:rPr>
            </w:pPr>
            <w:r>
              <w:rPr>
                <w:sz w:val="28"/>
              </w:rPr>
              <w:t>Лапаро- томия</w:t>
            </w:r>
          </w:p>
          <w:p>
            <w:pPr>
              <w:pStyle w:val="TableParagraph"/>
              <w:spacing w:before="201"/>
              <w:ind w:left="146"/>
              <w:rPr>
                <w:sz w:val="28"/>
              </w:rPr>
            </w:pPr>
            <w:r>
              <w:rPr>
                <w:sz w:val="28"/>
              </w:rPr>
              <w:t>(n =1289)</w:t>
            </w:r>
          </w:p>
        </w:tc>
        <w:tc>
          <w:tcPr>
            <w:tcW w:w="1133" w:type="dxa"/>
          </w:tcPr>
          <w:p>
            <w:pPr>
              <w:pStyle w:val="TableParagraph"/>
              <w:spacing w:before="10"/>
              <w:rPr>
                <w:sz w:val="44"/>
              </w:rPr>
            </w:pPr>
          </w:p>
          <w:p>
            <w:pPr>
              <w:pStyle w:val="TableParagraph"/>
              <w:ind w:left="86" w:right="86"/>
              <w:jc w:val="center"/>
              <w:rPr>
                <w:sz w:val="28"/>
              </w:rPr>
            </w:pPr>
            <w:r>
              <w:rPr>
                <w:sz w:val="28"/>
              </w:rPr>
              <w:t>511</w:t>
            </w:r>
          </w:p>
          <w:p>
            <w:pPr>
              <w:pStyle w:val="TableParagraph"/>
              <w:spacing w:before="198"/>
              <w:ind w:left="86" w:right="87"/>
              <w:jc w:val="center"/>
              <w:rPr>
                <w:sz w:val="28"/>
              </w:rPr>
            </w:pPr>
            <w:r>
              <w:rPr>
                <w:sz w:val="28"/>
              </w:rPr>
              <w:t>(39,6%)</w:t>
            </w:r>
          </w:p>
        </w:tc>
        <w:tc>
          <w:tcPr>
            <w:tcW w:w="1135" w:type="dxa"/>
          </w:tcPr>
          <w:p>
            <w:pPr>
              <w:pStyle w:val="TableParagraph"/>
              <w:spacing w:before="10"/>
              <w:rPr>
                <w:sz w:val="44"/>
              </w:rPr>
            </w:pPr>
          </w:p>
          <w:p>
            <w:pPr>
              <w:pStyle w:val="TableParagraph"/>
              <w:ind w:left="87" w:right="88"/>
              <w:jc w:val="center"/>
              <w:rPr>
                <w:sz w:val="28"/>
              </w:rPr>
            </w:pPr>
            <w:r>
              <w:rPr>
                <w:sz w:val="28"/>
              </w:rPr>
              <w:t>452</w:t>
            </w:r>
          </w:p>
          <w:p>
            <w:pPr>
              <w:pStyle w:val="TableParagraph"/>
              <w:spacing w:before="198"/>
              <w:ind w:left="57" w:right="58"/>
              <w:jc w:val="center"/>
              <w:rPr>
                <w:sz w:val="28"/>
              </w:rPr>
            </w:pPr>
            <w:r>
              <w:rPr>
                <w:sz w:val="28"/>
              </w:rPr>
              <w:t>(35,1%)</w:t>
            </w:r>
          </w:p>
        </w:tc>
        <w:tc>
          <w:tcPr>
            <w:tcW w:w="1133" w:type="dxa"/>
          </w:tcPr>
          <w:p>
            <w:pPr>
              <w:pStyle w:val="TableParagraph"/>
              <w:spacing w:before="10"/>
              <w:rPr>
                <w:sz w:val="44"/>
              </w:rPr>
            </w:pPr>
          </w:p>
          <w:p>
            <w:pPr>
              <w:pStyle w:val="TableParagraph"/>
              <w:ind w:left="156" w:right="157"/>
              <w:jc w:val="center"/>
              <w:rPr>
                <w:sz w:val="28"/>
              </w:rPr>
            </w:pPr>
            <w:r>
              <w:rPr>
                <w:sz w:val="28"/>
              </w:rPr>
              <w:t>105</w:t>
            </w:r>
          </w:p>
          <w:p>
            <w:pPr>
              <w:pStyle w:val="TableParagraph"/>
              <w:spacing w:before="198"/>
              <w:ind w:left="156" w:right="157"/>
              <w:jc w:val="center"/>
              <w:rPr>
                <w:sz w:val="28"/>
              </w:rPr>
            </w:pPr>
            <w:r>
              <w:rPr>
                <w:sz w:val="28"/>
              </w:rPr>
              <w:t>(8,1%)</w:t>
            </w:r>
          </w:p>
        </w:tc>
        <w:tc>
          <w:tcPr>
            <w:tcW w:w="1135" w:type="dxa"/>
          </w:tcPr>
          <w:p>
            <w:pPr>
              <w:pStyle w:val="TableParagraph"/>
              <w:spacing w:before="10"/>
              <w:rPr>
                <w:sz w:val="44"/>
              </w:rPr>
            </w:pPr>
          </w:p>
          <w:p>
            <w:pPr>
              <w:pStyle w:val="TableParagraph"/>
              <w:ind w:left="87" w:right="87"/>
              <w:jc w:val="center"/>
              <w:rPr>
                <w:sz w:val="28"/>
              </w:rPr>
            </w:pPr>
            <w:r>
              <w:rPr>
                <w:sz w:val="28"/>
              </w:rPr>
              <w:t>31</w:t>
            </w:r>
          </w:p>
          <w:p>
            <w:pPr>
              <w:pStyle w:val="TableParagraph"/>
              <w:spacing w:before="198"/>
              <w:ind w:left="87" w:right="87"/>
              <w:jc w:val="center"/>
              <w:rPr>
                <w:sz w:val="28"/>
              </w:rPr>
            </w:pPr>
            <w:r>
              <w:rPr>
                <w:sz w:val="28"/>
              </w:rPr>
              <w:t>(2,4%)</w:t>
            </w:r>
          </w:p>
        </w:tc>
        <w:tc>
          <w:tcPr>
            <w:tcW w:w="1133" w:type="dxa"/>
          </w:tcPr>
          <w:p>
            <w:pPr>
              <w:pStyle w:val="TableParagraph"/>
              <w:spacing w:before="10"/>
              <w:rPr>
                <w:sz w:val="44"/>
              </w:rPr>
            </w:pPr>
          </w:p>
          <w:p>
            <w:pPr>
              <w:pStyle w:val="TableParagraph"/>
              <w:ind w:left="58" w:right="58"/>
              <w:jc w:val="center"/>
              <w:rPr>
                <w:sz w:val="28"/>
              </w:rPr>
            </w:pPr>
            <w:r>
              <w:rPr>
                <w:sz w:val="28"/>
              </w:rPr>
              <w:t>27</w:t>
            </w:r>
          </w:p>
          <w:p>
            <w:pPr>
              <w:pStyle w:val="TableParagraph"/>
              <w:spacing w:before="198"/>
              <w:ind w:left="58" w:right="58"/>
              <w:jc w:val="center"/>
              <w:rPr>
                <w:sz w:val="28"/>
              </w:rPr>
            </w:pPr>
            <w:r>
              <w:rPr>
                <w:sz w:val="28"/>
              </w:rPr>
              <w:t>(2,1%)</w:t>
            </w:r>
          </w:p>
        </w:tc>
        <w:tc>
          <w:tcPr>
            <w:tcW w:w="1136" w:type="dxa"/>
          </w:tcPr>
          <w:p>
            <w:pPr>
              <w:pStyle w:val="TableParagraph"/>
              <w:spacing w:before="10"/>
              <w:rPr>
                <w:sz w:val="44"/>
              </w:rPr>
            </w:pPr>
          </w:p>
          <w:p>
            <w:pPr>
              <w:pStyle w:val="TableParagraph"/>
              <w:ind w:left="58" w:right="59"/>
              <w:jc w:val="center"/>
              <w:rPr>
                <w:sz w:val="28"/>
              </w:rPr>
            </w:pPr>
            <w:r>
              <w:rPr>
                <w:sz w:val="28"/>
              </w:rPr>
              <w:t>152</w:t>
            </w:r>
          </w:p>
          <w:p>
            <w:pPr>
              <w:pStyle w:val="TableParagraph"/>
              <w:spacing w:before="198"/>
              <w:ind w:left="57" w:right="59"/>
              <w:jc w:val="center"/>
              <w:rPr>
                <w:sz w:val="28"/>
              </w:rPr>
            </w:pPr>
            <w:r>
              <w:rPr>
                <w:sz w:val="28"/>
              </w:rPr>
              <w:t>(11,8%)</w:t>
            </w:r>
          </w:p>
        </w:tc>
        <w:tc>
          <w:tcPr>
            <w:tcW w:w="991" w:type="dxa"/>
          </w:tcPr>
          <w:p>
            <w:pPr>
              <w:pStyle w:val="TableParagraph"/>
              <w:spacing w:before="10"/>
              <w:rPr>
                <w:sz w:val="44"/>
              </w:rPr>
            </w:pPr>
          </w:p>
          <w:p>
            <w:pPr>
              <w:pStyle w:val="TableParagraph"/>
              <w:jc w:val="center"/>
              <w:rPr>
                <w:sz w:val="28"/>
              </w:rPr>
            </w:pPr>
            <w:r>
              <w:rPr>
                <w:sz w:val="28"/>
              </w:rPr>
              <w:t>11</w:t>
            </w:r>
          </w:p>
          <w:p>
            <w:pPr>
              <w:pStyle w:val="TableParagraph"/>
              <w:spacing w:before="198"/>
              <w:ind w:left="2"/>
              <w:jc w:val="center"/>
              <w:rPr>
                <w:sz w:val="28"/>
              </w:rPr>
            </w:pPr>
            <w:r>
              <w:rPr>
                <w:sz w:val="28"/>
              </w:rPr>
              <w:t>(0,9%)</w:t>
            </w:r>
          </w:p>
        </w:tc>
      </w:tr>
      <w:tr>
        <w:trPr>
          <w:trHeight w:val="1378" w:hRule="exact"/>
        </w:trPr>
        <w:tc>
          <w:tcPr>
            <w:tcW w:w="1418" w:type="dxa"/>
          </w:tcPr>
          <w:p>
            <w:pPr>
              <w:pStyle w:val="TableParagraph"/>
              <w:ind w:left="215" w:right="205" w:firstLine="7"/>
              <w:rPr>
                <w:sz w:val="28"/>
              </w:rPr>
            </w:pPr>
            <w:r>
              <w:rPr>
                <w:sz w:val="28"/>
              </w:rPr>
              <w:t>Лапаро- скопия</w:t>
            </w:r>
          </w:p>
          <w:p>
            <w:pPr>
              <w:pStyle w:val="TableParagraph"/>
              <w:spacing w:before="203"/>
              <w:ind w:left="215"/>
              <w:rPr>
                <w:sz w:val="28"/>
              </w:rPr>
            </w:pPr>
            <w:r>
              <w:rPr>
                <w:sz w:val="28"/>
              </w:rPr>
              <w:t>(n =756)</w:t>
            </w:r>
          </w:p>
        </w:tc>
        <w:tc>
          <w:tcPr>
            <w:tcW w:w="1133" w:type="dxa"/>
          </w:tcPr>
          <w:p>
            <w:pPr>
              <w:pStyle w:val="TableParagraph"/>
              <w:spacing w:before="156"/>
              <w:ind w:left="86" w:right="86"/>
              <w:jc w:val="center"/>
              <w:rPr>
                <w:sz w:val="28"/>
              </w:rPr>
            </w:pPr>
            <w:r>
              <w:rPr>
                <w:sz w:val="28"/>
              </w:rPr>
              <w:t>324</w:t>
            </w:r>
          </w:p>
          <w:p>
            <w:pPr>
              <w:pStyle w:val="TableParagraph"/>
              <w:spacing w:before="198"/>
              <w:ind w:left="86" w:right="87"/>
              <w:jc w:val="center"/>
              <w:rPr>
                <w:sz w:val="28"/>
              </w:rPr>
            </w:pPr>
            <w:r>
              <w:rPr>
                <w:sz w:val="28"/>
              </w:rPr>
              <w:t>(42,8%)</w:t>
            </w:r>
          </w:p>
        </w:tc>
        <w:tc>
          <w:tcPr>
            <w:tcW w:w="1135" w:type="dxa"/>
          </w:tcPr>
          <w:p>
            <w:pPr>
              <w:pStyle w:val="TableParagraph"/>
              <w:spacing w:before="156"/>
              <w:ind w:left="87" w:right="88"/>
              <w:jc w:val="center"/>
              <w:rPr>
                <w:sz w:val="28"/>
              </w:rPr>
            </w:pPr>
            <w:r>
              <w:rPr>
                <w:sz w:val="28"/>
              </w:rPr>
              <w:t>354</w:t>
            </w:r>
          </w:p>
          <w:p>
            <w:pPr>
              <w:pStyle w:val="TableParagraph"/>
              <w:spacing w:before="198"/>
              <w:ind w:left="57" w:right="58"/>
              <w:jc w:val="center"/>
              <w:rPr>
                <w:sz w:val="28"/>
              </w:rPr>
            </w:pPr>
            <w:r>
              <w:rPr>
                <w:sz w:val="28"/>
              </w:rPr>
              <w:t>(46,8%)</w:t>
            </w:r>
          </w:p>
        </w:tc>
        <w:tc>
          <w:tcPr>
            <w:tcW w:w="1133" w:type="dxa"/>
          </w:tcPr>
          <w:p>
            <w:pPr>
              <w:pStyle w:val="TableParagraph"/>
              <w:spacing w:line="388" w:lineRule="auto" w:before="156"/>
              <w:ind w:left="175" w:right="158" w:firstLine="244"/>
              <w:rPr>
                <w:sz w:val="28"/>
              </w:rPr>
            </w:pPr>
            <w:r>
              <w:rPr>
                <w:sz w:val="28"/>
              </w:rPr>
              <w:t>2* (0,3%)</w:t>
            </w:r>
          </w:p>
        </w:tc>
        <w:tc>
          <w:tcPr>
            <w:tcW w:w="1135" w:type="dxa"/>
          </w:tcPr>
          <w:p>
            <w:pPr>
              <w:pStyle w:val="TableParagraph"/>
              <w:rPr>
                <w:sz w:val="30"/>
              </w:rPr>
            </w:pPr>
          </w:p>
          <w:p>
            <w:pPr>
              <w:pStyle w:val="TableParagraph"/>
              <w:spacing w:before="10"/>
              <w:rPr>
                <w:sz w:val="28"/>
              </w:rPr>
            </w:pPr>
          </w:p>
          <w:p>
            <w:pPr>
              <w:pStyle w:val="TableParagraph"/>
              <w:ind w:right="2"/>
              <w:jc w:val="center"/>
              <w:rPr>
                <w:sz w:val="28"/>
              </w:rPr>
            </w:pPr>
            <w:r>
              <w:rPr>
                <w:w w:val="100"/>
                <w:sz w:val="28"/>
              </w:rPr>
              <w:t>-</w:t>
            </w:r>
          </w:p>
        </w:tc>
        <w:tc>
          <w:tcPr>
            <w:tcW w:w="1133" w:type="dxa"/>
          </w:tcPr>
          <w:p>
            <w:pPr>
              <w:pStyle w:val="TableParagraph"/>
              <w:spacing w:before="1"/>
              <w:rPr>
                <w:sz w:val="36"/>
              </w:rPr>
            </w:pPr>
          </w:p>
          <w:p>
            <w:pPr>
              <w:pStyle w:val="TableParagraph"/>
              <w:jc w:val="center"/>
              <w:rPr>
                <w:sz w:val="28"/>
              </w:rPr>
            </w:pPr>
            <w:r>
              <w:rPr>
                <w:w w:val="100"/>
                <w:sz w:val="28"/>
              </w:rPr>
              <w:t>-</w:t>
            </w:r>
          </w:p>
        </w:tc>
        <w:tc>
          <w:tcPr>
            <w:tcW w:w="1136" w:type="dxa"/>
          </w:tcPr>
          <w:p>
            <w:pPr>
              <w:pStyle w:val="TableParagraph"/>
              <w:spacing w:before="156"/>
              <w:ind w:left="58" w:right="59"/>
              <w:jc w:val="center"/>
              <w:rPr>
                <w:sz w:val="28"/>
              </w:rPr>
            </w:pPr>
            <w:r>
              <w:rPr>
                <w:sz w:val="28"/>
              </w:rPr>
              <w:t>76</w:t>
            </w:r>
          </w:p>
          <w:p>
            <w:pPr>
              <w:pStyle w:val="TableParagraph"/>
              <w:spacing w:before="198"/>
              <w:ind w:left="57" w:right="59"/>
              <w:jc w:val="center"/>
              <w:rPr>
                <w:sz w:val="28"/>
              </w:rPr>
            </w:pPr>
            <w:r>
              <w:rPr>
                <w:sz w:val="28"/>
              </w:rPr>
              <w:t>(10,1%)</w:t>
            </w:r>
          </w:p>
        </w:tc>
        <w:tc>
          <w:tcPr>
            <w:tcW w:w="991" w:type="dxa"/>
          </w:tcPr>
          <w:p>
            <w:pPr>
              <w:pStyle w:val="TableParagraph"/>
              <w:spacing w:before="1"/>
              <w:rPr>
                <w:sz w:val="36"/>
              </w:rPr>
            </w:pPr>
          </w:p>
          <w:p>
            <w:pPr>
              <w:pStyle w:val="TableParagraph"/>
              <w:jc w:val="center"/>
              <w:rPr>
                <w:sz w:val="28"/>
              </w:rPr>
            </w:pPr>
            <w:r>
              <w:rPr>
                <w:w w:val="100"/>
                <w:sz w:val="28"/>
              </w:rPr>
              <w:t>-</w:t>
            </w:r>
          </w:p>
        </w:tc>
      </w:tr>
    </w:tbl>
    <w:p>
      <w:pPr>
        <w:pStyle w:val="BodyText"/>
        <w:ind w:left="841"/>
      </w:pPr>
      <w:r>
        <w:rPr/>
        <w:t>* морфологическая находка</w:t>
      </w:r>
    </w:p>
    <w:p>
      <w:pPr>
        <w:pStyle w:val="BodyText"/>
        <w:spacing w:before="3"/>
        <w:rPr>
          <w:sz w:val="31"/>
        </w:rPr>
      </w:pPr>
    </w:p>
    <w:p>
      <w:pPr>
        <w:pStyle w:val="BodyText"/>
        <w:spacing w:line="360" w:lineRule="auto"/>
        <w:ind w:left="122" w:right="261" w:firstLine="719"/>
        <w:jc w:val="both"/>
      </w:pPr>
      <w:r>
        <w:rPr/>
        <w:t>У большинства больных установлена I стадия заболевания (74,7% в 1-й группе и 89,6% во 2-й группе). С одинаковой частотой в обеих группах установлено метастатическое поражение регионарных лимфатических</w:t>
      </w:r>
    </w:p>
    <w:p>
      <w:pPr>
        <w:spacing w:after="0" w:line="360" w:lineRule="auto"/>
        <w:jc w:val="both"/>
        <w:sectPr>
          <w:pgSz w:w="11900" w:h="16850"/>
          <w:pgMar w:header="712" w:footer="0" w:top="1020" w:bottom="280" w:left="1580" w:right="860"/>
        </w:sectPr>
      </w:pPr>
    </w:p>
    <w:p>
      <w:pPr>
        <w:pStyle w:val="BodyText"/>
        <w:rPr>
          <w:sz w:val="20"/>
        </w:rPr>
      </w:pPr>
    </w:p>
    <w:p>
      <w:pPr>
        <w:pStyle w:val="BodyText"/>
        <w:rPr>
          <w:sz w:val="20"/>
        </w:rPr>
      </w:pPr>
    </w:p>
    <w:p>
      <w:pPr>
        <w:pStyle w:val="BodyText"/>
        <w:spacing w:line="360" w:lineRule="auto" w:before="224"/>
        <w:ind w:left="222" w:right="121"/>
        <w:jc w:val="both"/>
      </w:pPr>
      <w:r>
        <w:rPr/>
        <w:t>узлов (IIIc стадия). Больным с местно-распространенным опухолевым процессом (распространение опухоли на цервикальный канал, прорастание серозной оболочки матки, метастазы в яичники) выполнялись лапаротомии в связи со сложностью соблюдения правил абластики и антибластики при эндовидеохирургических вмешательствах в таких ситуациях. В связи с вышесказанным, в проспективную часть исследования эти больные не вошли и в дальнейшем были исключены из ретроспективного анализа, сформировав следующую группу пациентов, которым противопоказано выполнение лапароскопических операций.</w:t>
      </w:r>
    </w:p>
    <w:p>
      <w:pPr>
        <w:pStyle w:val="BodyText"/>
        <w:spacing w:line="360" w:lineRule="auto" w:before="204"/>
        <w:ind w:left="222" w:right="126" w:firstLine="417"/>
        <w:jc w:val="both"/>
      </w:pPr>
      <w:r>
        <w:rPr/>
        <w:t>Как показано Я.В. Бохманом (1989, 1993), клинически наиболее удобной является классификация рака тела матки по степени распространенности опухолевого процесса, позволяющая в значительной степени “стандартизировать” методы лечения (Табл. 3.9).</w:t>
      </w:r>
    </w:p>
    <w:p>
      <w:pPr>
        <w:pStyle w:val="BodyText"/>
        <w:spacing w:line="242" w:lineRule="auto" w:before="204"/>
        <w:ind w:left="250" w:right="105" w:firstLine="7623"/>
      </w:pPr>
      <w:r>
        <w:rPr/>
        <w:t>Таблица 3.9 Распределение больных раком эндометрия по степени распространенности</w:t>
      </w:r>
    </w:p>
    <w:p>
      <w:pPr>
        <w:pStyle w:val="BodyText"/>
        <w:spacing w:before="157"/>
        <w:ind w:left="502" w:right="408"/>
        <w:jc w:val="center"/>
      </w:pPr>
      <w:r>
        <w:rPr/>
        <w:t>опухолевого процесса</w:t>
      </w:r>
    </w:p>
    <w:p>
      <w:pPr>
        <w:pStyle w:val="BodyText"/>
        <w:spacing w:before="11"/>
        <w:rPr>
          <w:sz w:val="24"/>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2031"/>
        <w:gridCol w:w="2081"/>
        <w:gridCol w:w="1985"/>
        <w:gridCol w:w="1133"/>
      </w:tblGrid>
      <w:tr>
        <w:trPr>
          <w:trHeight w:val="533" w:hRule="exact"/>
        </w:trPr>
        <w:tc>
          <w:tcPr>
            <w:tcW w:w="1951" w:type="dxa"/>
            <w:vMerge w:val="restart"/>
          </w:tcPr>
          <w:p>
            <w:pPr/>
          </w:p>
        </w:tc>
        <w:tc>
          <w:tcPr>
            <w:tcW w:w="6098" w:type="dxa"/>
            <w:gridSpan w:val="3"/>
          </w:tcPr>
          <w:p>
            <w:pPr>
              <w:pStyle w:val="TableParagraph"/>
              <w:spacing w:line="315" w:lineRule="exact"/>
              <w:ind w:left="468"/>
              <w:rPr>
                <w:sz w:val="28"/>
              </w:rPr>
            </w:pPr>
            <w:r>
              <w:rPr>
                <w:sz w:val="28"/>
              </w:rPr>
              <w:t>Распространенность опухолевого процесса</w:t>
            </w:r>
          </w:p>
        </w:tc>
        <w:tc>
          <w:tcPr>
            <w:tcW w:w="1133" w:type="dxa"/>
            <w:vMerge w:val="restart"/>
          </w:tcPr>
          <w:p>
            <w:pPr>
              <w:pStyle w:val="TableParagraph"/>
              <w:rPr>
                <w:sz w:val="30"/>
              </w:rPr>
            </w:pPr>
          </w:p>
          <w:p>
            <w:pPr>
              <w:pStyle w:val="TableParagraph"/>
              <w:spacing w:before="236"/>
              <w:ind w:left="213"/>
              <w:rPr>
                <w:sz w:val="28"/>
              </w:rPr>
            </w:pPr>
            <w:r>
              <w:rPr>
                <w:sz w:val="28"/>
              </w:rPr>
              <w:t>Всего</w:t>
            </w:r>
          </w:p>
        </w:tc>
      </w:tr>
      <w:tr>
        <w:trPr>
          <w:trHeight w:val="1176" w:hRule="exact"/>
        </w:trPr>
        <w:tc>
          <w:tcPr>
            <w:tcW w:w="1951" w:type="dxa"/>
            <w:vMerge/>
          </w:tcPr>
          <w:p>
            <w:pPr/>
          </w:p>
        </w:tc>
        <w:tc>
          <w:tcPr>
            <w:tcW w:w="2031" w:type="dxa"/>
          </w:tcPr>
          <w:p>
            <w:pPr>
              <w:pStyle w:val="TableParagraph"/>
              <w:spacing w:before="4"/>
              <w:rPr>
                <w:sz w:val="27"/>
              </w:rPr>
            </w:pPr>
          </w:p>
          <w:p>
            <w:pPr>
              <w:pStyle w:val="TableParagraph"/>
              <w:ind w:left="131"/>
              <w:rPr>
                <w:sz w:val="28"/>
              </w:rPr>
            </w:pPr>
            <w:r>
              <w:rPr>
                <w:sz w:val="28"/>
              </w:rPr>
              <w:t>Минимальный</w:t>
            </w:r>
          </w:p>
        </w:tc>
        <w:tc>
          <w:tcPr>
            <w:tcW w:w="2081" w:type="dxa"/>
          </w:tcPr>
          <w:p>
            <w:pPr>
              <w:pStyle w:val="TableParagraph"/>
              <w:ind w:left="112" w:right="108" w:hanging="3"/>
              <w:jc w:val="center"/>
              <w:rPr>
                <w:sz w:val="28"/>
              </w:rPr>
            </w:pPr>
            <w:r>
              <w:rPr>
                <w:sz w:val="28"/>
              </w:rPr>
              <w:t>Местно- распространен- ный</w:t>
            </w:r>
          </w:p>
        </w:tc>
        <w:tc>
          <w:tcPr>
            <w:tcW w:w="1985" w:type="dxa"/>
          </w:tcPr>
          <w:p>
            <w:pPr>
              <w:pStyle w:val="TableParagraph"/>
              <w:spacing w:line="388" w:lineRule="auto" w:before="53"/>
              <w:ind w:left="573" w:right="290" w:hanging="264"/>
              <w:rPr>
                <w:sz w:val="28"/>
              </w:rPr>
            </w:pPr>
            <w:r>
              <w:rPr>
                <w:sz w:val="28"/>
              </w:rPr>
              <w:t>Метастати- ческий</w:t>
            </w:r>
          </w:p>
        </w:tc>
        <w:tc>
          <w:tcPr>
            <w:tcW w:w="1133" w:type="dxa"/>
            <w:vMerge/>
          </w:tcPr>
          <w:p>
            <w:pPr/>
          </w:p>
        </w:tc>
      </w:tr>
      <w:tr>
        <w:trPr>
          <w:trHeight w:val="1054" w:hRule="exact"/>
        </w:trPr>
        <w:tc>
          <w:tcPr>
            <w:tcW w:w="1951" w:type="dxa"/>
          </w:tcPr>
          <w:p>
            <w:pPr>
              <w:pStyle w:val="TableParagraph"/>
              <w:spacing w:line="388" w:lineRule="auto"/>
              <w:ind w:left="542" w:right="161" w:hanging="368"/>
              <w:rPr>
                <w:sz w:val="28"/>
              </w:rPr>
            </w:pPr>
            <w:r>
              <w:rPr>
                <w:sz w:val="28"/>
              </w:rPr>
              <w:t>Лапаротомия n=1289</w:t>
            </w:r>
          </w:p>
        </w:tc>
        <w:tc>
          <w:tcPr>
            <w:tcW w:w="2031" w:type="dxa"/>
          </w:tcPr>
          <w:p>
            <w:pPr>
              <w:pStyle w:val="TableParagraph"/>
              <w:spacing w:line="316" w:lineRule="exact"/>
              <w:ind w:left="113" w:right="113"/>
              <w:jc w:val="center"/>
              <w:rPr>
                <w:sz w:val="28"/>
              </w:rPr>
            </w:pPr>
            <w:r>
              <w:rPr>
                <w:sz w:val="28"/>
              </w:rPr>
              <w:t>405</w:t>
            </w:r>
          </w:p>
          <w:p>
            <w:pPr>
              <w:pStyle w:val="TableParagraph"/>
              <w:spacing w:before="199"/>
              <w:ind w:left="113" w:right="113"/>
              <w:jc w:val="center"/>
              <w:rPr>
                <w:sz w:val="28"/>
              </w:rPr>
            </w:pPr>
            <w:r>
              <w:rPr>
                <w:sz w:val="28"/>
              </w:rPr>
              <w:t>(31,4%)</w:t>
            </w:r>
          </w:p>
        </w:tc>
        <w:tc>
          <w:tcPr>
            <w:tcW w:w="2081" w:type="dxa"/>
          </w:tcPr>
          <w:p>
            <w:pPr>
              <w:pStyle w:val="TableParagraph"/>
              <w:spacing w:line="316" w:lineRule="exact"/>
              <w:ind w:left="560" w:right="559"/>
              <w:jc w:val="center"/>
              <w:rPr>
                <w:sz w:val="28"/>
              </w:rPr>
            </w:pPr>
            <w:r>
              <w:rPr>
                <w:sz w:val="28"/>
              </w:rPr>
              <w:t>721</w:t>
            </w:r>
          </w:p>
          <w:p>
            <w:pPr>
              <w:pStyle w:val="TableParagraph"/>
              <w:spacing w:before="199"/>
              <w:ind w:left="561" w:right="559"/>
              <w:jc w:val="center"/>
              <w:rPr>
                <w:sz w:val="28"/>
              </w:rPr>
            </w:pPr>
            <w:r>
              <w:rPr>
                <w:sz w:val="28"/>
              </w:rPr>
              <w:t>(55,9%)</w:t>
            </w:r>
          </w:p>
        </w:tc>
        <w:tc>
          <w:tcPr>
            <w:tcW w:w="1985" w:type="dxa"/>
          </w:tcPr>
          <w:p>
            <w:pPr>
              <w:pStyle w:val="TableParagraph"/>
              <w:spacing w:line="316" w:lineRule="exact"/>
              <w:ind w:left="141" w:right="141"/>
              <w:jc w:val="center"/>
              <w:rPr>
                <w:sz w:val="28"/>
              </w:rPr>
            </w:pPr>
            <w:r>
              <w:rPr>
                <w:sz w:val="28"/>
              </w:rPr>
              <w:t>163</w:t>
            </w:r>
          </w:p>
          <w:p>
            <w:pPr>
              <w:pStyle w:val="TableParagraph"/>
              <w:spacing w:before="199"/>
              <w:ind w:left="141" w:right="139"/>
              <w:jc w:val="center"/>
              <w:rPr>
                <w:sz w:val="28"/>
              </w:rPr>
            </w:pPr>
            <w:r>
              <w:rPr>
                <w:sz w:val="28"/>
              </w:rPr>
              <w:t>(12,7%)</w:t>
            </w:r>
          </w:p>
        </w:tc>
        <w:tc>
          <w:tcPr>
            <w:tcW w:w="1133" w:type="dxa"/>
          </w:tcPr>
          <w:p>
            <w:pPr>
              <w:pStyle w:val="TableParagraph"/>
              <w:spacing w:before="255"/>
              <w:ind w:left="278"/>
              <w:rPr>
                <w:sz w:val="28"/>
              </w:rPr>
            </w:pPr>
            <w:r>
              <w:rPr>
                <w:sz w:val="28"/>
              </w:rPr>
              <w:t>1289</w:t>
            </w:r>
          </w:p>
        </w:tc>
      </w:tr>
      <w:tr>
        <w:trPr>
          <w:trHeight w:val="1054" w:hRule="exact"/>
        </w:trPr>
        <w:tc>
          <w:tcPr>
            <w:tcW w:w="1951" w:type="dxa"/>
          </w:tcPr>
          <w:p>
            <w:pPr>
              <w:pStyle w:val="TableParagraph"/>
              <w:spacing w:line="388" w:lineRule="auto"/>
              <w:ind w:left="611" w:right="103" w:hanging="490"/>
              <w:rPr>
                <w:sz w:val="28"/>
              </w:rPr>
            </w:pPr>
            <w:r>
              <w:rPr>
                <w:sz w:val="28"/>
              </w:rPr>
              <w:t>Лапароскопия n=756</w:t>
            </w:r>
          </w:p>
        </w:tc>
        <w:tc>
          <w:tcPr>
            <w:tcW w:w="2031" w:type="dxa"/>
          </w:tcPr>
          <w:p>
            <w:pPr>
              <w:pStyle w:val="TableParagraph"/>
              <w:spacing w:line="315" w:lineRule="exact"/>
              <w:ind w:left="113" w:right="113"/>
              <w:jc w:val="center"/>
              <w:rPr>
                <w:sz w:val="28"/>
              </w:rPr>
            </w:pPr>
            <w:r>
              <w:rPr>
                <w:sz w:val="28"/>
              </w:rPr>
              <w:t>227</w:t>
            </w:r>
          </w:p>
          <w:p>
            <w:pPr>
              <w:pStyle w:val="TableParagraph"/>
              <w:spacing w:before="199"/>
              <w:ind w:left="113" w:right="113"/>
              <w:jc w:val="center"/>
              <w:rPr>
                <w:sz w:val="28"/>
              </w:rPr>
            </w:pPr>
            <w:r>
              <w:rPr>
                <w:sz w:val="28"/>
              </w:rPr>
              <w:t>(30,0%)</w:t>
            </w:r>
          </w:p>
        </w:tc>
        <w:tc>
          <w:tcPr>
            <w:tcW w:w="2081" w:type="dxa"/>
          </w:tcPr>
          <w:p>
            <w:pPr>
              <w:pStyle w:val="TableParagraph"/>
              <w:spacing w:line="315" w:lineRule="exact"/>
              <w:ind w:left="560" w:right="559"/>
              <w:jc w:val="center"/>
              <w:rPr>
                <w:sz w:val="28"/>
              </w:rPr>
            </w:pPr>
            <w:r>
              <w:rPr>
                <w:sz w:val="28"/>
              </w:rPr>
              <w:t>529</w:t>
            </w:r>
          </w:p>
          <w:p>
            <w:pPr>
              <w:pStyle w:val="TableParagraph"/>
              <w:spacing w:before="199"/>
              <w:ind w:left="558" w:right="559"/>
              <w:jc w:val="center"/>
              <w:rPr>
                <w:sz w:val="28"/>
              </w:rPr>
            </w:pPr>
            <w:r>
              <w:rPr>
                <w:sz w:val="28"/>
              </w:rPr>
              <w:t>(70%)</w:t>
            </w:r>
          </w:p>
        </w:tc>
        <w:tc>
          <w:tcPr>
            <w:tcW w:w="1985" w:type="dxa"/>
          </w:tcPr>
          <w:p>
            <w:pPr>
              <w:pStyle w:val="TableParagraph"/>
              <w:spacing w:before="254"/>
              <w:jc w:val="center"/>
              <w:rPr>
                <w:sz w:val="28"/>
              </w:rPr>
            </w:pPr>
            <w:r>
              <w:rPr>
                <w:w w:val="100"/>
                <w:sz w:val="28"/>
              </w:rPr>
              <w:t>-</w:t>
            </w:r>
          </w:p>
        </w:tc>
        <w:tc>
          <w:tcPr>
            <w:tcW w:w="1133" w:type="dxa"/>
          </w:tcPr>
          <w:p>
            <w:pPr>
              <w:pStyle w:val="TableParagraph"/>
              <w:spacing w:before="254"/>
              <w:ind w:left="347"/>
              <w:rPr>
                <w:sz w:val="28"/>
              </w:rPr>
            </w:pPr>
            <w:r>
              <w:rPr>
                <w:sz w:val="28"/>
              </w:rPr>
              <w:t>756</w:t>
            </w:r>
          </w:p>
        </w:tc>
      </w:tr>
    </w:tbl>
    <w:p>
      <w:pPr>
        <w:pStyle w:val="BodyText"/>
        <w:rPr>
          <w:sz w:val="30"/>
        </w:rPr>
      </w:pPr>
    </w:p>
    <w:p>
      <w:pPr>
        <w:pStyle w:val="BodyText"/>
        <w:spacing w:before="10"/>
      </w:pPr>
    </w:p>
    <w:p>
      <w:pPr>
        <w:pStyle w:val="BodyText"/>
        <w:spacing w:line="360" w:lineRule="auto"/>
        <w:ind w:left="222" w:right="129" w:firstLine="847"/>
        <w:jc w:val="both"/>
      </w:pPr>
      <w:r>
        <w:rPr/>
        <w:t>Из данных таблицы видно, что у большинства больных при первичном обращении опухоль имела значительное распространение (70%), соответствующее символам T</w:t>
      </w:r>
      <w:r>
        <w:rPr>
          <w:position w:val="-3"/>
          <w:sz w:val="18"/>
        </w:rPr>
        <w:t>1b-3  </w:t>
      </w:r>
      <w:r>
        <w:rPr/>
        <w:t>и/или N</w:t>
      </w:r>
      <w:r>
        <w:rPr>
          <w:position w:val="-3"/>
          <w:sz w:val="18"/>
        </w:rPr>
        <w:t>1 </w:t>
      </w:r>
      <w:r>
        <w:rPr/>
        <w:t>по классификации TNM.</w:t>
      </w:r>
    </w:p>
    <w:p>
      <w:pPr>
        <w:spacing w:after="0" w:line="360" w:lineRule="auto"/>
        <w:jc w:val="both"/>
        <w:sectPr>
          <w:pgSz w:w="11900" w:h="16850"/>
          <w:pgMar w:header="712" w:footer="0" w:top="1020" w:bottom="280" w:left="1480" w:right="1000"/>
        </w:sectPr>
      </w:pPr>
    </w:p>
    <w:p>
      <w:pPr>
        <w:pStyle w:val="BodyText"/>
        <w:rPr>
          <w:sz w:val="20"/>
        </w:rPr>
      </w:pPr>
    </w:p>
    <w:p>
      <w:pPr>
        <w:pStyle w:val="BodyText"/>
        <w:rPr>
          <w:sz w:val="20"/>
        </w:rPr>
      </w:pPr>
    </w:p>
    <w:p>
      <w:pPr>
        <w:pStyle w:val="BodyText"/>
        <w:spacing w:line="360" w:lineRule="auto" w:before="224"/>
        <w:ind w:left="222" w:right="128" w:firstLine="707"/>
        <w:jc w:val="both"/>
      </w:pPr>
      <w:r>
        <w:rPr/>
        <w:t>Далее будет показано, что подходы к планированию лечения в двух наиболее многочисленных группах больных оказываются совершенно различными.</w:t>
      </w:r>
    </w:p>
    <w:p>
      <w:pPr>
        <w:pStyle w:val="BodyText"/>
        <w:spacing w:line="360" w:lineRule="auto" w:before="207"/>
        <w:ind w:left="222" w:right="119" w:firstLine="707"/>
        <w:jc w:val="both"/>
      </w:pPr>
      <w:r>
        <w:rPr/>
        <w:t>Согласно данным, представленным в следующей таблице, примерно 80% случаев заболевания РТМ относится к I (гормонозависимому) патогенетическому варианту. У большинства этих больных в анамнезе имелось сочетание нарушений эндокринно-обменной (гипертоническая болезнь, ожирение, сахарный диабет) и репродуктивной (первичное бесплодие, синдром Штейна-Левенталя и т.д.) систем (Табл. 3.10).</w:t>
      </w:r>
    </w:p>
    <w:p>
      <w:pPr>
        <w:pStyle w:val="BodyText"/>
        <w:spacing w:line="508" w:lineRule="auto" w:before="204"/>
        <w:ind w:left="289" w:right="121" w:firstLine="7443"/>
        <w:jc w:val="right"/>
      </w:pPr>
      <w:r>
        <w:rPr/>
        <w:pict>
          <v:shape style="position:absolute;margin-left:79.463997pt;margin-top:74.870308pt;width:459.8pt;height:211.4pt;mso-position-horizontal-relative:page;mso-position-vertical-relative:paragraph;z-index:284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3262"/>
                    <w:gridCol w:w="3260"/>
                  </w:tblGrid>
                  <w:tr>
                    <w:trPr>
                      <w:trHeight w:val="1054" w:hRule="exact"/>
                    </w:trPr>
                    <w:tc>
                      <w:tcPr>
                        <w:tcW w:w="2660" w:type="dxa"/>
                        <w:vMerge w:val="restart"/>
                      </w:tcPr>
                      <w:p>
                        <w:pPr>
                          <w:pStyle w:val="TableParagraph"/>
                          <w:rPr>
                            <w:sz w:val="30"/>
                          </w:rPr>
                        </w:pPr>
                      </w:p>
                      <w:p>
                        <w:pPr>
                          <w:pStyle w:val="TableParagraph"/>
                          <w:spacing w:before="1"/>
                          <w:rPr>
                            <w:sz w:val="24"/>
                          </w:rPr>
                        </w:pPr>
                      </w:p>
                      <w:p>
                        <w:pPr>
                          <w:pStyle w:val="TableParagraph"/>
                          <w:ind w:left="851" w:right="208" w:hanging="629"/>
                          <w:rPr>
                            <w:sz w:val="28"/>
                          </w:rPr>
                        </w:pPr>
                        <w:r>
                          <w:rPr>
                            <w:sz w:val="28"/>
                          </w:rPr>
                          <w:t>Патогенетический вариант</w:t>
                        </w:r>
                      </w:p>
                    </w:tc>
                    <w:tc>
                      <w:tcPr>
                        <w:tcW w:w="6522" w:type="dxa"/>
                        <w:gridSpan w:val="2"/>
                      </w:tcPr>
                      <w:p>
                        <w:pPr>
                          <w:pStyle w:val="TableParagraph"/>
                          <w:spacing w:line="315" w:lineRule="exact"/>
                          <w:ind w:left="2488" w:right="2490"/>
                          <w:jc w:val="center"/>
                          <w:rPr>
                            <w:sz w:val="28"/>
                          </w:rPr>
                        </w:pPr>
                        <w:r>
                          <w:rPr>
                            <w:sz w:val="28"/>
                          </w:rPr>
                          <w:t>Вид доступа</w:t>
                        </w:r>
                      </w:p>
                    </w:tc>
                  </w:tr>
                  <w:tr>
                    <w:trPr>
                      <w:trHeight w:val="1056" w:hRule="exact"/>
                    </w:trPr>
                    <w:tc>
                      <w:tcPr>
                        <w:tcW w:w="2660" w:type="dxa"/>
                        <w:vMerge/>
                      </w:tcPr>
                      <w:p>
                        <w:pPr/>
                      </w:p>
                    </w:tc>
                    <w:tc>
                      <w:tcPr>
                        <w:tcW w:w="3262" w:type="dxa"/>
                      </w:tcPr>
                      <w:p>
                        <w:pPr>
                          <w:pStyle w:val="TableParagraph"/>
                          <w:spacing w:line="388" w:lineRule="auto"/>
                          <w:ind w:left="1195" w:right="815" w:hanging="365"/>
                          <w:rPr>
                            <w:sz w:val="28"/>
                          </w:rPr>
                        </w:pPr>
                        <w:r>
                          <w:rPr>
                            <w:sz w:val="28"/>
                          </w:rPr>
                          <w:t>Лапаротомия n=1289</w:t>
                        </w:r>
                      </w:p>
                    </w:tc>
                    <w:tc>
                      <w:tcPr>
                        <w:tcW w:w="3260" w:type="dxa"/>
                      </w:tcPr>
                      <w:p>
                        <w:pPr>
                          <w:pStyle w:val="TableParagraph"/>
                          <w:spacing w:line="388" w:lineRule="auto"/>
                          <w:ind w:left="1262" w:right="761" w:hanging="490"/>
                          <w:rPr>
                            <w:sz w:val="28"/>
                          </w:rPr>
                        </w:pPr>
                        <w:r>
                          <w:rPr>
                            <w:sz w:val="28"/>
                          </w:rPr>
                          <w:t>Лапароскопия n=756</w:t>
                        </w:r>
                      </w:p>
                    </w:tc>
                  </w:tr>
                  <w:tr>
                    <w:trPr>
                      <w:trHeight w:val="1054" w:hRule="exact"/>
                    </w:trPr>
                    <w:tc>
                      <w:tcPr>
                        <w:tcW w:w="2660" w:type="dxa"/>
                      </w:tcPr>
                      <w:p>
                        <w:pPr>
                          <w:pStyle w:val="TableParagraph"/>
                          <w:spacing w:before="252"/>
                          <w:ind w:left="1276"/>
                          <w:rPr>
                            <w:sz w:val="28"/>
                          </w:rPr>
                        </w:pPr>
                        <w:r>
                          <w:rPr>
                            <w:w w:val="100"/>
                            <w:sz w:val="28"/>
                          </w:rPr>
                          <w:t>I</w:t>
                        </w:r>
                      </w:p>
                    </w:tc>
                    <w:tc>
                      <w:tcPr>
                        <w:tcW w:w="3262" w:type="dxa"/>
                      </w:tcPr>
                      <w:p>
                        <w:pPr>
                          <w:pStyle w:val="TableParagraph"/>
                          <w:spacing w:line="315" w:lineRule="exact"/>
                          <w:ind w:left="881" w:right="883"/>
                          <w:jc w:val="center"/>
                          <w:rPr>
                            <w:sz w:val="28"/>
                          </w:rPr>
                        </w:pPr>
                        <w:r>
                          <w:rPr>
                            <w:sz w:val="28"/>
                          </w:rPr>
                          <w:t>1027</w:t>
                        </w:r>
                      </w:p>
                      <w:p>
                        <w:pPr>
                          <w:pStyle w:val="TableParagraph"/>
                          <w:spacing w:before="199"/>
                          <w:ind w:left="882" w:right="883"/>
                          <w:jc w:val="center"/>
                          <w:rPr>
                            <w:sz w:val="28"/>
                          </w:rPr>
                        </w:pPr>
                        <w:r>
                          <w:rPr>
                            <w:sz w:val="28"/>
                          </w:rPr>
                          <w:t>(79,7%)</w:t>
                        </w:r>
                      </w:p>
                    </w:tc>
                    <w:tc>
                      <w:tcPr>
                        <w:tcW w:w="3260" w:type="dxa"/>
                      </w:tcPr>
                      <w:p>
                        <w:pPr>
                          <w:pStyle w:val="TableParagraph"/>
                          <w:spacing w:line="315" w:lineRule="exact"/>
                          <w:ind w:left="809" w:right="813"/>
                          <w:jc w:val="center"/>
                          <w:rPr>
                            <w:sz w:val="28"/>
                          </w:rPr>
                        </w:pPr>
                        <w:r>
                          <w:rPr>
                            <w:sz w:val="28"/>
                          </w:rPr>
                          <w:t>575</w:t>
                        </w:r>
                      </w:p>
                      <w:p>
                        <w:pPr>
                          <w:pStyle w:val="TableParagraph"/>
                          <w:spacing w:before="199"/>
                          <w:ind w:left="810" w:right="813"/>
                          <w:jc w:val="center"/>
                          <w:rPr>
                            <w:sz w:val="28"/>
                          </w:rPr>
                        </w:pPr>
                        <w:r>
                          <w:rPr>
                            <w:sz w:val="28"/>
                          </w:rPr>
                          <w:t>(76,1%)</w:t>
                        </w:r>
                      </w:p>
                    </w:tc>
                  </w:tr>
                  <w:tr>
                    <w:trPr>
                      <w:trHeight w:val="1054" w:hRule="exact"/>
                    </w:trPr>
                    <w:tc>
                      <w:tcPr>
                        <w:tcW w:w="2660" w:type="dxa"/>
                      </w:tcPr>
                      <w:p>
                        <w:pPr>
                          <w:pStyle w:val="TableParagraph"/>
                          <w:spacing w:before="254"/>
                          <w:ind w:left="1231"/>
                          <w:rPr>
                            <w:sz w:val="28"/>
                          </w:rPr>
                        </w:pPr>
                        <w:r>
                          <w:rPr>
                            <w:sz w:val="28"/>
                          </w:rPr>
                          <w:t>II</w:t>
                        </w:r>
                      </w:p>
                    </w:tc>
                    <w:tc>
                      <w:tcPr>
                        <w:tcW w:w="3262" w:type="dxa"/>
                      </w:tcPr>
                      <w:p>
                        <w:pPr>
                          <w:pStyle w:val="TableParagraph"/>
                          <w:spacing w:line="315" w:lineRule="exact"/>
                          <w:ind w:left="881" w:right="883"/>
                          <w:jc w:val="center"/>
                          <w:rPr>
                            <w:sz w:val="28"/>
                          </w:rPr>
                        </w:pPr>
                        <w:r>
                          <w:rPr>
                            <w:sz w:val="28"/>
                          </w:rPr>
                          <w:t>262</w:t>
                        </w:r>
                      </w:p>
                      <w:p>
                        <w:pPr>
                          <w:pStyle w:val="TableParagraph"/>
                          <w:spacing w:before="199"/>
                          <w:ind w:left="882" w:right="883"/>
                          <w:jc w:val="center"/>
                          <w:rPr>
                            <w:sz w:val="28"/>
                          </w:rPr>
                        </w:pPr>
                        <w:r>
                          <w:rPr>
                            <w:sz w:val="28"/>
                          </w:rPr>
                          <w:t>(20,3%)</w:t>
                        </w:r>
                      </w:p>
                    </w:tc>
                    <w:tc>
                      <w:tcPr>
                        <w:tcW w:w="3260" w:type="dxa"/>
                      </w:tcPr>
                      <w:p>
                        <w:pPr>
                          <w:pStyle w:val="TableParagraph"/>
                          <w:spacing w:line="315" w:lineRule="exact"/>
                          <w:ind w:left="809" w:right="813"/>
                          <w:jc w:val="center"/>
                          <w:rPr>
                            <w:sz w:val="28"/>
                          </w:rPr>
                        </w:pPr>
                        <w:r>
                          <w:rPr>
                            <w:sz w:val="28"/>
                          </w:rPr>
                          <w:t>181</w:t>
                        </w:r>
                      </w:p>
                      <w:p>
                        <w:pPr>
                          <w:pStyle w:val="TableParagraph"/>
                          <w:spacing w:before="199"/>
                          <w:ind w:left="809" w:right="813"/>
                          <w:jc w:val="center"/>
                          <w:rPr>
                            <w:sz w:val="28"/>
                          </w:rPr>
                        </w:pPr>
                        <w:r>
                          <w:rPr>
                            <w:sz w:val="28"/>
                          </w:rPr>
                          <w:t>(23,9%)</w:t>
                        </w:r>
                      </w:p>
                    </w:tc>
                  </w:tr>
                </w:tbl>
                <w:p>
                  <w:pPr>
                    <w:pStyle w:val="BodyText"/>
                  </w:pPr>
                </w:p>
              </w:txbxContent>
            </v:textbox>
            <w10:wrap type="none"/>
          </v:shape>
        </w:pict>
      </w:r>
      <w:r>
        <w:rPr/>
        <w:t>Таблица 3.10</w:t>
      </w:r>
      <w:r>
        <w:rPr>
          <w:w w:val="100"/>
        </w:rPr>
        <w:t> </w:t>
      </w:r>
      <w:r>
        <w:rPr/>
        <w:t>Распределение больных раком тела матки по патогенетическим вариантам</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
        <w:rPr>
          <w:sz w:val="31"/>
        </w:rPr>
      </w:pPr>
    </w:p>
    <w:p>
      <w:pPr>
        <w:pStyle w:val="BodyText"/>
        <w:spacing w:line="360" w:lineRule="auto" w:before="1"/>
        <w:ind w:left="222" w:right="121" w:firstLine="707"/>
        <w:jc w:val="both"/>
      </w:pPr>
      <w:r>
        <w:rPr/>
        <w:t>Следующая таблица демонстрирует соотношение морфологических характеристик опухолей эндометрия в сравниваемых группах больных, среди которых наиболее часто встречающейся является аденокарцинома. Диагноз эндометриоидной аденокарциномы был установлен примерно в 90% наблюдений, тогда как частота остальных гистологических форм РТМ не превышала 2-4%. Выявление  серозно-папиллярной формы рака</w:t>
      </w:r>
    </w:p>
    <w:p>
      <w:pPr>
        <w:spacing w:after="0" w:line="360" w:lineRule="auto"/>
        <w:jc w:val="both"/>
        <w:sectPr>
          <w:pgSz w:w="11900" w:h="16850"/>
          <w:pgMar w:header="712" w:footer="0" w:top="1020" w:bottom="280" w:left="1480" w:right="1000"/>
        </w:sectPr>
      </w:pPr>
    </w:p>
    <w:p>
      <w:pPr>
        <w:pStyle w:val="BodyText"/>
        <w:rPr>
          <w:sz w:val="20"/>
        </w:rPr>
      </w:pPr>
    </w:p>
    <w:p>
      <w:pPr>
        <w:pStyle w:val="BodyText"/>
        <w:rPr>
          <w:sz w:val="20"/>
        </w:rPr>
      </w:pPr>
    </w:p>
    <w:p>
      <w:pPr>
        <w:pStyle w:val="BodyText"/>
        <w:spacing w:line="360" w:lineRule="auto" w:before="224"/>
        <w:ind w:left="222" w:right="125"/>
        <w:jc w:val="both"/>
      </w:pPr>
      <w:r>
        <w:rPr/>
        <w:t>эндометрия у 35 больных, явилось показанием к  выполнению  экстирпации матки с придатками, тазовой лимфаденэктомией и оментэктомией (Табл.</w:t>
      </w:r>
      <w:r>
        <w:rPr>
          <w:spacing w:val="-6"/>
        </w:rPr>
        <w:t> </w:t>
      </w:r>
      <w:r>
        <w:rPr/>
        <w:t>3.11).</w:t>
      </w:r>
    </w:p>
    <w:p>
      <w:pPr>
        <w:pStyle w:val="BodyText"/>
        <w:spacing w:before="2"/>
        <w:rPr>
          <w:sz w:val="42"/>
        </w:rPr>
      </w:pPr>
    </w:p>
    <w:p>
      <w:pPr>
        <w:pStyle w:val="BodyText"/>
        <w:spacing w:line="278" w:lineRule="auto"/>
        <w:ind w:left="613" w:right="105" w:firstLine="7120"/>
      </w:pPr>
      <w:r>
        <w:rPr/>
        <w:t>Таблица 3.11 Распределение больных раком тела матки по гистологическим типам</w:t>
      </w:r>
    </w:p>
    <w:p>
      <w:pPr>
        <w:pStyle w:val="BodyText"/>
        <w:spacing w:before="7"/>
        <w:rPr>
          <w:sz w:val="2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70"/>
        <w:gridCol w:w="2835"/>
        <w:gridCol w:w="2977"/>
      </w:tblGrid>
      <w:tr>
        <w:trPr>
          <w:trHeight w:val="1054" w:hRule="exact"/>
        </w:trPr>
        <w:tc>
          <w:tcPr>
            <w:tcW w:w="3370" w:type="dxa"/>
            <w:vMerge w:val="restart"/>
          </w:tcPr>
          <w:p>
            <w:pPr>
              <w:pStyle w:val="TableParagraph"/>
              <w:rPr>
                <w:sz w:val="30"/>
              </w:rPr>
            </w:pPr>
          </w:p>
          <w:p>
            <w:pPr>
              <w:pStyle w:val="TableParagraph"/>
              <w:spacing w:before="10"/>
              <w:rPr>
                <w:sz w:val="37"/>
              </w:rPr>
            </w:pPr>
          </w:p>
          <w:p>
            <w:pPr>
              <w:pStyle w:val="TableParagraph"/>
              <w:ind w:left="400"/>
              <w:rPr>
                <w:sz w:val="28"/>
              </w:rPr>
            </w:pPr>
            <w:r>
              <w:rPr>
                <w:sz w:val="28"/>
              </w:rPr>
              <w:t>Гистологический тип</w:t>
            </w:r>
          </w:p>
        </w:tc>
        <w:tc>
          <w:tcPr>
            <w:tcW w:w="5811" w:type="dxa"/>
            <w:gridSpan w:val="2"/>
          </w:tcPr>
          <w:p>
            <w:pPr>
              <w:pStyle w:val="TableParagraph"/>
              <w:spacing w:line="315" w:lineRule="exact"/>
              <w:ind w:left="2133" w:right="2135"/>
              <w:jc w:val="center"/>
              <w:rPr>
                <w:sz w:val="28"/>
              </w:rPr>
            </w:pPr>
            <w:r>
              <w:rPr>
                <w:sz w:val="28"/>
              </w:rPr>
              <w:t>Вид доступа</w:t>
            </w:r>
          </w:p>
        </w:tc>
      </w:tr>
      <w:tr>
        <w:trPr>
          <w:trHeight w:val="1054" w:hRule="exact"/>
        </w:trPr>
        <w:tc>
          <w:tcPr>
            <w:tcW w:w="3370" w:type="dxa"/>
            <w:vMerge/>
          </w:tcPr>
          <w:p>
            <w:pPr/>
          </w:p>
        </w:tc>
        <w:tc>
          <w:tcPr>
            <w:tcW w:w="2835" w:type="dxa"/>
          </w:tcPr>
          <w:p>
            <w:pPr>
              <w:pStyle w:val="TableParagraph"/>
              <w:spacing w:line="388" w:lineRule="auto"/>
              <w:ind w:left="983" w:right="603" w:hanging="368"/>
              <w:rPr>
                <w:sz w:val="28"/>
              </w:rPr>
            </w:pPr>
            <w:r>
              <w:rPr>
                <w:sz w:val="28"/>
              </w:rPr>
              <w:t>Лапаротомия n=1289</w:t>
            </w:r>
          </w:p>
        </w:tc>
        <w:tc>
          <w:tcPr>
            <w:tcW w:w="2977" w:type="dxa"/>
          </w:tcPr>
          <w:p>
            <w:pPr>
              <w:pStyle w:val="TableParagraph"/>
              <w:spacing w:line="388" w:lineRule="auto"/>
              <w:ind w:left="1123" w:right="616" w:hanging="490"/>
              <w:rPr>
                <w:sz w:val="28"/>
              </w:rPr>
            </w:pPr>
            <w:r>
              <w:rPr>
                <w:sz w:val="28"/>
              </w:rPr>
              <w:t>Лапароскопия n=756</w:t>
            </w:r>
          </w:p>
        </w:tc>
      </w:tr>
      <w:tr>
        <w:trPr>
          <w:trHeight w:val="1054" w:hRule="exact"/>
        </w:trPr>
        <w:tc>
          <w:tcPr>
            <w:tcW w:w="3370" w:type="dxa"/>
          </w:tcPr>
          <w:p>
            <w:pPr>
              <w:pStyle w:val="TableParagraph"/>
              <w:spacing w:line="315" w:lineRule="exact"/>
              <w:ind w:left="329" w:right="329"/>
              <w:jc w:val="center"/>
              <w:rPr>
                <w:sz w:val="28"/>
              </w:rPr>
            </w:pPr>
            <w:r>
              <w:rPr>
                <w:sz w:val="28"/>
              </w:rPr>
              <w:t>Аденокарцинома</w:t>
            </w:r>
          </w:p>
        </w:tc>
        <w:tc>
          <w:tcPr>
            <w:tcW w:w="2835" w:type="dxa"/>
          </w:tcPr>
          <w:p>
            <w:pPr>
              <w:pStyle w:val="TableParagraph"/>
              <w:spacing w:before="254"/>
              <w:ind w:left="622" w:right="622"/>
              <w:jc w:val="center"/>
              <w:rPr>
                <w:sz w:val="28"/>
              </w:rPr>
            </w:pPr>
            <w:r>
              <w:rPr>
                <w:sz w:val="28"/>
              </w:rPr>
              <w:t>1149 (89,1%)</w:t>
            </w:r>
          </w:p>
        </w:tc>
        <w:tc>
          <w:tcPr>
            <w:tcW w:w="2977" w:type="dxa"/>
          </w:tcPr>
          <w:p>
            <w:pPr>
              <w:pStyle w:val="TableParagraph"/>
              <w:spacing w:before="254"/>
              <w:ind w:left="763" w:right="763"/>
              <w:jc w:val="center"/>
              <w:rPr>
                <w:sz w:val="28"/>
              </w:rPr>
            </w:pPr>
            <w:r>
              <w:rPr>
                <w:sz w:val="28"/>
              </w:rPr>
              <w:t>678 (89,7%)</w:t>
            </w:r>
          </w:p>
        </w:tc>
      </w:tr>
      <w:tr>
        <w:trPr>
          <w:trHeight w:val="1378" w:hRule="exact"/>
        </w:trPr>
        <w:tc>
          <w:tcPr>
            <w:tcW w:w="3370" w:type="dxa"/>
          </w:tcPr>
          <w:p>
            <w:pPr>
              <w:pStyle w:val="TableParagraph"/>
              <w:ind w:left="693" w:right="675" w:firstLine="196"/>
              <w:rPr>
                <w:sz w:val="28"/>
              </w:rPr>
            </w:pPr>
            <w:r>
              <w:rPr>
                <w:sz w:val="28"/>
              </w:rPr>
              <w:t>Папиллярная аденокарцинома</w:t>
            </w:r>
          </w:p>
        </w:tc>
        <w:tc>
          <w:tcPr>
            <w:tcW w:w="2835" w:type="dxa"/>
          </w:tcPr>
          <w:p>
            <w:pPr>
              <w:pStyle w:val="TableParagraph"/>
              <w:spacing w:before="1"/>
              <w:rPr>
                <w:sz w:val="36"/>
              </w:rPr>
            </w:pPr>
          </w:p>
          <w:p>
            <w:pPr>
              <w:pStyle w:val="TableParagraph"/>
              <w:spacing w:before="1"/>
              <w:ind w:left="622" w:right="620"/>
              <w:jc w:val="center"/>
              <w:rPr>
                <w:sz w:val="28"/>
              </w:rPr>
            </w:pPr>
            <w:r>
              <w:rPr>
                <w:sz w:val="28"/>
              </w:rPr>
              <w:t>30 (2,3%)</w:t>
            </w:r>
          </w:p>
        </w:tc>
        <w:tc>
          <w:tcPr>
            <w:tcW w:w="2977" w:type="dxa"/>
          </w:tcPr>
          <w:p>
            <w:pPr>
              <w:pStyle w:val="TableParagraph"/>
              <w:spacing w:before="1"/>
              <w:rPr>
                <w:sz w:val="36"/>
              </w:rPr>
            </w:pPr>
          </w:p>
          <w:p>
            <w:pPr>
              <w:pStyle w:val="TableParagraph"/>
              <w:spacing w:before="1"/>
              <w:ind w:left="762" w:right="763"/>
              <w:jc w:val="center"/>
              <w:rPr>
                <w:sz w:val="28"/>
              </w:rPr>
            </w:pPr>
            <w:r>
              <w:rPr>
                <w:sz w:val="28"/>
              </w:rPr>
              <w:t>16 (2,1%)</w:t>
            </w:r>
          </w:p>
        </w:tc>
      </w:tr>
      <w:tr>
        <w:trPr>
          <w:trHeight w:val="852" w:hRule="exact"/>
        </w:trPr>
        <w:tc>
          <w:tcPr>
            <w:tcW w:w="3370" w:type="dxa"/>
          </w:tcPr>
          <w:p>
            <w:pPr>
              <w:pStyle w:val="TableParagraph"/>
              <w:ind w:left="693" w:right="636" w:hanging="44"/>
              <w:rPr>
                <w:sz w:val="28"/>
              </w:rPr>
            </w:pPr>
            <w:r>
              <w:rPr>
                <w:sz w:val="28"/>
              </w:rPr>
              <w:t>Мезонефроидная аденокарцинома</w:t>
            </w:r>
          </w:p>
        </w:tc>
        <w:tc>
          <w:tcPr>
            <w:tcW w:w="2835" w:type="dxa"/>
          </w:tcPr>
          <w:p>
            <w:pPr>
              <w:pStyle w:val="TableParagraph"/>
              <w:spacing w:before="153"/>
              <w:ind w:left="622" w:right="621"/>
              <w:jc w:val="center"/>
              <w:rPr>
                <w:sz w:val="28"/>
              </w:rPr>
            </w:pPr>
            <w:r>
              <w:rPr>
                <w:sz w:val="28"/>
              </w:rPr>
              <w:t>14 (1,1%)</w:t>
            </w:r>
          </w:p>
        </w:tc>
        <w:tc>
          <w:tcPr>
            <w:tcW w:w="2977" w:type="dxa"/>
          </w:tcPr>
          <w:p>
            <w:pPr>
              <w:pStyle w:val="TableParagraph"/>
              <w:spacing w:before="153"/>
              <w:ind w:left="762" w:right="763"/>
              <w:jc w:val="center"/>
              <w:rPr>
                <w:sz w:val="28"/>
              </w:rPr>
            </w:pPr>
            <w:r>
              <w:rPr>
                <w:sz w:val="28"/>
              </w:rPr>
              <w:t>8 (1,0%)</w:t>
            </w:r>
          </w:p>
        </w:tc>
      </w:tr>
      <w:tr>
        <w:trPr>
          <w:trHeight w:val="1056" w:hRule="exact"/>
        </w:trPr>
        <w:tc>
          <w:tcPr>
            <w:tcW w:w="3370" w:type="dxa"/>
          </w:tcPr>
          <w:p>
            <w:pPr>
              <w:pStyle w:val="TableParagraph"/>
              <w:spacing w:line="317" w:lineRule="exact"/>
              <w:ind w:left="329" w:right="329"/>
              <w:jc w:val="center"/>
              <w:rPr>
                <w:sz w:val="28"/>
              </w:rPr>
            </w:pPr>
            <w:r>
              <w:rPr>
                <w:sz w:val="28"/>
              </w:rPr>
              <w:t>Аденосквамозный рак</w:t>
            </w:r>
          </w:p>
        </w:tc>
        <w:tc>
          <w:tcPr>
            <w:tcW w:w="2835" w:type="dxa"/>
          </w:tcPr>
          <w:p>
            <w:pPr>
              <w:pStyle w:val="TableParagraph"/>
              <w:spacing w:before="254"/>
              <w:ind w:left="622" w:right="621"/>
              <w:jc w:val="center"/>
              <w:rPr>
                <w:sz w:val="28"/>
              </w:rPr>
            </w:pPr>
            <w:r>
              <w:rPr>
                <w:sz w:val="28"/>
              </w:rPr>
              <w:t>30 (2,3%)</w:t>
            </w:r>
          </w:p>
        </w:tc>
        <w:tc>
          <w:tcPr>
            <w:tcW w:w="2977" w:type="dxa"/>
          </w:tcPr>
          <w:p>
            <w:pPr>
              <w:pStyle w:val="TableParagraph"/>
              <w:spacing w:before="254"/>
              <w:ind w:left="762" w:right="763"/>
              <w:jc w:val="center"/>
              <w:rPr>
                <w:sz w:val="28"/>
              </w:rPr>
            </w:pPr>
            <w:r>
              <w:rPr>
                <w:sz w:val="28"/>
              </w:rPr>
              <w:t>18 (2,4%)</w:t>
            </w:r>
          </w:p>
        </w:tc>
      </w:tr>
      <w:tr>
        <w:trPr>
          <w:trHeight w:val="1054" w:hRule="exact"/>
        </w:trPr>
        <w:tc>
          <w:tcPr>
            <w:tcW w:w="3370" w:type="dxa"/>
          </w:tcPr>
          <w:p>
            <w:pPr>
              <w:pStyle w:val="TableParagraph"/>
              <w:spacing w:line="315" w:lineRule="exact"/>
              <w:ind w:left="329" w:right="329"/>
              <w:jc w:val="center"/>
              <w:rPr>
                <w:sz w:val="28"/>
              </w:rPr>
            </w:pPr>
            <w:r>
              <w:rPr>
                <w:sz w:val="28"/>
              </w:rPr>
              <w:t>Аденоакантома</w:t>
            </w:r>
          </w:p>
        </w:tc>
        <w:tc>
          <w:tcPr>
            <w:tcW w:w="2835" w:type="dxa"/>
          </w:tcPr>
          <w:p>
            <w:pPr>
              <w:pStyle w:val="TableParagraph"/>
              <w:spacing w:before="255"/>
              <w:ind w:left="622" w:right="621"/>
              <w:jc w:val="center"/>
              <w:rPr>
                <w:sz w:val="28"/>
              </w:rPr>
            </w:pPr>
            <w:r>
              <w:rPr>
                <w:sz w:val="28"/>
              </w:rPr>
              <w:t>60 (4,7%)</w:t>
            </w:r>
          </w:p>
        </w:tc>
        <w:tc>
          <w:tcPr>
            <w:tcW w:w="2977" w:type="dxa"/>
          </w:tcPr>
          <w:p>
            <w:pPr>
              <w:pStyle w:val="TableParagraph"/>
              <w:spacing w:before="255"/>
              <w:ind w:left="762" w:right="763"/>
              <w:jc w:val="center"/>
              <w:rPr>
                <w:sz w:val="28"/>
              </w:rPr>
            </w:pPr>
            <w:r>
              <w:rPr>
                <w:sz w:val="28"/>
              </w:rPr>
              <w:t>31 (4,1%)</w:t>
            </w:r>
          </w:p>
        </w:tc>
      </w:tr>
      <w:tr>
        <w:trPr>
          <w:trHeight w:val="1375" w:hRule="exact"/>
        </w:trPr>
        <w:tc>
          <w:tcPr>
            <w:tcW w:w="3370" w:type="dxa"/>
          </w:tcPr>
          <w:p>
            <w:pPr>
              <w:pStyle w:val="TableParagraph"/>
              <w:ind w:left="1478" w:right="167" w:hanging="1299"/>
              <w:rPr>
                <w:sz w:val="28"/>
              </w:rPr>
            </w:pPr>
            <w:r>
              <w:rPr>
                <w:sz w:val="28"/>
              </w:rPr>
              <w:t>Недифференцированный рак</w:t>
            </w:r>
          </w:p>
        </w:tc>
        <w:tc>
          <w:tcPr>
            <w:tcW w:w="2835" w:type="dxa"/>
          </w:tcPr>
          <w:p>
            <w:pPr>
              <w:pStyle w:val="TableParagraph"/>
              <w:spacing w:before="1"/>
              <w:rPr>
                <w:sz w:val="36"/>
              </w:rPr>
            </w:pPr>
          </w:p>
          <w:p>
            <w:pPr>
              <w:pStyle w:val="TableParagraph"/>
              <w:ind w:left="621" w:right="622"/>
              <w:jc w:val="center"/>
              <w:rPr>
                <w:sz w:val="28"/>
              </w:rPr>
            </w:pPr>
            <w:r>
              <w:rPr>
                <w:sz w:val="28"/>
              </w:rPr>
              <w:t>6 (0,5%)</w:t>
            </w:r>
          </w:p>
        </w:tc>
        <w:tc>
          <w:tcPr>
            <w:tcW w:w="2977" w:type="dxa"/>
          </w:tcPr>
          <w:p>
            <w:pPr>
              <w:pStyle w:val="TableParagraph"/>
              <w:spacing w:before="1"/>
              <w:rPr>
                <w:sz w:val="36"/>
              </w:rPr>
            </w:pPr>
          </w:p>
          <w:p>
            <w:pPr>
              <w:pStyle w:val="TableParagraph"/>
              <w:ind w:left="762" w:right="763"/>
              <w:jc w:val="center"/>
              <w:rPr>
                <w:sz w:val="28"/>
              </w:rPr>
            </w:pPr>
            <w:r>
              <w:rPr>
                <w:sz w:val="28"/>
              </w:rPr>
              <w:t>5 (0,7%)</w:t>
            </w:r>
          </w:p>
        </w:tc>
      </w:tr>
    </w:tbl>
    <w:p>
      <w:pPr>
        <w:pStyle w:val="BodyText"/>
        <w:rPr>
          <w:sz w:val="30"/>
        </w:rPr>
      </w:pPr>
    </w:p>
    <w:p>
      <w:pPr>
        <w:pStyle w:val="BodyText"/>
        <w:spacing w:before="10"/>
      </w:pPr>
    </w:p>
    <w:p>
      <w:pPr>
        <w:pStyle w:val="BodyText"/>
        <w:spacing w:line="360" w:lineRule="auto"/>
        <w:ind w:left="222" w:right="124" w:firstLine="1055"/>
        <w:jc w:val="both"/>
      </w:pPr>
      <w:r>
        <w:rPr/>
        <w:t>На долю высоко- и умереннодифференцированных аденокарцином в обеих группах пришлось около 85% всех наблюдений. В проспективной группе преобладали опухоли с высокой</w:t>
      </w:r>
      <w:r>
        <w:rPr>
          <w:spacing w:val="-20"/>
        </w:rPr>
        <w:t> </w:t>
      </w:r>
      <w:r>
        <w:rPr/>
        <w:t>степенью</w:t>
      </w:r>
    </w:p>
    <w:p>
      <w:pPr>
        <w:spacing w:after="0" w:line="360" w:lineRule="auto"/>
        <w:jc w:val="both"/>
        <w:sectPr>
          <w:headerReference w:type="default" r:id="rId58"/>
          <w:pgSz w:w="11900" w:h="16850"/>
          <w:pgMar w:header="712" w:footer="0" w:top="1020" w:bottom="280" w:left="1480" w:right="1000"/>
          <w:pgNumType w:start="120"/>
        </w:sectPr>
      </w:pPr>
    </w:p>
    <w:p>
      <w:pPr>
        <w:pStyle w:val="BodyText"/>
        <w:rPr>
          <w:sz w:val="20"/>
        </w:rPr>
      </w:pPr>
    </w:p>
    <w:p>
      <w:pPr>
        <w:pStyle w:val="BodyText"/>
        <w:rPr>
          <w:sz w:val="20"/>
        </w:rPr>
      </w:pPr>
    </w:p>
    <w:p>
      <w:pPr>
        <w:pStyle w:val="BodyText"/>
        <w:spacing w:line="360" w:lineRule="auto" w:before="224"/>
        <w:ind w:left="122" w:right="119"/>
        <w:jc w:val="both"/>
      </w:pPr>
      <w:r>
        <w:rPr/>
        <w:t>дифференцировки (38,9% и 27% соответственно), в то время как в ретроспективном разделе исследования чаще встречались умереннодифференцированные новообразования (Табл. 3.12).</w:t>
      </w:r>
    </w:p>
    <w:p>
      <w:pPr>
        <w:pStyle w:val="BodyText"/>
        <w:spacing w:line="508" w:lineRule="auto" w:before="207" w:after="22"/>
        <w:ind w:left="1182" w:right="106" w:firstLine="6450"/>
      </w:pPr>
      <w:r>
        <w:rPr/>
        <w:t>Таблица 3.12 Степень дифференцировки опухоли у больных раком эндометрия</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2552"/>
        <w:gridCol w:w="2552"/>
        <w:gridCol w:w="2410"/>
      </w:tblGrid>
      <w:tr>
        <w:trPr>
          <w:trHeight w:val="2098" w:hRule="exact"/>
        </w:trPr>
        <w:tc>
          <w:tcPr>
            <w:tcW w:w="1560" w:type="dxa"/>
          </w:tcPr>
          <w:p>
            <w:pPr>
              <w:pStyle w:val="TableParagraph"/>
              <w:spacing w:line="388" w:lineRule="auto"/>
              <w:ind w:left="103" w:right="140"/>
              <w:rPr>
                <w:sz w:val="28"/>
              </w:rPr>
            </w:pPr>
            <w:r>
              <w:rPr>
                <w:sz w:val="28"/>
              </w:rPr>
              <w:t>Степень дифферен- цировки</w:t>
            </w:r>
          </w:p>
        </w:tc>
        <w:tc>
          <w:tcPr>
            <w:tcW w:w="2552" w:type="dxa"/>
          </w:tcPr>
          <w:p>
            <w:pPr>
              <w:pStyle w:val="TableParagraph"/>
              <w:ind w:left="134" w:right="130" w:hanging="2"/>
              <w:jc w:val="center"/>
              <w:rPr>
                <w:sz w:val="28"/>
              </w:rPr>
            </w:pPr>
            <w:r>
              <w:rPr>
                <w:sz w:val="28"/>
              </w:rPr>
              <w:t>Высоко- дифференцирован- ная        эндометриоидная аденокарцинома</w:t>
            </w:r>
          </w:p>
        </w:tc>
        <w:tc>
          <w:tcPr>
            <w:tcW w:w="2552" w:type="dxa"/>
          </w:tcPr>
          <w:p>
            <w:pPr>
              <w:pStyle w:val="TableParagraph"/>
              <w:ind w:left="134" w:right="130" w:hanging="2"/>
              <w:jc w:val="center"/>
              <w:rPr>
                <w:sz w:val="28"/>
              </w:rPr>
            </w:pPr>
            <w:r>
              <w:rPr>
                <w:sz w:val="28"/>
              </w:rPr>
              <w:t>Умеренно- дифференцирован- ная        эндометриоидная аденокарцинома</w:t>
            </w:r>
          </w:p>
        </w:tc>
        <w:tc>
          <w:tcPr>
            <w:tcW w:w="2410" w:type="dxa"/>
          </w:tcPr>
          <w:p>
            <w:pPr>
              <w:pStyle w:val="TableParagraph"/>
              <w:ind w:left="110" w:right="109" w:firstLine="1"/>
              <w:jc w:val="center"/>
              <w:rPr>
                <w:sz w:val="28"/>
              </w:rPr>
            </w:pPr>
            <w:r>
              <w:rPr>
                <w:sz w:val="28"/>
              </w:rPr>
              <w:t>Низко- дифференцирован</w:t>
            </w:r>
          </w:p>
          <w:p>
            <w:pPr>
              <w:pStyle w:val="TableParagraph"/>
              <w:spacing w:before="6"/>
              <w:ind w:left="146" w:right="149" w:firstLine="4"/>
              <w:jc w:val="center"/>
              <w:rPr>
                <w:sz w:val="28"/>
              </w:rPr>
            </w:pPr>
            <w:r>
              <w:rPr>
                <w:sz w:val="28"/>
              </w:rPr>
              <w:t>-ная     эндометриоидная аденокарцинома</w:t>
            </w:r>
          </w:p>
        </w:tc>
      </w:tr>
      <w:tr>
        <w:trPr>
          <w:trHeight w:val="1176" w:hRule="exact"/>
        </w:trPr>
        <w:tc>
          <w:tcPr>
            <w:tcW w:w="1560" w:type="dxa"/>
          </w:tcPr>
          <w:p>
            <w:pPr>
              <w:pStyle w:val="TableParagraph"/>
              <w:ind w:left="103" w:right="258" w:firstLine="157"/>
              <w:jc w:val="center"/>
              <w:rPr>
                <w:sz w:val="28"/>
              </w:rPr>
            </w:pPr>
            <w:r>
              <w:rPr>
                <w:sz w:val="28"/>
              </w:rPr>
              <w:t>Лапаро- томия</w:t>
            </w:r>
          </w:p>
          <w:p>
            <w:pPr>
              <w:pStyle w:val="TableParagraph"/>
              <w:spacing w:before="208"/>
              <w:ind w:left="85" w:right="240"/>
              <w:jc w:val="center"/>
              <w:rPr>
                <w:sz w:val="28"/>
              </w:rPr>
            </w:pPr>
            <w:r>
              <w:rPr>
                <w:sz w:val="28"/>
              </w:rPr>
              <w:t>(n=1280)*</w:t>
            </w:r>
          </w:p>
        </w:tc>
        <w:tc>
          <w:tcPr>
            <w:tcW w:w="2552" w:type="dxa"/>
          </w:tcPr>
          <w:p>
            <w:pPr>
              <w:pStyle w:val="TableParagraph"/>
              <w:spacing w:line="315" w:lineRule="exact"/>
              <w:ind w:left="796" w:right="795"/>
              <w:jc w:val="center"/>
              <w:rPr>
                <w:sz w:val="28"/>
              </w:rPr>
            </w:pPr>
            <w:r>
              <w:rPr>
                <w:sz w:val="28"/>
              </w:rPr>
              <w:t>345</w:t>
            </w:r>
          </w:p>
          <w:p>
            <w:pPr>
              <w:pStyle w:val="TableParagraph"/>
              <w:spacing w:before="201"/>
              <w:ind w:left="1080"/>
              <w:rPr>
                <w:sz w:val="28"/>
              </w:rPr>
            </w:pPr>
            <w:r>
              <w:rPr>
                <w:sz w:val="28"/>
              </w:rPr>
              <w:t>(27%)</w:t>
            </w:r>
          </w:p>
        </w:tc>
        <w:tc>
          <w:tcPr>
            <w:tcW w:w="2552" w:type="dxa"/>
          </w:tcPr>
          <w:p>
            <w:pPr>
              <w:pStyle w:val="TableParagraph"/>
              <w:spacing w:line="315" w:lineRule="exact"/>
              <w:ind w:left="795" w:right="794"/>
              <w:jc w:val="center"/>
              <w:rPr>
                <w:sz w:val="28"/>
              </w:rPr>
            </w:pPr>
            <w:r>
              <w:rPr>
                <w:sz w:val="28"/>
              </w:rPr>
              <w:t>708</w:t>
            </w:r>
          </w:p>
          <w:p>
            <w:pPr>
              <w:pStyle w:val="TableParagraph"/>
              <w:spacing w:before="201"/>
              <w:ind w:left="794" w:right="795"/>
              <w:jc w:val="center"/>
              <w:rPr>
                <w:sz w:val="28"/>
              </w:rPr>
            </w:pPr>
            <w:r>
              <w:rPr>
                <w:sz w:val="28"/>
              </w:rPr>
              <w:t>(55,3%)</w:t>
            </w:r>
          </w:p>
        </w:tc>
        <w:tc>
          <w:tcPr>
            <w:tcW w:w="2410" w:type="dxa"/>
          </w:tcPr>
          <w:p>
            <w:pPr>
              <w:pStyle w:val="TableParagraph"/>
              <w:spacing w:line="315" w:lineRule="exact"/>
              <w:ind w:left="725" w:right="725"/>
              <w:jc w:val="center"/>
              <w:rPr>
                <w:sz w:val="28"/>
              </w:rPr>
            </w:pPr>
            <w:r>
              <w:rPr>
                <w:sz w:val="28"/>
              </w:rPr>
              <w:t>227</w:t>
            </w:r>
          </w:p>
          <w:p>
            <w:pPr>
              <w:pStyle w:val="TableParagraph"/>
              <w:spacing w:before="201"/>
              <w:ind w:left="725" w:right="725"/>
              <w:jc w:val="center"/>
              <w:rPr>
                <w:sz w:val="28"/>
              </w:rPr>
            </w:pPr>
            <w:r>
              <w:rPr>
                <w:sz w:val="28"/>
              </w:rPr>
              <w:t>(17,7%)</w:t>
            </w:r>
          </w:p>
        </w:tc>
      </w:tr>
      <w:tr>
        <w:trPr>
          <w:trHeight w:val="1176" w:hRule="exact"/>
        </w:trPr>
        <w:tc>
          <w:tcPr>
            <w:tcW w:w="1560" w:type="dxa"/>
          </w:tcPr>
          <w:p>
            <w:pPr>
              <w:pStyle w:val="TableParagraph"/>
              <w:ind w:left="359" w:right="277" w:hanging="68"/>
              <w:rPr>
                <w:sz w:val="28"/>
              </w:rPr>
            </w:pPr>
            <w:r>
              <w:rPr>
                <w:sz w:val="28"/>
              </w:rPr>
              <w:t>Лапаро- скопия</w:t>
            </w:r>
          </w:p>
          <w:p>
            <w:pPr>
              <w:pStyle w:val="TableParagraph"/>
              <w:spacing w:before="208"/>
              <w:ind w:left="103"/>
              <w:rPr>
                <w:sz w:val="28"/>
              </w:rPr>
            </w:pPr>
            <w:r>
              <w:rPr>
                <w:sz w:val="28"/>
              </w:rPr>
              <w:t>(n=756)</w:t>
            </w:r>
          </w:p>
        </w:tc>
        <w:tc>
          <w:tcPr>
            <w:tcW w:w="2552" w:type="dxa"/>
          </w:tcPr>
          <w:p>
            <w:pPr>
              <w:pStyle w:val="TableParagraph"/>
              <w:spacing w:line="315" w:lineRule="exact"/>
              <w:ind w:left="796" w:right="795"/>
              <w:jc w:val="center"/>
              <w:rPr>
                <w:sz w:val="28"/>
              </w:rPr>
            </w:pPr>
            <w:r>
              <w:rPr>
                <w:sz w:val="28"/>
              </w:rPr>
              <w:t>294</w:t>
            </w:r>
          </w:p>
          <w:p>
            <w:pPr>
              <w:pStyle w:val="TableParagraph"/>
              <w:spacing w:before="201"/>
              <w:ind w:left="796" w:right="796"/>
              <w:jc w:val="center"/>
              <w:rPr>
                <w:sz w:val="28"/>
              </w:rPr>
            </w:pPr>
            <w:r>
              <w:rPr>
                <w:sz w:val="28"/>
              </w:rPr>
              <w:t>(38,9%)</w:t>
            </w:r>
          </w:p>
        </w:tc>
        <w:tc>
          <w:tcPr>
            <w:tcW w:w="2552" w:type="dxa"/>
          </w:tcPr>
          <w:p>
            <w:pPr>
              <w:pStyle w:val="TableParagraph"/>
              <w:spacing w:line="315" w:lineRule="exact"/>
              <w:ind w:left="795" w:right="794"/>
              <w:jc w:val="center"/>
              <w:rPr>
                <w:sz w:val="28"/>
              </w:rPr>
            </w:pPr>
            <w:r>
              <w:rPr>
                <w:sz w:val="28"/>
              </w:rPr>
              <w:t>347</w:t>
            </w:r>
          </w:p>
          <w:p>
            <w:pPr>
              <w:pStyle w:val="TableParagraph"/>
              <w:spacing w:before="201"/>
              <w:ind w:left="795" w:right="794"/>
              <w:jc w:val="center"/>
              <w:rPr>
                <w:sz w:val="28"/>
              </w:rPr>
            </w:pPr>
            <w:r>
              <w:rPr>
                <w:sz w:val="28"/>
              </w:rPr>
              <w:t>(45,9%)</w:t>
            </w:r>
          </w:p>
        </w:tc>
        <w:tc>
          <w:tcPr>
            <w:tcW w:w="2410" w:type="dxa"/>
          </w:tcPr>
          <w:p>
            <w:pPr>
              <w:pStyle w:val="TableParagraph"/>
              <w:spacing w:line="315" w:lineRule="exact"/>
              <w:ind w:left="725" w:right="725"/>
              <w:jc w:val="center"/>
              <w:rPr>
                <w:sz w:val="28"/>
              </w:rPr>
            </w:pPr>
            <w:r>
              <w:rPr>
                <w:sz w:val="28"/>
              </w:rPr>
              <w:t>115</w:t>
            </w:r>
          </w:p>
          <w:p>
            <w:pPr>
              <w:pStyle w:val="TableParagraph"/>
              <w:spacing w:before="201"/>
              <w:ind w:left="725" w:right="725"/>
              <w:jc w:val="center"/>
              <w:rPr>
                <w:sz w:val="28"/>
              </w:rPr>
            </w:pPr>
            <w:r>
              <w:rPr>
                <w:sz w:val="28"/>
              </w:rPr>
              <w:t>(15,2%)</w:t>
            </w:r>
          </w:p>
        </w:tc>
      </w:tr>
    </w:tbl>
    <w:p>
      <w:pPr>
        <w:pStyle w:val="BodyText"/>
        <w:spacing w:line="360" w:lineRule="auto"/>
        <w:ind w:left="122" w:right="128"/>
        <w:jc w:val="both"/>
      </w:pPr>
      <w:r>
        <w:rPr/>
        <w:t>* у 9 больных контрольной группы не удалось уточнить степень дифференцировки опухоли.</w:t>
      </w:r>
    </w:p>
    <w:p>
      <w:pPr>
        <w:pStyle w:val="BodyText"/>
        <w:spacing w:line="360" w:lineRule="auto" w:before="207"/>
        <w:ind w:left="122" w:right="126"/>
        <w:jc w:val="both"/>
      </w:pPr>
      <w:r>
        <w:rPr/>
        <w:t>Несмотря на наличие указанных различий в изучаемых группах больных, по остальным характеристикам опухолевого процесса они оказались идентичны. В связи с этим, проводимые в дальнейшем сопоставления представляются нам вполне корректными.</w:t>
      </w:r>
    </w:p>
    <w:p>
      <w:pPr>
        <w:pStyle w:val="BodyText"/>
        <w:spacing w:line="360" w:lineRule="auto" w:before="204"/>
        <w:ind w:left="122" w:right="124" w:firstLine="208"/>
        <w:jc w:val="both"/>
      </w:pPr>
      <w:r>
        <w:rPr/>
        <w:t>Распределение больных раком эндометрия по гистологическим типам и по степени дифференцировки опухоли в зависимости от степени распространенности опухолевого процесса представлено на примере больных ретроспективной части исследования (Табл. 3.13).</w:t>
      </w:r>
    </w:p>
    <w:p>
      <w:pPr>
        <w:spacing w:after="0" w:line="360" w:lineRule="auto"/>
        <w:jc w:val="both"/>
        <w:sectPr>
          <w:pgSz w:w="11900" w:h="16850"/>
          <w:pgMar w:header="712" w:footer="0" w:top="1020" w:bottom="280" w:left="1580" w:right="1000"/>
        </w:sectPr>
      </w:pPr>
    </w:p>
    <w:p>
      <w:pPr>
        <w:pStyle w:val="BodyText"/>
        <w:spacing w:line="321" w:lineRule="exact"/>
        <w:ind w:left="4967"/>
      </w:pPr>
      <w:r>
        <w:rPr/>
        <w:t>Таблица 3.13</w:t>
      </w:r>
    </w:p>
    <w:p>
      <w:pPr>
        <w:pStyle w:val="BodyText"/>
        <w:spacing w:before="120"/>
        <w:ind w:left="716" w:right="633" w:hanging="111"/>
      </w:pPr>
      <w:r>
        <w:rPr/>
        <w:t>Распределение случаев рака эндометрия по гистологическим типам в зависимости от степени распространенности опухолевого процесса</w:t>
      </w:r>
    </w:p>
    <w:p>
      <w:pPr>
        <w:pStyle w:val="BodyText"/>
        <w:spacing w:before="2"/>
        <w:rPr>
          <w:sz w:val="1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4"/>
        <w:gridCol w:w="1750"/>
        <w:gridCol w:w="2220"/>
        <w:gridCol w:w="2127"/>
        <w:gridCol w:w="991"/>
      </w:tblGrid>
      <w:tr>
        <w:trPr>
          <w:trHeight w:val="739" w:hRule="exact"/>
        </w:trPr>
        <w:tc>
          <w:tcPr>
            <w:tcW w:w="2234" w:type="dxa"/>
            <w:vMerge w:val="restart"/>
          </w:tcPr>
          <w:p>
            <w:pPr>
              <w:pStyle w:val="TableParagraph"/>
              <w:rPr>
                <w:sz w:val="30"/>
              </w:rPr>
            </w:pPr>
          </w:p>
          <w:p>
            <w:pPr>
              <w:pStyle w:val="TableParagraph"/>
              <w:spacing w:before="178"/>
              <w:ind w:left="647" w:right="231" w:hanging="399"/>
              <w:rPr>
                <w:sz w:val="28"/>
              </w:rPr>
            </w:pPr>
            <w:r>
              <w:rPr>
                <w:sz w:val="28"/>
              </w:rPr>
              <w:t>Гистологичес- кий тип</w:t>
            </w:r>
          </w:p>
        </w:tc>
        <w:tc>
          <w:tcPr>
            <w:tcW w:w="6098" w:type="dxa"/>
            <w:gridSpan w:val="3"/>
          </w:tcPr>
          <w:p>
            <w:pPr>
              <w:pStyle w:val="TableParagraph"/>
              <w:spacing w:line="315" w:lineRule="exact"/>
              <w:ind w:left="725"/>
              <w:rPr>
                <w:sz w:val="28"/>
              </w:rPr>
            </w:pPr>
            <w:r>
              <w:rPr>
                <w:sz w:val="28"/>
              </w:rPr>
              <w:t>Характеристика опухолевого процесса</w:t>
            </w:r>
          </w:p>
        </w:tc>
        <w:tc>
          <w:tcPr>
            <w:tcW w:w="991" w:type="dxa"/>
            <w:vMerge w:val="restart"/>
          </w:tcPr>
          <w:p>
            <w:pPr>
              <w:pStyle w:val="TableParagraph"/>
              <w:rPr>
                <w:sz w:val="30"/>
              </w:rPr>
            </w:pPr>
          </w:p>
          <w:p>
            <w:pPr>
              <w:pStyle w:val="TableParagraph"/>
              <w:spacing w:before="5"/>
              <w:rPr>
                <w:sz w:val="29"/>
              </w:rPr>
            </w:pPr>
          </w:p>
          <w:p>
            <w:pPr>
              <w:pStyle w:val="TableParagraph"/>
              <w:ind w:left="143"/>
              <w:rPr>
                <w:sz w:val="28"/>
              </w:rPr>
            </w:pPr>
            <w:r>
              <w:rPr>
                <w:sz w:val="28"/>
              </w:rPr>
              <w:t>Всего</w:t>
            </w:r>
          </w:p>
        </w:tc>
      </w:tr>
      <w:tr>
        <w:trPr>
          <w:trHeight w:val="1176" w:hRule="exact"/>
        </w:trPr>
        <w:tc>
          <w:tcPr>
            <w:tcW w:w="2234" w:type="dxa"/>
            <w:vMerge/>
          </w:tcPr>
          <w:p>
            <w:pPr/>
          </w:p>
        </w:tc>
        <w:tc>
          <w:tcPr>
            <w:tcW w:w="1750" w:type="dxa"/>
          </w:tcPr>
          <w:p>
            <w:pPr>
              <w:pStyle w:val="TableParagraph"/>
              <w:ind w:left="624" w:right="172" w:hanging="437"/>
              <w:rPr>
                <w:sz w:val="28"/>
              </w:rPr>
            </w:pPr>
            <w:r>
              <w:rPr>
                <w:sz w:val="28"/>
              </w:rPr>
              <w:t>Минималь- ный</w:t>
            </w:r>
          </w:p>
        </w:tc>
        <w:tc>
          <w:tcPr>
            <w:tcW w:w="2220" w:type="dxa"/>
          </w:tcPr>
          <w:p>
            <w:pPr>
              <w:pStyle w:val="TableParagraph"/>
              <w:ind w:left="179" w:right="180" w:hanging="3"/>
              <w:jc w:val="center"/>
              <w:rPr>
                <w:sz w:val="28"/>
              </w:rPr>
            </w:pPr>
            <w:r>
              <w:rPr>
                <w:sz w:val="28"/>
              </w:rPr>
              <w:t>Местно- распространен- ный</w:t>
            </w:r>
          </w:p>
        </w:tc>
        <w:tc>
          <w:tcPr>
            <w:tcW w:w="2127" w:type="dxa"/>
          </w:tcPr>
          <w:p>
            <w:pPr>
              <w:pStyle w:val="TableParagraph"/>
              <w:spacing w:before="153"/>
              <w:ind w:left="839" w:right="168" w:hanging="656"/>
              <w:rPr>
                <w:sz w:val="28"/>
              </w:rPr>
            </w:pPr>
            <w:r>
              <w:rPr>
                <w:sz w:val="28"/>
              </w:rPr>
              <w:t>Метастатичес- кий</w:t>
            </w:r>
          </w:p>
        </w:tc>
        <w:tc>
          <w:tcPr>
            <w:tcW w:w="991" w:type="dxa"/>
            <w:vMerge/>
          </w:tcPr>
          <w:p>
            <w:pPr/>
          </w:p>
        </w:tc>
      </w:tr>
      <w:tr>
        <w:trPr>
          <w:trHeight w:val="1577" w:hRule="exact"/>
        </w:trPr>
        <w:tc>
          <w:tcPr>
            <w:tcW w:w="2234" w:type="dxa"/>
          </w:tcPr>
          <w:p>
            <w:pPr>
              <w:pStyle w:val="TableParagraph"/>
              <w:ind w:left="815" w:right="317" w:hanging="480"/>
              <w:rPr>
                <w:sz w:val="28"/>
              </w:rPr>
            </w:pPr>
            <w:r>
              <w:rPr>
                <w:sz w:val="28"/>
              </w:rPr>
              <w:t>Аденокарци- нома</w:t>
            </w:r>
          </w:p>
        </w:tc>
        <w:tc>
          <w:tcPr>
            <w:tcW w:w="1750" w:type="dxa"/>
          </w:tcPr>
          <w:p>
            <w:pPr>
              <w:pStyle w:val="TableParagraph"/>
              <w:spacing w:line="315" w:lineRule="exact"/>
              <w:ind w:left="348" w:right="349"/>
              <w:jc w:val="center"/>
              <w:rPr>
                <w:sz w:val="28"/>
              </w:rPr>
            </w:pPr>
            <w:r>
              <w:rPr>
                <w:sz w:val="28"/>
              </w:rPr>
              <w:t>373</w:t>
            </w:r>
          </w:p>
          <w:p>
            <w:pPr>
              <w:pStyle w:val="TableParagraph"/>
              <w:spacing w:before="201"/>
              <w:ind w:left="348" w:right="349"/>
              <w:jc w:val="center"/>
              <w:rPr>
                <w:sz w:val="28"/>
              </w:rPr>
            </w:pPr>
            <w:r>
              <w:rPr>
                <w:sz w:val="28"/>
              </w:rPr>
              <w:t>32,5%*</w:t>
            </w:r>
          </w:p>
          <w:p>
            <w:pPr>
              <w:pStyle w:val="TableParagraph"/>
              <w:spacing w:before="199"/>
              <w:ind w:left="348" w:right="349"/>
              <w:jc w:val="center"/>
              <w:rPr>
                <w:sz w:val="28"/>
              </w:rPr>
            </w:pPr>
            <w:r>
              <w:rPr>
                <w:sz w:val="28"/>
              </w:rPr>
              <w:t>92,1%**</w:t>
            </w:r>
          </w:p>
        </w:tc>
        <w:tc>
          <w:tcPr>
            <w:tcW w:w="2220" w:type="dxa"/>
          </w:tcPr>
          <w:p>
            <w:pPr>
              <w:pStyle w:val="TableParagraph"/>
              <w:spacing w:line="315" w:lineRule="exact"/>
              <w:ind w:left="581" w:right="582"/>
              <w:jc w:val="center"/>
              <w:rPr>
                <w:sz w:val="28"/>
              </w:rPr>
            </w:pPr>
            <w:r>
              <w:rPr>
                <w:sz w:val="28"/>
              </w:rPr>
              <w:t>641</w:t>
            </w:r>
          </w:p>
          <w:p>
            <w:pPr>
              <w:pStyle w:val="TableParagraph"/>
              <w:spacing w:before="201"/>
              <w:ind w:left="581" w:right="586"/>
              <w:jc w:val="center"/>
              <w:rPr>
                <w:sz w:val="28"/>
              </w:rPr>
            </w:pPr>
            <w:r>
              <w:rPr>
                <w:sz w:val="28"/>
              </w:rPr>
              <w:t>55,8%*</w:t>
            </w:r>
          </w:p>
          <w:p>
            <w:pPr>
              <w:pStyle w:val="TableParagraph"/>
              <w:spacing w:before="199"/>
              <w:ind w:left="581" w:right="586"/>
              <w:jc w:val="center"/>
              <w:rPr>
                <w:sz w:val="28"/>
              </w:rPr>
            </w:pPr>
            <w:r>
              <w:rPr>
                <w:sz w:val="28"/>
              </w:rPr>
              <w:t>88,9%**</w:t>
            </w:r>
          </w:p>
        </w:tc>
        <w:tc>
          <w:tcPr>
            <w:tcW w:w="2127" w:type="dxa"/>
          </w:tcPr>
          <w:p>
            <w:pPr>
              <w:pStyle w:val="TableParagraph"/>
              <w:spacing w:line="315" w:lineRule="exact"/>
              <w:ind w:left="537" w:right="537"/>
              <w:jc w:val="center"/>
              <w:rPr>
                <w:sz w:val="28"/>
              </w:rPr>
            </w:pPr>
            <w:r>
              <w:rPr>
                <w:sz w:val="28"/>
              </w:rPr>
              <w:t>135</w:t>
            </w:r>
          </w:p>
          <w:p>
            <w:pPr>
              <w:pStyle w:val="TableParagraph"/>
              <w:spacing w:before="201"/>
              <w:ind w:left="537" w:right="537"/>
              <w:jc w:val="center"/>
              <w:rPr>
                <w:sz w:val="28"/>
              </w:rPr>
            </w:pPr>
            <w:r>
              <w:rPr>
                <w:sz w:val="28"/>
              </w:rPr>
              <w:t>11,7%*</w:t>
            </w:r>
          </w:p>
          <w:p>
            <w:pPr>
              <w:pStyle w:val="TableParagraph"/>
              <w:spacing w:before="199"/>
              <w:ind w:left="537" w:right="537"/>
              <w:jc w:val="center"/>
              <w:rPr>
                <w:sz w:val="28"/>
              </w:rPr>
            </w:pPr>
            <w:r>
              <w:rPr>
                <w:sz w:val="28"/>
              </w:rPr>
              <w:t>82,8%**</w:t>
            </w:r>
          </w:p>
        </w:tc>
        <w:tc>
          <w:tcPr>
            <w:tcW w:w="991" w:type="dxa"/>
          </w:tcPr>
          <w:p>
            <w:pPr>
              <w:pStyle w:val="TableParagraph"/>
              <w:spacing w:before="254"/>
              <w:ind w:left="211"/>
              <w:rPr>
                <w:sz w:val="28"/>
              </w:rPr>
            </w:pPr>
            <w:r>
              <w:rPr>
                <w:sz w:val="28"/>
              </w:rPr>
              <w:t>1149</w:t>
            </w:r>
          </w:p>
          <w:p>
            <w:pPr>
              <w:pStyle w:val="TableParagraph"/>
              <w:spacing w:before="199"/>
              <w:ind w:left="129"/>
              <w:rPr>
                <w:sz w:val="28"/>
              </w:rPr>
            </w:pPr>
            <w:r>
              <w:rPr>
                <w:sz w:val="28"/>
              </w:rPr>
              <w:t>89,1%</w:t>
            </w:r>
          </w:p>
        </w:tc>
      </w:tr>
      <w:tr>
        <w:trPr>
          <w:trHeight w:val="1574" w:hRule="exact"/>
        </w:trPr>
        <w:tc>
          <w:tcPr>
            <w:tcW w:w="2234" w:type="dxa"/>
          </w:tcPr>
          <w:p>
            <w:pPr>
              <w:pStyle w:val="TableParagraph"/>
              <w:ind w:left="124" w:right="108" w:firstLine="196"/>
              <w:rPr>
                <w:sz w:val="28"/>
              </w:rPr>
            </w:pPr>
            <w:r>
              <w:rPr>
                <w:sz w:val="28"/>
              </w:rPr>
              <w:t>Папиллярная аденокарцинома</w:t>
            </w:r>
          </w:p>
        </w:tc>
        <w:tc>
          <w:tcPr>
            <w:tcW w:w="1750" w:type="dxa"/>
          </w:tcPr>
          <w:p>
            <w:pPr>
              <w:pStyle w:val="TableParagraph"/>
              <w:spacing w:line="315" w:lineRule="exact"/>
              <w:jc w:val="center"/>
              <w:rPr>
                <w:sz w:val="28"/>
              </w:rPr>
            </w:pPr>
            <w:r>
              <w:rPr>
                <w:w w:val="100"/>
                <w:sz w:val="28"/>
              </w:rPr>
              <w:t>7</w:t>
            </w:r>
          </w:p>
          <w:p>
            <w:pPr>
              <w:pStyle w:val="TableParagraph"/>
              <w:spacing w:before="199"/>
              <w:ind w:left="348" w:right="349"/>
              <w:jc w:val="center"/>
              <w:rPr>
                <w:sz w:val="28"/>
              </w:rPr>
            </w:pPr>
            <w:r>
              <w:rPr>
                <w:sz w:val="28"/>
              </w:rPr>
              <w:t>23,3%*</w:t>
            </w:r>
          </w:p>
          <w:p>
            <w:pPr>
              <w:pStyle w:val="TableParagraph"/>
              <w:spacing w:before="201"/>
              <w:ind w:left="348" w:right="349"/>
              <w:jc w:val="center"/>
              <w:rPr>
                <w:sz w:val="28"/>
              </w:rPr>
            </w:pPr>
            <w:r>
              <w:rPr>
                <w:sz w:val="28"/>
              </w:rPr>
              <w:t>1,7%**</w:t>
            </w:r>
          </w:p>
        </w:tc>
        <w:tc>
          <w:tcPr>
            <w:tcW w:w="2220" w:type="dxa"/>
          </w:tcPr>
          <w:p>
            <w:pPr>
              <w:pStyle w:val="TableParagraph"/>
              <w:spacing w:line="315" w:lineRule="exact"/>
              <w:ind w:left="581" w:right="581"/>
              <w:jc w:val="center"/>
              <w:rPr>
                <w:sz w:val="28"/>
              </w:rPr>
            </w:pPr>
            <w:r>
              <w:rPr>
                <w:sz w:val="28"/>
              </w:rPr>
              <w:t>13</w:t>
            </w:r>
          </w:p>
          <w:p>
            <w:pPr>
              <w:pStyle w:val="TableParagraph"/>
              <w:spacing w:before="199"/>
              <w:ind w:left="581" w:right="586"/>
              <w:jc w:val="center"/>
              <w:rPr>
                <w:sz w:val="28"/>
              </w:rPr>
            </w:pPr>
            <w:r>
              <w:rPr>
                <w:sz w:val="28"/>
              </w:rPr>
              <w:t>43,3%*</w:t>
            </w:r>
          </w:p>
          <w:p>
            <w:pPr>
              <w:pStyle w:val="TableParagraph"/>
              <w:spacing w:before="201"/>
              <w:ind w:left="581" w:right="586"/>
              <w:jc w:val="center"/>
              <w:rPr>
                <w:sz w:val="28"/>
              </w:rPr>
            </w:pPr>
            <w:r>
              <w:rPr>
                <w:sz w:val="28"/>
              </w:rPr>
              <w:t>1,8%**</w:t>
            </w:r>
          </w:p>
        </w:tc>
        <w:tc>
          <w:tcPr>
            <w:tcW w:w="2127" w:type="dxa"/>
          </w:tcPr>
          <w:p>
            <w:pPr>
              <w:pStyle w:val="TableParagraph"/>
              <w:spacing w:line="315" w:lineRule="exact"/>
              <w:ind w:left="537" w:right="537"/>
              <w:jc w:val="center"/>
              <w:rPr>
                <w:sz w:val="28"/>
              </w:rPr>
            </w:pPr>
            <w:r>
              <w:rPr>
                <w:sz w:val="28"/>
              </w:rPr>
              <w:t>10</w:t>
            </w:r>
          </w:p>
          <w:p>
            <w:pPr>
              <w:pStyle w:val="TableParagraph"/>
              <w:spacing w:before="199"/>
              <w:ind w:left="537" w:right="537"/>
              <w:jc w:val="center"/>
              <w:rPr>
                <w:sz w:val="28"/>
              </w:rPr>
            </w:pPr>
            <w:r>
              <w:rPr>
                <w:sz w:val="28"/>
              </w:rPr>
              <w:t>33,3%*</w:t>
            </w:r>
          </w:p>
          <w:p>
            <w:pPr>
              <w:pStyle w:val="TableParagraph"/>
              <w:spacing w:before="201"/>
              <w:ind w:left="537" w:right="537"/>
              <w:jc w:val="center"/>
              <w:rPr>
                <w:sz w:val="28"/>
              </w:rPr>
            </w:pPr>
            <w:r>
              <w:rPr>
                <w:sz w:val="28"/>
              </w:rPr>
              <w:t>6,1%**</w:t>
            </w:r>
          </w:p>
        </w:tc>
        <w:tc>
          <w:tcPr>
            <w:tcW w:w="991" w:type="dxa"/>
          </w:tcPr>
          <w:p>
            <w:pPr>
              <w:pStyle w:val="TableParagraph"/>
              <w:spacing w:before="252"/>
              <w:ind w:left="2"/>
              <w:jc w:val="center"/>
              <w:rPr>
                <w:sz w:val="28"/>
              </w:rPr>
            </w:pPr>
            <w:r>
              <w:rPr>
                <w:sz w:val="28"/>
              </w:rPr>
              <w:t>30</w:t>
            </w:r>
          </w:p>
          <w:p>
            <w:pPr>
              <w:pStyle w:val="TableParagraph"/>
              <w:spacing w:before="201"/>
              <w:ind w:left="2"/>
              <w:jc w:val="center"/>
              <w:rPr>
                <w:sz w:val="28"/>
              </w:rPr>
            </w:pPr>
            <w:r>
              <w:rPr>
                <w:sz w:val="28"/>
              </w:rPr>
              <w:t>2,3%</w:t>
            </w:r>
          </w:p>
        </w:tc>
      </w:tr>
      <w:tr>
        <w:trPr>
          <w:trHeight w:val="1577" w:hRule="exact"/>
        </w:trPr>
        <w:tc>
          <w:tcPr>
            <w:tcW w:w="2234" w:type="dxa"/>
          </w:tcPr>
          <w:p>
            <w:pPr>
              <w:pStyle w:val="TableParagraph"/>
              <w:ind w:left="124" w:right="124" w:firstLine="3"/>
              <w:jc w:val="center"/>
              <w:rPr>
                <w:sz w:val="28"/>
              </w:rPr>
            </w:pPr>
            <w:r>
              <w:rPr>
                <w:sz w:val="28"/>
              </w:rPr>
              <w:t>Мезонефроид- ная      аденокарцинома</w:t>
            </w:r>
          </w:p>
        </w:tc>
        <w:tc>
          <w:tcPr>
            <w:tcW w:w="1750" w:type="dxa"/>
          </w:tcPr>
          <w:p>
            <w:pPr>
              <w:pStyle w:val="TableParagraph"/>
              <w:spacing w:line="315" w:lineRule="exact"/>
              <w:jc w:val="center"/>
              <w:rPr>
                <w:sz w:val="28"/>
              </w:rPr>
            </w:pPr>
            <w:r>
              <w:rPr>
                <w:w w:val="100"/>
                <w:sz w:val="28"/>
              </w:rPr>
              <w:t>3</w:t>
            </w:r>
          </w:p>
          <w:p>
            <w:pPr>
              <w:pStyle w:val="TableParagraph"/>
              <w:spacing w:before="201"/>
              <w:ind w:left="348" w:right="349"/>
              <w:jc w:val="center"/>
              <w:rPr>
                <w:sz w:val="28"/>
              </w:rPr>
            </w:pPr>
            <w:r>
              <w:rPr>
                <w:sz w:val="28"/>
              </w:rPr>
              <w:t>21,4%*</w:t>
            </w:r>
          </w:p>
          <w:p>
            <w:pPr>
              <w:pStyle w:val="TableParagraph"/>
              <w:spacing w:before="199"/>
              <w:ind w:left="348" w:right="349"/>
              <w:jc w:val="center"/>
              <w:rPr>
                <w:sz w:val="28"/>
              </w:rPr>
            </w:pPr>
            <w:r>
              <w:rPr>
                <w:sz w:val="28"/>
              </w:rPr>
              <w:t>0,7%**</w:t>
            </w:r>
          </w:p>
        </w:tc>
        <w:tc>
          <w:tcPr>
            <w:tcW w:w="2220" w:type="dxa"/>
          </w:tcPr>
          <w:p>
            <w:pPr>
              <w:pStyle w:val="TableParagraph"/>
              <w:spacing w:line="315" w:lineRule="exact"/>
              <w:ind w:right="3"/>
              <w:jc w:val="center"/>
              <w:rPr>
                <w:sz w:val="28"/>
              </w:rPr>
            </w:pPr>
            <w:r>
              <w:rPr>
                <w:w w:val="100"/>
                <w:sz w:val="28"/>
              </w:rPr>
              <w:t>8</w:t>
            </w:r>
          </w:p>
          <w:p>
            <w:pPr>
              <w:pStyle w:val="TableParagraph"/>
              <w:spacing w:before="201"/>
              <w:ind w:left="581" w:right="586"/>
              <w:jc w:val="center"/>
              <w:rPr>
                <w:sz w:val="28"/>
              </w:rPr>
            </w:pPr>
            <w:r>
              <w:rPr>
                <w:sz w:val="28"/>
              </w:rPr>
              <w:t>57,2%*</w:t>
            </w:r>
          </w:p>
          <w:p>
            <w:pPr>
              <w:pStyle w:val="TableParagraph"/>
              <w:spacing w:before="199"/>
              <w:ind w:left="581" w:right="586"/>
              <w:jc w:val="center"/>
              <w:rPr>
                <w:sz w:val="28"/>
              </w:rPr>
            </w:pPr>
            <w:r>
              <w:rPr>
                <w:sz w:val="28"/>
              </w:rPr>
              <w:t>0,6%**</w:t>
            </w:r>
          </w:p>
        </w:tc>
        <w:tc>
          <w:tcPr>
            <w:tcW w:w="2127" w:type="dxa"/>
          </w:tcPr>
          <w:p>
            <w:pPr>
              <w:pStyle w:val="TableParagraph"/>
              <w:spacing w:line="315" w:lineRule="exact"/>
              <w:jc w:val="center"/>
              <w:rPr>
                <w:sz w:val="28"/>
              </w:rPr>
            </w:pPr>
            <w:r>
              <w:rPr>
                <w:w w:val="100"/>
                <w:sz w:val="28"/>
              </w:rPr>
              <w:t>3</w:t>
            </w:r>
          </w:p>
          <w:p>
            <w:pPr>
              <w:pStyle w:val="TableParagraph"/>
              <w:spacing w:before="201"/>
              <w:ind w:left="537" w:right="537"/>
              <w:jc w:val="center"/>
              <w:rPr>
                <w:sz w:val="28"/>
              </w:rPr>
            </w:pPr>
            <w:r>
              <w:rPr>
                <w:sz w:val="28"/>
              </w:rPr>
              <w:t>21,4%*</w:t>
            </w:r>
          </w:p>
          <w:p>
            <w:pPr>
              <w:pStyle w:val="TableParagraph"/>
              <w:spacing w:before="199"/>
              <w:ind w:left="537" w:right="537"/>
              <w:jc w:val="center"/>
              <w:rPr>
                <w:sz w:val="28"/>
              </w:rPr>
            </w:pPr>
            <w:r>
              <w:rPr>
                <w:sz w:val="28"/>
              </w:rPr>
              <w:t>1,9%**</w:t>
            </w:r>
          </w:p>
        </w:tc>
        <w:tc>
          <w:tcPr>
            <w:tcW w:w="991" w:type="dxa"/>
          </w:tcPr>
          <w:p>
            <w:pPr>
              <w:pStyle w:val="TableParagraph"/>
              <w:spacing w:before="254"/>
              <w:ind w:left="2"/>
              <w:jc w:val="center"/>
              <w:rPr>
                <w:sz w:val="28"/>
              </w:rPr>
            </w:pPr>
            <w:r>
              <w:rPr>
                <w:sz w:val="28"/>
              </w:rPr>
              <w:t>14</w:t>
            </w:r>
          </w:p>
          <w:p>
            <w:pPr>
              <w:pStyle w:val="TableParagraph"/>
              <w:spacing w:before="201"/>
              <w:ind w:left="2"/>
              <w:jc w:val="center"/>
              <w:rPr>
                <w:sz w:val="28"/>
              </w:rPr>
            </w:pPr>
            <w:r>
              <w:rPr>
                <w:sz w:val="28"/>
              </w:rPr>
              <w:t>1,1%</w:t>
            </w:r>
          </w:p>
        </w:tc>
      </w:tr>
      <w:tr>
        <w:trPr>
          <w:trHeight w:val="1574" w:hRule="exact"/>
        </w:trPr>
        <w:tc>
          <w:tcPr>
            <w:tcW w:w="2234" w:type="dxa"/>
          </w:tcPr>
          <w:p>
            <w:pPr>
              <w:pStyle w:val="TableParagraph"/>
              <w:ind w:left="633" w:right="195" w:hanging="420"/>
              <w:rPr>
                <w:sz w:val="28"/>
              </w:rPr>
            </w:pPr>
            <w:r>
              <w:rPr>
                <w:sz w:val="28"/>
              </w:rPr>
              <w:t>Аденосквамоз- ный рак</w:t>
            </w:r>
          </w:p>
        </w:tc>
        <w:tc>
          <w:tcPr>
            <w:tcW w:w="1750" w:type="dxa"/>
          </w:tcPr>
          <w:p>
            <w:pPr>
              <w:pStyle w:val="TableParagraph"/>
              <w:spacing w:line="315" w:lineRule="exact"/>
              <w:jc w:val="center"/>
              <w:rPr>
                <w:sz w:val="28"/>
              </w:rPr>
            </w:pPr>
            <w:r>
              <w:rPr>
                <w:w w:val="100"/>
                <w:sz w:val="28"/>
              </w:rPr>
              <w:t>3</w:t>
            </w:r>
          </w:p>
          <w:p>
            <w:pPr>
              <w:pStyle w:val="TableParagraph"/>
              <w:spacing w:before="199"/>
              <w:ind w:left="348" w:right="349"/>
              <w:jc w:val="center"/>
              <w:rPr>
                <w:sz w:val="28"/>
              </w:rPr>
            </w:pPr>
            <w:r>
              <w:rPr>
                <w:sz w:val="28"/>
              </w:rPr>
              <w:t>10%*</w:t>
            </w:r>
          </w:p>
          <w:p>
            <w:pPr>
              <w:pStyle w:val="TableParagraph"/>
              <w:spacing w:before="201"/>
              <w:ind w:left="348" w:right="349"/>
              <w:jc w:val="center"/>
              <w:rPr>
                <w:sz w:val="28"/>
              </w:rPr>
            </w:pPr>
            <w:r>
              <w:rPr>
                <w:sz w:val="28"/>
              </w:rPr>
              <w:t>0,7%**</w:t>
            </w:r>
          </w:p>
        </w:tc>
        <w:tc>
          <w:tcPr>
            <w:tcW w:w="2220" w:type="dxa"/>
          </w:tcPr>
          <w:p>
            <w:pPr>
              <w:pStyle w:val="TableParagraph"/>
              <w:spacing w:line="315" w:lineRule="exact"/>
              <w:ind w:left="581" w:right="581"/>
              <w:jc w:val="center"/>
              <w:rPr>
                <w:sz w:val="28"/>
              </w:rPr>
            </w:pPr>
            <w:r>
              <w:rPr>
                <w:sz w:val="28"/>
              </w:rPr>
              <w:t>19</w:t>
            </w:r>
          </w:p>
          <w:p>
            <w:pPr>
              <w:pStyle w:val="TableParagraph"/>
              <w:spacing w:before="199"/>
              <w:ind w:left="581" w:right="586"/>
              <w:jc w:val="center"/>
              <w:rPr>
                <w:sz w:val="28"/>
              </w:rPr>
            </w:pPr>
            <w:r>
              <w:rPr>
                <w:sz w:val="28"/>
              </w:rPr>
              <w:t>63,3%*</w:t>
            </w:r>
          </w:p>
          <w:p>
            <w:pPr>
              <w:pStyle w:val="TableParagraph"/>
              <w:spacing w:before="201"/>
              <w:ind w:left="581" w:right="586"/>
              <w:jc w:val="center"/>
              <w:rPr>
                <w:sz w:val="28"/>
              </w:rPr>
            </w:pPr>
            <w:r>
              <w:rPr>
                <w:sz w:val="28"/>
              </w:rPr>
              <w:t>2,6%**</w:t>
            </w:r>
          </w:p>
        </w:tc>
        <w:tc>
          <w:tcPr>
            <w:tcW w:w="2127" w:type="dxa"/>
          </w:tcPr>
          <w:p>
            <w:pPr>
              <w:pStyle w:val="TableParagraph"/>
              <w:spacing w:line="315" w:lineRule="exact"/>
              <w:jc w:val="center"/>
              <w:rPr>
                <w:sz w:val="28"/>
              </w:rPr>
            </w:pPr>
            <w:r>
              <w:rPr>
                <w:w w:val="100"/>
                <w:sz w:val="28"/>
              </w:rPr>
              <w:t>8</w:t>
            </w:r>
          </w:p>
          <w:p>
            <w:pPr>
              <w:pStyle w:val="TableParagraph"/>
              <w:spacing w:before="199"/>
              <w:ind w:left="537" w:right="537"/>
              <w:jc w:val="center"/>
              <w:rPr>
                <w:sz w:val="28"/>
              </w:rPr>
            </w:pPr>
            <w:r>
              <w:rPr>
                <w:sz w:val="28"/>
              </w:rPr>
              <w:t>26,7%*</w:t>
            </w:r>
          </w:p>
          <w:p>
            <w:pPr>
              <w:pStyle w:val="TableParagraph"/>
              <w:spacing w:before="201"/>
              <w:ind w:left="537" w:right="537"/>
              <w:jc w:val="center"/>
              <w:rPr>
                <w:sz w:val="28"/>
              </w:rPr>
            </w:pPr>
            <w:r>
              <w:rPr>
                <w:sz w:val="28"/>
              </w:rPr>
              <w:t>4,9%**</w:t>
            </w:r>
          </w:p>
        </w:tc>
        <w:tc>
          <w:tcPr>
            <w:tcW w:w="991" w:type="dxa"/>
          </w:tcPr>
          <w:p>
            <w:pPr>
              <w:pStyle w:val="TableParagraph"/>
              <w:spacing w:before="254"/>
              <w:ind w:left="2"/>
              <w:jc w:val="center"/>
              <w:rPr>
                <w:sz w:val="28"/>
              </w:rPr>
            </w:pPr>
            <w:r>
              <w:rPr>
                <w:sz w:val="28"/>
              </w:rPr>
              <w:t>30</w:t>
            </w:r>
          </w:p>
          <w:p>
            <w:pPr>
              <w:pStyle w:val="TableParagraph"/>
              <w:spacing w:before="198"/>
              <w:ind w:left="2"/>
              <w:jc w:val="center"/>
              <w:rPr>
                <w:sz w:val="28"/>
              </w:rPr>
            </w:pPr>
            <w:r>
              <w:rPr>
                <w:sz w:val="28"/>
              </w:rPr>
              <w:t>2,3%</w:t>
            </w:r>
          </w:p>
        </w:tc>
      </w:tr>
      <w:tr>
        <w:trPr>
          <w:trHeight w:val="1577" w:hRule="exact"/>
        </w:trPr>
        <w:tc>
          <w:tcPr>
            <w:tcW w:w="2234" w:type="dxa"/>
          </w:tcPr>
          <w:p>
            <w:pPr>
              <w:pStyle w:val="TableParagraph"/>
              <w:spacing w:line="317" w:lineRule="exact"/>
              <w:ind w:left="163" w:right="164"/>
              <w:jc w:val="center"/>
              <w:rPr>
                <w:sz w:val="28"/>
              </w:rPr>
            </w:pPr>
            <w:r>
              <w:rPr>
                <w:sz w:val="28"/>
              </w:rPr>
              <w:t>Аденоакантома</w:t>
            </w:r>
          </w:p>
        </w:tc>
        <w:tc>
          <w:tcPr>
            <w:tcW w:w="1750" w:type="dxa"/>
          </w:tcPr>
          <w:p>
            <w:pPr>
              <w:pStyle w:val="TableParagraph"/>
              <w:spacing w:line="317" w:lineRule="exact"/>
              <w:ind w:left="348" w:right="349"/>
              <w:jc w:val="center"/>
              <w:rPr>
                <w:sz w:val="28"/>
              </w:rPr>
            </w:pPr>
            <w:r>
              <w:rPr>
                <w:sz w:val="28"/>
              </w:rPr>
              <w:t>19</w:t>
            </w:r>
          </w:p>
          <w:p>
            <w:pPr>
              <w:pStyle w:val="TableParagraph"/>
              <w:spacing w:before="199"/>
              <w:ind w:left="348" w:right="349"/>
              <w:jc w:val="center"/>
              <w:rPr>
                <w:sz w:val="28"/>
              </w:rPr>
            </w:pPr>
            <w:r>
              <w:rPr>
                <w:sz w:val="28"/>
              </w:rPr>
              <w:t>31,7%*</w:t>
            </w:r>
          </w:p>
          <w:p>
            <w:pPr>
              <w:pStyle w:val="TableParagraph"/>
              <w:spacing w:before="202"/>
              <w:ind w:left="348" w:right="349"/>
              <w:jc w:val="center"/>
              <w:rPr>
                <w:sz w:val="28"/>
              </w:rPr>
            </w:pPr>
            <w:r>
              <w:rPr>
                <w:sz w:val="28"/>
              </w:rPr>
              <w:t>4,7%**</w:t>
            </w:r>
          </w:p>
        </w:tc>
        <w:tc>
          <w:tcPr>
            <w:tcW w:w="2220" w:type="dxa"/>
          </w:tcPr>
          <w:p>
            <w:pPr>
              <w:pStyle w:val="TableParagraph"/>
              <w:spacing w:line="317" w:lineRule="exact"/>
              <w:ind w:left="581" w:right="581"/>
              <w:jc w:val="center"/>
              <w:rPr>
                <w:sz w:val="28"/>
              </w:rPr>
            </w:pPr>
            <w:r>
              <w:rPr>
                <w:sz w:val="28"/>
              </w:rPr>
              <w:t>35</w:t>
            </w:r>
          </w:p>
          <w:p>
            <w:pPr>
              <w:pStyle w:val="TableParagraph"/>
              <w:spacing w:before="199"/>
              <w:ind w:left="581" w:right="586"/>
              <w:jc w:val="center"/>
              <w:rPr>
                <w:sz w:val="28"/>
              </w:rPr>
            </w:pPr>
            <w:r>
              <w:rPr>
                <w:sz w:val="28"/>
              </w:rPr>
              <w:t>58,3%*</w:t>
            </w:r>
          </w:p>
          <w:p>
            <w:pPr>
              <w:pStyle w:val="TableParagraph"/>
              <w:spacing w:before="202"/>
              <w:ind w:left="581" w:right="586"/>
              <w:jc w:val="center"/>
              <w:rPr>
                <w:sz w:val="28"/>
              </w:rPr>
            </w:pPr>
            <w:r>
              <w:rPr>
                <w:sz w:val="28"/>
              </w:rPr>
              <w:t>4,8%**</w:t>
            </w:r>
          </w:p>
        </w:tc>
        <w:tc>
          <w:tcPr>
            <w:tcW w:w="2127" w:type="dxa"/>
          </w:tcPr>
          <w:p>
            <w:pPr>
              <w:pStyle w:val="TableParagraph"/>
              <w:spacing w:line="317" w:lineRule="exact"/>
              <w:jc w:val="center"/>
              <w:rPr>
                <w:sz w:val="28"/>
              </w:rPr>
            </w:pPr>
            <w:r>
              <w:rPr>
                <w:w w:val="100"/>
                <w:sz w:val="28"/>
              </w:rPr>
              <w:t>6</w:t>
            </w:r>
          </w:p>
          <w:p>
            <w:pPr>
              <w:pStyle w:val="TableParagraph"/>
              <w:spacing w:before="199"/>
              <w:ind w:left="537" w:right="537"/>
              <w:jc w:val="center"/>
              <w:rPr>
                <w:sz w:val="28"/>
              </w:rPr>
            </w:pPr>
            <w:r>
              <w:rPr>
                <w:sz w:val="28"/>
              </w:rPr>
              <w:t>10%*</w:t>
            </w:r>
          </w:p>
          <w:p>
            <w:pPr>
              <w:pStyle w:val="TableParagraph"/>
              <w:spacing w:before="202"/>
              <w:ind w:left="537" w:right="537"/>
              <w:jc w:val="center"/>
              <w:rPr>
                <w:sz w:val="28"/>
              </w:rPr>
            </w:pPr>
            <w:r>
              <w:rPr>
                <w:sz w:val="28"/>
              </w:rPr>
              <w:t>3,7%**</w:t>
            </w:r>
          </w:p>
        </w:tc>
        <w:tc>
          <w:tcPr>
            <w:tcW w:w="991" w:type="dxa"/>
          </w:tcPr>
          <w:p>
            <w:pPr>
              <w:pStyle w:val="TableParagraph"/>
              <w:spacing w:before="254"/>
              <w:ind w:left="2"/>
              <w:jc w:val="center"/>
              <w:rPr>
                <w:sz w:val="28"/>
              </w:rPr>
            </w:pPr>
            <w:r>
              <w:rPr>
                <w:sz w:val="28"/>
              </w:rPr>
              <w:t>60</w:t>
            </w:r>
          </w:p>
          <w:p>
            <w:pPr>
              <w:pStyle w:val="TableParagraph"/>
              <w:spacing w:before="200"/>
              <w:ind w:left="2"/>
              <w:jc w:val="center"/>
              <w:rPr>
                <w:sz w:val="28"/>
              </w:rPr>
            </w:pPr>
            <w:r>
              <w:rPr>
                <w:sz w:val="28"/>
              </w:rPr>
              <w:t>4,7%</w:t>
            </w:r>
          </w:p>
        </w:tc>
      </w:tr>
      <w:tr>
        <w:trPr>
          <w:trHeight w:val="1577" w:hRule="exact"/>
        </w:trPr>
        <w:tc>
          <w:tcPr>
            <w:tcW w:w="2234" w:type="dxa"/>
          </w:tcPr>
          <w:p>
            <w:pPr>
              <w:pStyle w:val="TableParagraph"/>
              <w:ind w:left="290" w:right="136" w:hanging="135"/>
              <w:rPr>
                <w:sz w:val="28"/>
              </w:rPr>
            </w:pPr>
            <w:r>
              <w:rPr>
                <w:sz w:val="28"/>
              </w:rPr>
              <w:t>Недифференци- рованный рак</w:t>
            </w:r>
          </w:p>
        </w:tc>
        <w:tc>
          <w:tcPr>
            <w:tcW w:w="1750" w:type="dxa"/>
          </w:tcPr>
          <w:p>
            <w:pPr>
              <w:pStyle w:val="TableParagraph"/>
              <w:spacing w:before="10"/>
              <w:rPr>
                <w:sz w:val="44"/>
              </w:rPr>
            </w:pPr>
          </w:p>
          <w:p>
            <w:pPr>
              <w:pStyle w:val="TableParagraph"/>
              <w:ind w:right="2"/>
              <w:jc w:val="center"/>
              <w:rPr>
                <w:sz w:val="28"/>
              </w:rPr>
            </w:pPr>
            <w:r>
              <w:rPr>
                <w:w w:val="100"/>
                <w:sz w:val="28"/>
              </w:rPr>
              <w:t>-</w:t>
            </w:r>
          </w:p>
        </w:tc>
        <w:tc>
          <w:tcPr>
            <w:tcW w:w="2220" w:type="dxa"/>
          </w:tcPr>
          <w:p>
            <w:pPr>
              <w:pStyle w:val="TableParagraph"/>
              <w:spacing w:line="315" w:lineRule="exact"/>
              <w:ind w:right="3"/>
              <w:jc w:val="center"/>
              <w:rPr>
                <w:sz w:val="28"/>
              </w:rPr>
            </w:pPr>
            <w:r>
              <w:rPr>
                <w:w w:val="100"/>
                <w:sz w:val="28"/>
              </w:rPr>
              <w:t>5</w:t>
            </w:r>
          </w:p>
          <w:p>
            <w:pPr>
              <w:pStyle w:val="TableParagraph"/>
              <w:spacing w:before="201"/>
              <w:ind w:left="581" w:right="586"/>
              <w:jc w:val="center"/>
              <w:rPr>
                <w:sz w:val="28"/>
              </w:rPr>
            </w:pPr>
            <w:r>
              <w:rPr>
                <w:sz w:val="28"/>
              </w:rPr>
              <w:t>83,3%*</w:t>
            </w:r>
          </w:p>
          <w:p>
            <w:pPr>
              <w:pStyle w:val="TableParagraph"/>
              <w:spacing w:before="198"/>
              <w:ind w:left="581" w:right="586"/>
              <w:jc w:val="center"/>
              <w:rPr>
                <w:sz w:val="28"/>
              </w:rPr>
            </w:pPr>
            <w:r>
              <w:rPr>
                <w:sz w:val="28"/>
              </w:rPr>
              <w:t>0,7%**</w:t>
            </w:r>
          </w:p>
        </w:tc>
        <w:tc>
          <w:tcPr>
            <w:tcW w:w="2127" w:type="dxa"/>
          </w:tcPr>
          <w:p>
            <w:pPr>
              <w:pStyle w:val="TableParagraph"/>
              <w:spacing w:line="315" w:lineRule="exact"/>
              <w:jc w:val="center"/>
              <w:rPr>
                <w:sz w:val="28"/>
              </w:rPr>
            </w:pPr>
            <w:r>
              <w:rPr>
                <w:w w:val="100"/>
                <w:sz w:val="28"/>
              </w:rPr>
              <w:t>1</w:t>
            </w:r>
          </w:p>
          <w:p>
            <w:pPr>
              <w:pStyle w:val="TableParagraph"/>
              <w:spacing w:before="201"/>
              <w:ind w:left="537" w:right="537"/>
              <w:jc w:val="center"/>
              <w:rPr>
                <w:sz w:val="28"/>
              </w:rPr>
            </w:pPr>
            <w:r>
              <w:rPr>
                <w:sz w:val="28"/>
              </w:rPr>
              <w:t>16,7%*</w:t>
            </w:r>
          </w:p>
          <w:p>
            <w:pPr>
              <w:pStyle w:val="TableParagraph"/>
              <w:spacing w:before="198"/>
              <w:ind w:left="537" w:right="537"/>
              <w:jc w:val="center"/>
              <w:rPr>
                <w:sz w:val="28"/>
              </w:rPr>
            </w:pPr>
            <w:r>
              <w:rPr>
                <w:sz w:val="28"/>
              </w:rPr>
              <w:t>0,6%**</w:t>
            </w:r>
          </w:p>
        </w:tc>
        <w:tc>
          <w:tcPr>
            <w:tcW w:w="991" w:type="dxa"/>
          </w:tcPr>
          <w:p>
            <w:pPr>
              <w:pStyle w:val="TableParagraph"/>
              <w:spacing w:before="254"/>
              <w:ind w:right="1"/>
              <w:jc w:val="center"/>
              <w:rPr>
                <w:sz w:val="28"/>
              </w:rPr>
            </w:pPr>
            <w:r>
              <w:rPr>
                <w:w w:val="100"/>
                <w:sz w:val="28"/>
              </w:rPr>
              <w:t>6</w:t>
            </w:r>
          </w:p>
          <w:p>
            <w:pPr>
              <w:pStyle w:val="TableParagraph"/>
              <w:spacing w:before="198"/>
              <w:ind w:left="2"/>
              <w:jc w:val="center"/>
              <w:rPr>
                <w:sz w:val="28"/>
              </w:rPr>
            </w:pPr>
            <w:r>
              <w:rPr>
                <w:sz w:val="28"/>
              </w:rPr>
              <w:t>0,5%</w:t>
            </w:r>
          </w:p>
        </w:tc>
      </w:tr>
      <w:tr>
        <w:trPr>
          <w:trHeight w:val="1054" w:hRule="exact"/>
        </w:trPr>
        <w:tc>
          <w:tcPr>
            <w:tcW w:w="2234" w:type="dxa"/>
          </w:tcPr>
          <w:p>
            <w:pPr>
              <w:pStyle w:val="TableParagraph"/>
              <w:spacing w:line="315" w:lineRule="exact"/>
              <w:ind w:left="163" w:right="164"/>
              <w:jc w:val="center"/>
              <w:rPr>
                <w:sz w:val="28"/>
              </w:rPr>
            </w:pPr>
            <w:r>
              <w:rPr>
                <w:sz w:val="28"/>
              </w:rPr>
              <w:t>Всего</w:t>
            </w:r>
          </w:p>
        </w:tc>
        <w:tc>
          <w:tcPr>
            <w:tcW w:w="1750" w:type="dxa"/>
          </w:tcPr>
          <w:p>
            <w:pPr>
              <w:pStyle w:val="TableParagraph"/>
              <w:spacing w:line="315" w:lineRule="exact"/>
              <w:ind w:left="348" w:right="349"/>
              <w:jc w:val="center"/>
              <w:rPr>
                <w:sz w:val="28"/>
              </w:rPr>
            </w:pPr>
            <w:r>
              <w:rPr>
                <w:sz w:val="28"/>
              </w:rPr>
              <w:t>405</w:t>
            </w:r>
          </w:p>
          <w:p>
            <w:pPr>
              <w:pStyle w:val="TableParagraph"/>
              <w:spacing w:before="199"/>
              <w:ind w:left="348" w:right="349"/>
              <w:jc w:val="center"/>
              <w:rPr>
                <w:sz w:val="28"/>
              </w:rPr>
            </w:pPr>
            <w:r>
              <w:rPr>
                <w:sz w:val="28"/>
              </w:rPr>
              <w:t>31,4%</w:t>
            </w:r>
          </w:p>
        </w:tc>
        <w:tc>
          <w:tcPr>
            <w:tcW w:w="2220" w:type="dxa"/>
          </w:tcPr>
          <w:p>
            <w:pPr>
              <w:pStyle w:val="TableParagraph"/>
              <w:spacing w:line="315" w:lineRule="exact"/>
              <w:ind w:left="581" w:right="582"/>
              <w:jc w:val="center"/>
              <w:rPr>
                <w:sz w:val="28"/>
              </w:rPr>
            </w:pPr>
            <w:r>
              <w:rPr>
                <w:sz w:val="28"/>
              </w:rPr>
              <w:t>721</w:t>
            </w:r>
          </w:p>
          <w:p>
            <w:pPr>
              <w:pStyle w:val="TableParagraph"/>
              <w:spacing w:before="199"/>
              <w:ind w:left="581" w:right="581"/>
              <w:jc w:val="center"/>
              <w:rPr>
                <w:sz w:val="28"/>
              </w:rPr>
            </w:pPr>
            <w:r>
              <w:rPr>
                <w:sz w:val="28"/>
              </w:rPr>
              <w:t>55,9%</w:t>
            </w:r>
          </w:p>
        </w:tc>
        <w:tc>
          <w:tcPr>
            <w:tcW w:w="2127" w:type="dxa"/>
          </w:tcPr>
          <w:p>
            <w:pPr>
              <w:pStyle w:val="TableParagraph"/>
              <w:spacing w:line="315" w:lineRule="exact"/>
              <w:ind w:left="537" w:right="537"/>
              <w:jc w:val="center"/>
              <w:rPr>
                <w:sz w:val="28"/>
              </w:rPr>
            </w:pPr>
            <w:r>
              <w:rPr>
                <w:sz w:val="28"/>
              </w:rPr>
              <w:t>163</w:t>
            </w:r>
          </w:p>
          <w:p>
            <w:pPr>
              <w:pStyle w:val="TableParagraph"/>
              <w:spacing w:before="199"/>
              <w:ind w:left="537" w:right="537"/>
              <w:jc w:val="center"/>
              <w:rPr>
                <w:sz w:val="28"/>
              </w:rPr>
            </w:pPr>
            <w:r>
              <w:rPr>
                <w:sz w:val="28"/>
              </w:rPr>
              <w:t>12,7%</w:t>
            </w:r>
          </w:p>
        </w:tc>
        <w:tc>
          <w:tcPr>
            <w:tcW w:w="991" w:type="dxa"/>
          </w:tcPr>
          <w:p>
            <w:pPr>
              <w:pStyle w:val="TableParagraph"/>
              <w:spacing w:before="254"/>
              <w:ind w:left="211"/>
              <w:rPr>
                <w:sz w:val="28"/>
              </w:rPr>
            </w:pPr>
            <w:r>
              <w:rPr>
                <w:sz w:val="28"/>
              </w:rPr>
              <w:t>1289</w:t>
            </w:r>
          </w:p>
        </w:tc>
      </w:tr>
    </w:tbl>
    <w:p>
      <w:pPr>
        <w:pStyle w:val="BodyText"/>
        <w:ind w:left="222"/>
      </w:pPr>
      <w:r>
        <w:rPr>
          <w:rFonts w:ascii="Cambria" w:hAnsi="Cambria"/>
        </w:rPr>
        <w:t>* </w:t>
      </w:r>
      <w:r>
        <w:rPr/>
        <w:t>Процентные соотношения по строкам таблицы</w:t>
      </w:r>
    </w:p>
    <w:p>
      <w:pPr>
        <w:pStyle w:val="BodyText"/>
        <w:spacing w:before="120"/>
        <w:ind w:left="222"/>
      </w:pPr>
      <w:r>
        <w:rPr/>
        <w:t>** Процентные соотношения по столбцам таблицы</w:t>
      </w:r>
    </w:p>
    <w:p>
      <w:pPr>
        <w:spacing w:after="0"/>
        <w:sectPr>
          <w:pgSz w:w="11900" w:h="16850"/>
          <w:pgMar w:header="712" w:footer="0" w:top="1020" w:bottom="280" w:left="1480" w:right="860"/>
        </w:sectPr>
      </w:pPr>
    </w:p>
    <w:p>
      <w:pPr>
        <w:pStyle w:val="BodyText"/>
        <w:rPr>
          <w:sz w:val="20"/>
        </w:rPr>
      </w:pPr>
    </w:p>
    <w:p>
      <w:pPr>
        <w:pStyle w:val="BodyText"/>
        <w:spacing w:before="5"/>
        <w:rPr>
          <w:sz w:val="25"/>
        </w:rPr>
      </w:pPr>
    </w:p>
    <w:p>
      <w:pPr>
        <w:pStyle w:val="BodyText"/>
        <w:spacing w:line="360" w:lineRule="auto" w:before="89"/>
        <w:ind w:left="222" w:right="126" w:firstLine="496"/>
        <w:jc w:val="both"/>
      </w:pPr>
      <w:r>
        <w:rPr/>
        <w:t>Преобладание эндометриоидных аденокарцином у больных минимальным раком тела матки во многом определяет благоприятное течение и исход заболевания. К положительным прогностическим признакам минимального рака следует отнести и превалирование дифференцированных форм опухоли, которые наряду с небольшими размерами новообразований также формируют благоприятный прогноз у данной категории больных (Табл. 3.14).</w:t>
      </w:r>
    </w:p>
    <w:p>
      <w:pPr>
        <w:pStyle w:val="BodyText"/>
        <w:rPr>
          <w:sz w:val="30"/>
        </w:rPr>
      </w:pPr>
    </w:p>
    <w:p>
      <w:pPr>
        <w:pStyle w:val="BodyText"/>
        <w:spacing w:before="4"/>
        <w:rPr>
          <w:sz w:val="40"/>
        </w:rPr>
      </w:pPr>
    </w:p>
    <w:p>
      <w:pPr>
        <w:pStyle w:val="BodyText"/>
        <w:ind w:left="7733"/>
      </w:pPr>
      <w:r>
        <w:rPr/>
        <w:t>Таблица 3.14</w:t>
      </w:r>
    </w:p>
    <w:p>
      <w:pPr>
        <w:pStyle w:val="BodyText"/>
        <w:spacing w:before="2"/>
        <w:rPr>
          <w:sz w:val="31"/>
        </w:rPr>
      </w:pPr>
    </w:p>
    <w:p>
      <w:pPr>
        <w:pStyle w:val="BodyText"/>
        <w:spacing w:line="276" w:lineRule="auto"/>
        <w:ind w:left="222" w:right="383"/>
      </w:pPr>
      <w:r>
        <w:rPr/>
        <w:t>Распределение больных раком эндометрия по степени дифференцировки опухоли в зависимости от распространенности процесса</w:t>
      </w:r>
    </w:p>
    <w:p>
      <w:pPr>
        <w:pStyle w:val="BodyText"/>
        <w:rPr>
          <w:sz w:val="20"/>
        </w:rPr>
      </w:pPr>
    </w:p>
    <w:p>
      <w:pPr>
        <w:pStyle w:val="BodyText"/>
        <w:rPr>
          <w:sz w:val="20"/>
        </w:rPr>
      </w:pPr>
    </w:p>
    <w:p>
      <w:pPr>
        <w:pStyle w:val="BodyText"/>
        <w:spacing w:before="10"/>
        <w:rPr>
          <w:sz w:val="13"/>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2031"/>
        <w:gridCol w:w="2223"/>
        <w:gridCol w:w="2269"/>
        <w:gridCol w:w="1133"/>
      </w:tblGrid>
      <w:tr>
        <w:trPr>
          <w:trHeight w:val="1054" w:hRule="exact"/>
        </w:trPr>
        <w:tc>
          <w:tcPr>
            <w:tcW w:w="1526" w:type="dxa"/>
            <w:vMerge w:val="restart"/>
          </w:tcPr>
          <w:p>
            <w:pPr>
              <w:pStyle w:val="TableParagraph"/>
              <w:rPr>
                <w:sz w:val="30"/>
              </w:rPr>
            </w:pPr>
          </w:p>
          <w:p>
            <w:pPr>
              <w:pStyle w:val="TableParagraph"/>
              <w:spacing w:before="176"/>
              <w:ind w:left="115" w:right="110" w:hanging="5"/>
              <w:jc w:val="center"/>
              <w:rPr>
                <w:sz w:val="28"/>
              </w:rPr>
            </w:pPr>
            <w:r>
              <w:rPr>
                <w:sz w:val="28"/>
              </w:rPr>
              <w:t>Степень дифферен- цировки</w:t>
            </w:r>
          </w:p>
        </w:tc>
        <w:tc>
          <w:tcPr>
            <w:tcW w:w="6522" w:type="dxa"/>
            <w:gridSpan w:val="3"/>
          </w:tcPr>
          <w:p>
            <w:pPr>
              <w:pStyle w:val="TableParagraph"/>
              <w:spacing w:line="315" w:lineRule="exact"/>
              <w:ind w:left="679"/>
              <w:rPr>
                <w:sz w:val="28"/>
              </w:rPr>
            </w:pPr>
            <w:r>
              <w:rPr>
                <w:sz w:val="28"/>
              </w:rPr>
              <w:t>Распространенность опухолевого процесса</w:t>
            </w:r>
          </w:p>
        </w:tc>
        <w:tc>
          <w:tcPr>
            <w:tcW w:w="1133" w:type="dxa"/>
            <w:vMerge w:val="restart"/>
          </w:tcPr>
          <w:p>
            <w:pPr>
              <w:pStyle w:val="TableParagraph"/>
              <w:rPr>
                <w:sz w:val="30"/>
              </w:rPr>
            </w:pPr>
          </w:p>
          <w:p>
            <w:pPr>
              <w:pStyle w:val="TableParagraph"/>
              <w:spacing w:before="3"/>
              <w:rPr>
                <w:sz w:val="43"/>
              </w:rPr>
            </w:pPr>
          </w:p>
          <w:p>
            <w:pPr>
              <w:pStyle w:val="TableParagraph"/>
              <w:ind w:left="213"/>
              <w:rPr>
                <w:sz w:val="28"/>
              </w:rPr>
            </w:pPr>
            <w:r>
              <w:rPr>
                <w:sz w:val="28"/>
              </w:rPr>
              <w:t>Всего</w:t>
            </w:r>
          </w:p>
        </w:tc>
      </w:tr>
      <w:tr>
        <w:trPr>
          <w:trHeight w:val="1176" w:hRule="exact"/>
        </w:trPr>
        <w:tc>
          <w:tcPr>
            <w:tcW w:w="1526" w:type="dxa"/>
            <w:vMerge/>
          </w:tcPr>
          <w:p>
            <w:pPr/>
          </w:p>
        </w:tc>
        <w:tc>
          <w:tcPr>
            <w:tcW w:w="2031" w:type="dxa"/>
          </w:tcPr>
          <w:p>
            <w:pPr>
              <w:pStyle w:val="TableParagraph"/>
              <w:spacing w:before="4"/>
              <w:rPr>
                <w:sz w:val="27"/>
              </w:rPr>
            </w:pPr>
          </w:p>
          <w:p>
            <w:pPr>
              <w:pStyle w:val="TableParagraph"/>
              <w:ind w:left="113" w:right="113"/>
              <w:jc w:val="center"/>
              <w:rPr>
                <w:sz w:val="28"/>
              </w:rPr>
            </w:pPr>
            <w:r>
              <w:rPr>
                <w:sz w:val="28"/>
              </w:rPr>
              <w:t>Минимальный</w:t>
            </w:r>
          </w:p>
        </w:tc>
        <w:tc>
          <w:tcPr>
            <w:tcW w:w="2223" w:type="dxa"/>
          </w:tcPr>
          <w:p>
            <w:pPr>
              <w:pStyle w:val="TableParagraph"/>
              <w:ind w:left="182" w:right="180" w:hanging="3"/>
              <w:jc w:val="center"/>
              <w:rPr>
                <w:sz w:val="28"/>
              </w:rPr>
            </w:pPr>
            <w:r>
              <w:rPr>
                <w:sz w:val="28"/>
              </w:rPr>
              <w:t>Местно- распространен- ный</w:t>
            </w:r>
          </w:p>
        </w:tc>
        <w:tc>
          <w:tcPr>
            <w:tcW w:w="2269" w:type="dxa"/>
          </w:tcPr>
          <w:p>
            <w:pPr>
              <w:pStyle w:val="TableParagraph"/>
              <w:spacing w:before="153"/>
              <w:ind w:left="907" w:right="239" w:hanging="653"/>
              <w:rPr>
                <w:sz w:val="28"/>
              </w:rPr>
            </w:pPr>
            <w:r>
              <w:rPr>
                <w:sz w:val="28"/>
              </w:rPr>
              <w:t>Метастатичес- кий</w:t>
            </w:r>
          </w:p>
        </w:tc>
        <w:tc>
          <w:tcPr>
            <w:tcW w:w="1133" w:type="dxa"/>
            <w:vMerge/>
          </w:tcPr>
          <w:p>
            <w:pPr/>
          </w:p>
        </w:tc>
      </w:tr>
      <w:tr>
        <w:trPr>
          <w:trHeight w:val="431" w:hRule="exact"/>
        </w:trPr>
        <w:tc>
          <w:tcPr>
            <w:tcW w:w="1526" w:type="dxa"/>
            <w:vMerge w:val="restart"/>
          </w:tcPr>
          <w:p>
            <w:pPr>
              <w:pStyle w:val="TableParagraph"/>
              <w:spacing w:before="259"/>
              <w:ind w:left="591" w:right="592"/>
              <w:jc w:val="center"/>
              <w:rPr>
                <w:sz w:val="18"/>
              </w:rPr>
            </w:pPr>
            <w:r>
              <w:rPr>
                <w:sz w:val="28"/>
              </w:rPr>
              <w:t>G</w:t>
            </w:r>
            <w:r>
              <w:rPr>
                <w:position w:val="-3"/>
                <w:sz w:val="18"/>
              </w:rPr>
              <w:t>1</w:t>
            </w:r>
          </w:p>
        </w:tc>
        <w:tc>
          <w:tcPr>
            <w:tcW w:w="2031" w:type="dxa"/>
            <w:tcBorders>
              <w:bottom w:val="nil"/>
            </w:tcBorders>
          </w:tcPr>
          <w:p>
            <w:pPr>
              <w:pStyle w:val="TableParagraph"/>
              <w:spacing w:line="315" w:lineRule="exact"/>
              <w:ind w:left="113" w:right="113"/>
              <w:jc w:val="center"/>
              <w:rPr>
                <w:sz w:val="28"/>
              </w:rPr>
            </w:pPr>
            <w:r>
              <w:rPr>
                <w:sz w:val="28"/>
              </w:rPr>
              <w:t>193</w:t>
            </w:r>
          </w:p>
        </w:tc>
        <w:tc>
          <w:tcPr>
            <w:tcW w:w="2223" w:type="dxa"/>
            <w:tcBorders>
              <w:bottom w:val="nil"/>
            </w:tcBorders>
          </w:tcPr>
          <w:p>
            <w:pPr>
              <w:pStyle w:val="TableParagraph"/>
              <w:spacing w:line="315" w:lineRule="exact"/>
              <w:ind w:left="631" w:right="632"/>
              <w:jc w:val="center"/>
              <w:rPr>
                <w:sz w:val="28"/>
              </w:rPr>
            </w:pPr>
            <w:r>
              <w:rPr>
                <w:sz w:val="28"/>
              </w:rPr>
              <w:t>132</w:t>
            </w:r>
          </w:p>
        </w:tc>
        <w:tc>
          <w:tcPr>
            <w:tcW w:w="2269" w:type="dxa"/>
            <w:tcBorders>
              <w:bottom w:val="nil"/>
            </w:tcBorders>
          </w:tcPr>
          <w:p>
            <w:pPr>
              <w:pStyle w:val="TableParagraph"/>
              <w:spacing w:line="315" w:lineRule="exact"/>
              <w:ind w:left="88" w:right="90"/>
              <w:jc w:val="center"/>
              <w:rPr>
                <w:sz w:val="28"/>
              </w:rPr>
            </w:pPr>
            <w:r>
              <w:rPr>
                <w:sz w:val="28"/>
              </w:rPr>
              <w:t>20</w:t>
            </w:r>
          </w:p>
        </w:tc>
        <w:tc>
          <w:tcPr>
            <w:tcW w:w="1133" w:type="dxa"/>
            <w:vMerge w:val="restart"/>
          </w:tcPr>
          <w:p>
            <w:pPr>
              <w:pStyle w:val="TableParagraph"/>
              <w:spacing w:line="320" w:lineRule="exact"/>
              <w:ind w:left="54" w:right="58"/>
              <w:jc w:val="center"/>
              <w:rPr>
                <w:sz w:val="28"/>
              </w:rPr>
            </w:pPr>
            <w:r>
              <w:rPr>
                <w:sz w:val="28"/>
              </w:rPr>
              <w:t>345</w:t>
            </w:r>
          </w:p>
          <w:p>
            <w:pPr>
              <w:pStyle w:val="TableParagraph"/>
              <w:spacing w:before="201"/>
              <w:ind w:left="53" w:right="58"/>
              <w:jc w:val="center"/>
              <w:rPr>
                <w:sz w:val="28"/>
              </w:rPr>
            </w:pPr>
            <w:r>
              <w:rPr>
                <w:sz w:val="28"/>
              </w:rPr>
              <w:t>(20,0%)</w:t>
            </w:r>
          </w:p>
        </w:tc>
      </w:tr>
      <w:tr>
        <w:trPr>
          <w:trHeight w:val="632" w:hRule="exact"/>
        </w:trPr>
        <w:tc>
          <w:tcPr>
            <w:tcW w:w="1526" w:type="dxa"/>
            <w:vMerge/>
          </w:tcPr>
          <w:p>
            <w:pPr/>
          </w:p>
        </w:tc>
        <w:tc>
          <w:tcPr>
            <w:tcW w:w="2031" w:type="dxa"/>
            <w:tcBorders>
              <w:top w:val="nil"/>
            </w:tcBorders>
          </w:tcPr>
          <w:p>
            <w:pPr>
              <w:pStyle w:val="TableParagraph"/>
              <w:spacing w:before="99"/>
              <w:ind w:left="112" w:right="113"/>
              <w:jc w:val="center"/>
              <w:rPr>
                <w:sz w:val="28"/>
              </w:rPr>
            </w:pPr>
            <w:r>
              <w:rPr>
                <w:sz w:val="28"/>
              </w:rPr>
              <w:t>(55,9%)</w:t>
            </w:r>
          </w:p>
        </w:tc>
        <w:tc>
          <w:tcPr>
            <w:tcW w:w="2223" w:type="dxa"/>
            <w:tcBorders>
              <w:top w:val="nil"/>
            </w:tcBorders>
          </w:tcPr>
          <w:p>
            <w:pPr>
              <w:pStyle w:val="TableParagraph"/>
              <w:spacing w:before="99"/>
              <w:ind w:left="631" w:right="632"/>
              <w:jc w:val="center"/>
              <w:rPr>
                <w:sz w:val="28"/>
              </w:rPr>
            </w:pPr>
            <w:r>
              <w:rPr>
                <w:sz w:val="28"/>
              </w:rPr>
              <w:t>(38,3%)</w:t>
            </w:r>
          </w:p>
        </w:tc>
        <w:tc>
          <w:tcPr>
            <w:tcW w:w="2269" w:type="dxa"/>
            <w:tcBorders>
              <w:top w:val="nil"/>
            </w:tcBorders>
          </w:tcPr>
          <w:p>
            <w:pPr>
              <w:pStyle w:val="TableParagraph"/>
              <w:spacing w:before="99"/>
              <w:ind w:left="88" w:right="88"/>
              <w:jc w:val="center"/>
              <w:rPr>
                <w:sz w:val="28"/>
              </w:rPr>
            </w:pPr>
            <w:r>
              <w:rPr>
                <w:sz w:val="28"/>
              </w:rPr>
              <w:t>(5,8%)</w:t>
            </w:r>
          </w:p>
        </w:tc>
        <w:tc>
          <w:tcPr>
            <w:tcW w:w="1133" w:type="dxa"/>
            <w:vMerge/>
          </w:tcPr>
          <w:p>
            <w:pPr/>
          </w:p>
        </w:tc>
      </w:tr>
      <w:tr>
        <w:trPr>
          <w:trHeight w:val="432" w:hRule="exact"/>
        </w:trPr>
        <w:tc>
          <w:tcPr>
            <w:tcW w:w="1526" w:type="dxa"/>
            <w:vMerge w:val="restart"/>
          </w:tcPr>
          <w:p>
            <w:pPr>
              <w:pStyle w:val="TableParagraph"/>
              <w:spacing w:before="260"/>
              <w:ind w:left="591" w:right="592"/>
              <w:jc w:val="center"/>
              <w:rPr>
                <w:sz w:val="18"/>
              </w:rPr>
            </w:pPr>
            <w:r>
              <w:rPr>
                <w:sz w:val="28"/>
              </w:rPr>
              <w:t>G</w:t>
            </w:r>
            <w:r>
              <w:rPr>
                <w:position w:val="-3"/>
                <w:sz w:val="18"/>
              </w:rPr>
              <w:t>2</w:t>
            </w:r>
          </w:p>
        </w:tc>
        <w:tc>
          <w:tcPr>
            <w:tcW w:w="2031" w:type="dxa"/>
            <w:tcBorders>
              <w:bottom w:val="nil"/>
            </w:tcBorders>
          </w:tcPr>
          <w:p>
            <w:pPr>
              <w:pStyle w:val="TableParagraph"/>
              <w:spacing w:line="317" w:lineRule="exact"/>
              <w:ind w:left="113" w:right="113"/>
              <w:jc w:val="center"/>
              <w:rPr>
                <w:sz w:val="28"/>
              </w:rPr>
            </w:pPr>
            <w:r>
              <w:rPr>
                <w:sz w:val="28"/>
              </w:rPr>
              <w:t>190</w:t>
            </w:r>
          </w:p>
        </w:tc>
        <w:tc>
          <w:tcPr>
            <w:tcW w:w="2223" w:type="dxa"/>
            <w:tcBorders>
              <w:bottom w:val="nil"/>
            </w:tcBorders>
          </w:tcPr>
          <w:p>
            <w:pPr>
              <w:pStyle w:val="TableParagraph"/>
              <w:spacing w:line="317" w:lineRule="exact"/>
              <w:ind w:left="631" w:right="632"/>
              <w:jc w:val="center"/>
              <w:rPr>
                <w:sz w:val="28"/>
              </w:rPr>
            </w:pPr>
            <w:r>
              <w:rPr>
                <w:sz w:val="28"/>
              </w:rPr>
              <w:t>433</w:t>
            </w:r>
          </w:p>
        </w:tc>
        <w:tc>
          <w:tcPr>
            <w:tcW w:w="2269" w:type="dxa"/>
            <w:tcBorders>
              <w:bottom w:val="nil"/>
            </w:tcBorders>
          </w:tcPr>
          <w:p>
            <w:pPr>
              <w:pStyle w:val="TableParagraph"/>
              <w:spacing w:line="317" w:lineRule="exact"/>
              <w:ind w:left="88" w:right="90"/>
              <w:jc w:val="center"/>
              <w:rPr>
                <w:sz w:val="28"/>
              </w:rPr>
            </w:pPr>
            <w:r>
              <w:rPr>
                <w:sz w:val="28"/>
              </w:rPr>
              <w:t>85</w:t>
            </w:r>
          </w:p>
        </w:tc>
        <w:tc>
          <w:tcPr>
            <w:tcW w:w="1133" w:type="dxa"/>
            <w:vMerge w:val="restart"/>
          </w:tcPr>
          <w:p>
            <w:pPr>
              <w:pStyle w:val="TableParagraph"/>
              <w:ind w:left="54" w:right="58"/>
              <w:jc w:val="center"/>
              <w:rPr>
                <w:sz w:val="28"/>
              </w:rPr>
            </w:pPr>
            <w:r>
              <w:rPr>
                <w:sz w:val="28"/>
              </w:rPr>
              <w:t>708</w:t>
            </w:r>
          </w:p>
          <w:p>
            <w:pPr>
              <w:pStyle w:val="TableParagraph"/>
              <w:spacing w:before="199"/>
              <w:ind w:left="55" w:right="58"/>
              <w:jc w:val="center"/>
              <w:rPr>
                <w:sz w:val="28"/>
              </w:rPr>
            </w:pPr>
            <w:r>
              <w:rPr>
                <w:sz w:val="28"/>
              </w:rPr>
              <w:t>(55,3%)</w:t>
            </w:r>
          </w:p>
        </w:tc>
      </w:tr>
      <w:tr>
        <w:trPr>
          <w:trHeight w:val="634" w:hRule="exact"/>
        </w:trPr>
        <w:tc>
          <w:tcPr>
            <w:tcW w:w="1526" w:type="dxa"/>
            <w:vMerge/>
          </w:tcPr>
          <w:p>
            <w:pPr/>
          </w:p>
        </w:tc>
        <w:tc>
          <w:tcPr>
            <w:tcW w:w="2031" w:type="dxa"/>
            <w:tcBorders>
              <w:top w:val="nil"/>
            </w:tcBorders>
          </w:tcPr>
          <w:p>
            <w:pPr>
              <w:pStyle w:val="TableParagraph"/>
              <w:spacing w:before="99"/>
              <w:ind w:left="112" w:right="113"/>
              <w:jc w:val="center"/>
              <w:rPr>
                <w:sz w:val="28"/>
              </w:rPr>
            </w:pPr>
            <w:r>
              <w:rPr>
                <w:sz w:val="28"/>
              </w:rPr>
              <w:t>(26,8%)</w:t>
            </w:r>
          </w:p>
        </w:tc>
        <w:tc>
          <w:tcPr>
            <w:tcW w:w="2223" w:type="dxa"/>
            <w:tcBorders>
              <w:top w:val="nil"/>
            </w:tcBorders>
          </w:tcPr>
          <w:p>
            <w:pPr>
              <w:pStyle w:val="TableParagraph"/>
              <w:spacing w:before="99"/>
              <w:ind w:left="631" w:right="632"/>
              <w:jc w:val="center"/>
              <w:rPr>
                <w:sz w:val="28"/>
              </w:rPr>
            </w:pPr>
            <w:r>
              <w:rPr>
                <w:sz w:val="28"/>
              </w:rPr>
              <w:t>(61,2%)</w:t>
            </w:r>
          </w:p>
        </w:tc>
        <w:tc>
          <w:tcPr>
            <w:tcW w:w="2269" w:type="dxa"/>
            <w:tcBorders>
              <w:top w:val="nil"/>
            </w:tcBorders>
          </w:tcPr>
          <w:p>
            <w:pPr>
              <w:pStyle w:val="TableParagraph"/>
              <w:spacing w:before="99"/>
              <w:ind w:left="88" w:right="92"/>
              <w:jc w:val="center"/>
              <w:rPr>
                <w:sz w:val="28"/>
              </w:rPr>
            </w:pPr>
            <w:r>
              <w:rPr>
                <w:sz w:val="28"/>
              </w:rPr>
              <w:t>(12%)</w:t>
            </w:r>
          </w:p>
        </w:tc>
        <w:tc>
          <w:tcPr>
            <w:tcW w:w="1133" w:type="dxa"/>
            <w:vMerge/>
          </w:tcPr>
          <w:p>
            <w:pPr/>
          </w:p>
        </w:tc>
      </w:tr>
      <w:tr>
        <w:trPr>
          <w:trHeight w:val="430" w:hRule="exact"/>
        </w:trPr>
        <w:tc>
          <w:tcPr>
            <w:tcW w:w="1526" w:type="dxa"/>
            <w:vMerge w:val="restart"/>
          </w:tcPr>
          <w:p>
            <w:pPr>
              <w:pStyle w:val="TableParagraph"/>
              <w:spacing w:before="259"/>
              <w:ind w:left="591" w:right="592"/>
              <w:jc w:val="center"/>
              <w:rPr>
                <w:sz w:val="18"/>
              </w:rPr>
            </w:pPr>
            <w:r>
              <w:rPr>
                <w:sz w:val="28"/>
              </w:rPr>
              <w:t>G</w:t>
            </w:r>
            <w:r>
              <w:rPr>
                <w:position w:val="-3"/>
                <w:sz w:val="18"/>
              </w:rPr>
              <w:t>3</w:t>
            </w:r>
          </w:p>
        </w:tc>
        <w:tc>
          <w:tcPr>
            <w:tcW w:w="2031" w:type="dxa"/>
            <w:tcBorders>
              <w:bottom w:val="nil"/>
            </w:tcBorders>
          </w:tcPr>
          <w:p>
            <w:pPr>
              <w:pStyle w:val="TableParagraph"/>
              <w:spacing w:line="315" w:lineRule="exact"/>
              <w:ind w:left="113" w:right="113"/>
              <w:jc w:val="center"/>
              <w:rPr>
                <w:sz w:val="28"/>
              </w:rPr>
            </w:pPr>
            <w:r>
              <w:rPr>
                <w:sz w:val="28"/>
              </w:rPr>
              <w:t>20</w:t>
            </w:r>
          </w:p>
        </w:tc>
        <w:tc>
          <w:tcPr>
            <w:tcW w:w="2223" w:type="dxa"/>
            <w:tcBorders>
              <w:bottom w:val="nil"/>
            </w:tcBorders>
          </w:tcPr>
          <w:p>
            <w:pPr>
              <w:pStyle w:val="TableParagraph"/>
              <w:spacing w:line="315" w:lineRule="exact"/>
              <w:ind w:left="631" w:right="632"/>
              <w:jc w:val="center"/>
              <w:rPr>
                <w:sz w:val="28"/>
              </w:rPr>
            </w:pPr>
            <w:r>
              <w:rPr>
                <w:sz w:val="28"/>
              </w:rPr>
              <w:t>152</w:t>
            </w:r>
          </w:p>
        </w:tc>
        <w:tc>
          <w:tcPr>
            <w:tcW w:w="2269" w:type="dxa"/>
            <w:tcBorders>
              <w:bottom w:val="nil"/>
            </w:tcBorders>
          </w:tcPr>
          <w:p>
            <w:pPr>
              <w:pStyle w:val="TableParagraph"/>
              <w:spacing w:line="315" w:lineRule="exact"/>
              <w:ind w:left="88" w:right="90"/>
              <w:jc w:val="center"/>
              <w:rPr>
                <w:sz w:val="28"/>
              </w:rPr>
            </w:pPr>
            <w:r>
              <w:rPr>
                <w:sz w:val="28"/>
              </w:rPr>
              <w:t>55</w:t>
            </w:r>
          </w:p>
        </w:tc>
        <w:tc>
          <w:tcPr>
            <w:tcW w:w="1133" w:type="dxa"/>
            <w:vMerge w:val="restart"/>
          </w:tcPr>
          <w:p>
            <w:pPr>
              <w:pStyle w:val="TableParagraph"/>
              <w:spacing w:line="320" w:lineRule="exact"/>
              <w:ind w:left="54" w:right="58"/>
              <w:jc w:val="center"/>
              <w:rPr>
                <w:sz w:val="28"/>
              </w:rPr>
            </w:pPr>
            <w:r>
              <w:rPr>
                <w:sz w:val="28"/>
              </w:rPr>
              <w:t>227</w:t>
            </w:r>
          </w:p>
          <w:p>
            <w:pPr>
              <w:pStyle w:val="TableParagraph"/>
              <w:spacing w:before="199"/>
              <w:ind w:left="55" w:right="58"/>
              <w:jc w:val="center"/>
              <w:rPr>
                <w:sz w:val="28"/>
              </w:rPr>
            </w:pPr>
            <w:r>
              <w:rPr>
                <w:sz w:val="28"/>
              </w:rPr>
              <w:t>(17,7%)</w:t>
            </w:r>
          </w:p>
        </w:tc>
      </w:tr>
      <w:tr>
        <w:trPr>
          <w:trHeight w:val="634" w:hRule="exact"/>
        </w:trPr>
        <w:tc>
          <w:tcPr>
            <w:tcW w:w="1526" w:type="dxa"/>
            <w:vMerge/>
          </w:tcPr>
          <w:p>
            <w:pPr/>
          </w:p>
        </w:tc>
        <w:tc>
          <w:tcPr>
            <w:tcW w:w="2031" w:type="dxa"/>
            <w:tcBorders>
              <w:top w:val="nil"/>
            </w:tcBorders>
          </w:tcPr>
          <w:p>
            <w:pPr>
              <w:pStyle w:val="TableParagraph"/>
              <w:spacing w:before="98"/>
              <w:ind w:left="113" w:right="113"/>
              <w:jc w:val="center"/>
              <w:rPr>
                <w:sz w:val="28"/>
              </w:rPr>
            </w:pPr>
            <w:r>
              <w:rPr>
                <w:sz w:val="28"/>
              </w:rPr>
              <w:t>(8,8%)</w:t>
            </w:r>
          </w:p>
        </w:tc>
        <w:tc>
          <w:tcPr>
            <w:tcW w:w="2223" w:type="dxa"/>
            <w:tcBorders>
              <w:top w:val="nil"/>
            </w:tcBorders>
          </w:tcPr>
          <w:p>
            <w:pPr>
              <w:pStyle w:val="TableParagraph"/>
              <w:spacing w:before="98"/>
              <w:ind w:left="631" w:right="632"/>
              <w:jc w:val="center"/>
              <w:rPr>
                <w:sz w:val="28"/>
              </w:rPr>
            </w:pPr>
            <w:r>
              <w:rPr>
                <w:sz w:val="28"/>
              </w:rPr>
              <w:t>(67,0%)</w:t>
            </w:r>
          </w:p>
        </w:tc>
        <w:tc>
          <w:tcPr>
            <w:tcW w:w="2269" w:type="dxa"/>
            <w:tcBorders>
              <w:top w:val="nil"/>
            </w:tcBorders>
          </w:tcPr>
          <w:p>
            <w:pPr>
              <w:pStyle w:val="TableParagraph"/>
              <w:spacing w:before="98"/>
              <w:ind w:left="88" w:right="90"/>
              <w:jc w:val="center"/>
              <w:rPr>
                <w:sz w:val="28"/>
              </w:rPr>
            </w:pPr>
            <w:r>
              <w:rPr>
                <w:sz w:val="28"/>
              </w:rPr>
              <w:t>(24,2%)</w:t>
            </w:r>
          </w:p>
        </w:tc>
        <w:tc>
          <w:tcPr>
            <w:tcW w:w="1133" w:type="dxa"/>
            <w:vMerge/>
          </w:tcPr>
          <w:p>
            <w:pPr/>
          </w:p>
        </w:tc>
      </w:tr>
      <w:tr>
        <w:trPr>
          <w:trHeight w:val="1054" w:hRule="exact"/>
        </w:trPr>
        <w:tc>
          <w:tcPr>
            <w:tcW w:w="1526" w:type="dxa"/>
          </w:tcPr>
          <w:p>
            <w:pPr>
              <w:pStyle w:val="TableParagraph"/>
              <w:spacing w:before="254"/>
              <w:ind w:left="412"/>
              <w:rPr>
                <w:sz w:val="28"/>
              </w:rPr>
            </w:pPr>
            <w:r>
              <w:rPr>
                <w:sz w:val="28"/>
              </w:rPr>
              <w:t>Всего</w:t>
            </w:r>
          </w:p>
        </w:tc>
        <w:tc>
          <w:tcPr>
            <w:tcW w:w="2031" w:type="dxa"/>
          </w:tcPr>
          <w:p>
            <w:pPr>
              <w:pStyle w:val="TableParagraph"/>
              <w:spacing w:line="315" w:lineRule="exact"/>
              <w:ind w:left="113" w:right="113"/>
              <w:jc w:val="center"/>
              <w:rPr>
                <w:sz w:val="28"/>
              </w:rPr>
            </w:pPr>
            <w:r>
              <w:rPr>
                <w:sz w:val="28"/>
              </w:rPr>
              <w:t>403</w:t>
            </w:r>
          </w:p>
          <w:p>
            <w:pPr>
              <w:pStyle w:val="TableParagraph"/>
              <w:spacing w:before="201"/>
              <w:ind w:left="112" w:right="113"/>
              <w:jc w:val="center"/>
              <w:rPr>
                <w:sz w:val="28"/>
              </w:rPr>
            </w:pPr>
            <w:r>
              <w:rPr>
                <w:sz w:val="28"/>
              </w:rPr>
              <w:t>(31,5%)</w:t>
            </w:r>
          </w:p>
        </w:tc>
        <w:tc>
          <w:tcPr>
            <w:tcW w:w="2223" w:type="dxa"/>
          </w:tcPr>
          <w:p>
            <w:pPr>
              <w:pStyle w:val="TableParagraph"/>
              <w:spacing w:line="315" w:lineRule="exact"/>
              <w:ind w:left="631" w:right="632"/>
              <w:jc w:val="center"/>
              <w:rPr>
                <w:sz w:val="28"/>
              </w:rPr>
            </w:pPr>
            <w:r>
              <w:rPr>
                <w:sz w:val="28"/>
              </w:rPr>
              <w:t>717</w:t>
            </w:r>
          </w:p>
          <w:p>
            <w:pPr>
              <w:pStyle w:val="TableParagraph"/>
              <w:spacing w:before="201"/>
              <w:ind w:left="631" w:right="632"/>
              <w:jc w:val="center"/>
              <w:rPr>
                <w:sz w:val="28"/>
              </w:rPr>
            </w:pPr>
            <w:r>
              <w:rPr>
                <w:sz w:val="28"/>
              </w:rPr>
              <w:t>(56,0%)</w:t>
            </w:r>
          </w:p>
        </w:tc>
        <w:tc>
          <w:tcPr>
            <w:tcW w:w="2269" w:type="dxa"/>
          </w:tcPr>
          <w:p>
            <w:pPr>
              <w:pStyle w:val="TableParagraph"/>
              <w:spacing w:line="315" w:lineRule="exact"/>
              <w:ind w:left="88" w:right="90"/>
              <w:jc w:val="center"/>
              <w:rPr>
                <w:sz w:val="28"/>
              </w:rPr>
            </w:pPr>
            <w:r>
              <w:rPr>
                <w:sz w:val="28"/>
              </w:rPr>
              <w:t>160</w:t>
            </w:r>
          </w:p>
          <w:p>
            <w:pPr>
              <w:pStyle w:val="TableParagraph"/>
              <w:spacing w:before="201"/>
              <w:ind w:left="88" w:right="90"/>
              <w:jc w:val="center"/>
              <w:rPr>
                <w:sz w:val="28"/>
              </w:rPr>
            </w:pPr>
            <w:r>
              <w:rPr>
                <w:sz w:val="28"/>
              </w:rPr>
              <w:t>(12,5%)</w:t>
            </w:r>
          </w:p>
        </w:tc>
        <w:tc>
          <w:tcPr>
            <w:tcW w:w="1133" w:type="dxa"/>
          </w:tcPr>
          <w:p>
            <w:pPr>
              <w:pStyle w:val="TableParagraph"/>
              <w:spacing w:before="254"/>
              <w:ind w:left="278"/>
              <w:rPr>
                <w:sz w:val="28"/>
              </w:rPr>
            </w:pPr>
            <w:r>
              <w:rPr>
                <w:sz w:val="28"/>
              </w:rPr>
              <w:t>1280</w:t>
            </w:r>
          </w:p>
        </w:tc>
      </w:tr>
    </w:tbl>
    <w:p>
      <w:pPr>
        <w:spacing w:after="0"/>
        <w:rPr>
          <w:sz w:val="28"/>
        </w:rPr>
        <w:sectPr>
          <w:pgSz w:w="11900" w:h="16850"/>
          <w:pgMar w:header="712" w:footer="0" w:top="1020" w:bottom="280" w:left="1480" w:right="1000"/>
        </w:sectPr>
      </w:pPr>
    </w:p>
    <w:p>
      <w:pPr>
        <w:pStyle w:val="BodyText"/>
        <w:rPr>
          <w:sz w:val="20"/>
        </w:rPr>
      </w:pPr>
    </w:p>
    <w:p>
      <w:pPr>
        <w:pStyle w:val="BodyText"/>
        <w:spacing w:before="7"/>
        <w:rPr>
          <w:sz w:val="24"/>
        </w:rPr>
      </w:pPr>
    </w:p>
    <w:p>
      <w:pPr>
        <w:pStyle w:val="BodyText"/>
        <w:spacing w:line="360" w:lineRule="auto" w:before="89"/>
        <w:ind w:left="102" w:right="99"/>
        <w:jc w:val="both"/>
      </w:pPr>
      <w:r>
        <w:rPr/>
        <w:t>Морфологическая дифференцировка опухоли и степень ее распространенности непосредственно связаны. Чем выше дифференцировка опухоли, тем медленнее прогрессирует опухолевый процесс и наоборот. Метастатический РЭ в наибольшем проценте случаев встречается при низкодифференцированных опухолях. На связь морфологической дифференцировки опухоли с этиологическими и патогенетическими факторами указывает выраженное преобладание I патогенетического варианта среди больных высоко- и умереннодифференцированными опухолями.</w:t>
      </w:r>
    </w:p>
    <w:p>
      <w:pPr>
        <w:pStyle w:val="BodyText"/>
        <w:spacing w:line="360" w:lineRule="auto" w:before="125"/>
        <w:ind w:left="102" w:right="109" w:firstLine="347"/>
        <w:jc w:val="both"/>
      </w:pPr>
      <w:r>
        <w:rPr/>
        <w:t>В следующем разделе работы будут представлены относительные риски различных факторов, характеризующих опухолевый процесс, на потенции к местному распространению и метастазированию изучаемых новообразований.</w:t>
      </w:r>
    </w:p>
    <w:p>
      <w:pPr>
        <w:pStyle w:val="BodyText"/>
        <w:rPr>
          <w:sz w:val="30"/>
        </w:rPr>
      </w:pPr>
    </w:p>
    <w:p>
      <w:pPr>
        <w:pStyle w:val="BodyText"/>
        <w:rPr>
          <w:sz w:val="30"/>
        </w:rPr>
      </w:pPr>
    </w:p>
    <w:p>
      <w:pPr>
        <w:pStyle w:val="BodyText"/>
        <w:rPr>
          <w:sz w:val="30"/>
        </w:rPr>
      </w:pPr>
    </w:p>
    <w:p>
      <w:pPr>
        <w:pStyle w:val="BodyText"/>
        <w:spacing w:before="3"/>
        <w:rPr>
          <w:sz w:val="40"/>
        </w:rPr>
      </w:pPr>
    </w:p>
    <w:p>
      <w:pPr>
        <w:pStyle w:val="Heading1"/>
        <w:numPr>
          <w:ilvl w:val="1"/>
          <w:numId w:val="20"/>
        </w:numPr>
        <w:tabs>
          <w:tab w:pos="1171" w:val="left" w:leader="none"/>
        </w:tabs>
        <w:spacing w:line="360" w:lineRule="auto" w:before="0" w:after="0"/>
        <w:ind w:left="2843" w:right="683" w:hanging="2165"/>
        <w:jc w:val="left"/>
      </w:pPr>
      <w:r>
        <w:rPr/>
        <w:t>Выбор объема вмешательства и хирургического доступа у больных раком</w:t>
      </w:r>
      <w:r>
        <w:rPr>
          <w:spacing w:val="65"/>
        </w:rPr>
        <w:t> </w:t>
      </w:r>
      <w:r>
        <w:rPr/>
        <w:t>эндометрия</w:t>
      </w:r>
    </w:p>
    <w:p>
      <w:pPr>
        <w:pStyle w:val="BodyText"/>
        <w:spacing w:line="360" w:lineRule="auto" w:before="199"/>
        <w:ind w:left="102" w:right="106" w:firstLine="417"/>
        <w:jc w:val="both"/>
      </w:pPr>
      <w:r>
        <w:rPr/>
        <w:t>Анализ особенностей выполненных операций, непосредственных и отдаленных результатов лечения в сопоставлении с применявшимися хирургическими доступами является завершающим этапом этой части исследования.</w:t>
      </w:r>
    </w:p>
    <w:p>
      <w:pPr>
        <w:pStyle w:val="BodyText"/>
        <w:rPr>
          <w:sz w:val="30"/>
        </w:rPr>
      </w:pPr>
    </w:p>
    <w:p>
      <w:pPr>
        <w:pStyle w:val="BodyText"/>
        <w:rPr>
          <w:sz w:val="30"/>
        </w:rPr>
      </w:pPr>
    </w:p>
    <w:p>
      <w:pPr>
        <w:pStyle w:val="Heading1"/>
        <w:numPr>
          <w:ilvl w:val="2"/>
          <w:numId w:val="21"/>
        </w:numPr>
        <w:tabs>
          <w:tab w:pos="1141" w:val="left" w:leader="none"/>
        </w:tabs>
        <w:spacing w:line="360" w:lineRule="auto" w:before="203" w:after="0"/>
        <w:ind w:left="2218" w:right="444" w:hanging="1778"/>
        <w:jc w:val="left"/>
      </w:pPr>
      <w:r>
        <w:rPr/>
        <w:t>Особенности организма и опухоли, определяющие лечебную тактику у больных раком</w:t>
      </w:r>
      <w:r>
        <w:rPr>
          <w:spacing w:val="-6"/>
        </w:rPr>
        <w:t> </w:t>
      </w:r>
      <w:r>
        <w:rPr/>
        <w:t>эндометрия</w:t>
      </w:r>
    </w:p>
    <w:p>
      <w:pPr>
        <w:pStyle w:val="BodyText"/>
        <w:spacing w:line="360" w:lineRule="auto" w:before="202"/>
        <w:ind w:left="102" w:right="106" w:firstLine="69"/>
        <w:jc w:val="both"/>
      </w:pPr>
      <w:r>
        <w:rPr/>
        <w:t>Традиционно в лечении рака эндометрия применяются следующие основные методы или их комбинации:</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ListParagraph"/>
        <w:numPr>
          <w:ilvl w:val="0"/>
          <w:numId w:val="22"/>
        </w:numPr>
        <w:tabs>
          <w:tab w:pos="383" w:val="left" w:leader="none"/>
        </w:tabs>
        <w:spacing w:line="240" w:lineRule="auto" w:before="224" w:after="0"/>
        <w:ind w:left="382" w:right="0" w:hanging="280"/>
        <w:jc w:val="left"/>
        <w:rPr>
          <w:sz w:val="28"/>
        </w:rPr>
      </w:pPr>
      <w:r>
        <w:rPr>
          <w:sz w:val="28"/>
        </w:rPr>
        <w:t>Экстирпация матки с</w:t>
      </w:r>
      <w:r>
        <w:rPr>
          <w:spacing w:val="-10"/>
          <w:sz w:val="28"/>
        </w:rPr>
        <w:t> </w:t>
      </w:r>
      <w:r>
        <w:rPr>
          <w:sz w:val="28"/>
        </w:rPr>
        <w:t>придатками.</w:t>
      </w:r>
    </w:p>
    <w:p>
      <w:pPr>
        <w:pStyle w:val="BodyText"/>
        <w:spacing w:before="3"/>
        <w:rPr>
          <w:sz w:val="31"/>
        </w:rPr>
      </w:pPr>
    </w:p>
    <w:p>
      <w:pPr>
        <w:pStyle w:val="ListParagraph"/>
        <w:numPr>
          <w:ilvl w:val="0"/>
          <w:numId w:val="22"/>
        </w:numPr>
        <w:tabs>
          <w:tab w:pos="383" w:val="left" w:leader="none"/>
        </w:tabs>
        <w:spacing w:line="240" w:lineRule="auto" w:before="0" w:after="0"/>
        <w:ind w:left="382" w:right="0" w:hanging="280"/>
        <w:jc w:val="left"/>
        <w:rPr>
          <w:sz w:val="28"/>
        </w:rPr>
      </w:pPr>
      <w:r>
        <w:rPr>
          <w:sz w:val="28"/>
        </w:rPr>
        <w:t>Расширенная экстирпация матки с</w:t>
      </w:r>
      <w:r>
        <w:rPr>
          <w:spacing w:val="-14"/>
          <w:sz w:val="28"/>
        </w:rPr>
        <w:t> </w:t>
      </w:r>
      <w:r>
        <w:rPr>
          <w:sz w:val="28"/>
        </w:rPr>
        <w:t>придатками.</w:t>
      </w:r>
    </w:p>
    <w:p>
      <w:pPr>
        <w:pStyle w:val="BodyText"/>
        <w:spacing w:before="5"/>
        <w:rPr>
          <w:sz w:val="31"/>
        </w:rPr>
      </w:pPr>
    </w:p>
    <w:p>
      <w:pPr>
        <w:pStyle w:val="ListParagraph"/>
        <w:numPr>
          <w:ilvl w:val="0"/>
          <w:numId w:val="22"/>
        </w:numPr>
        <w:tabs>
          <w:tab w:pos="383" w:val="left" w:leader="none"/>
        </w:tabs>
        <w:spacing w:line="240" w:lineRule="auto" w:before="0" w:after="0"/>
        <w:ind w:left="382" w:right="0" w:hanging="280"/>
        <w:jc w:val="left"/>
        <w:rPr>
          <w:sz w:val="28"/>
        </w:rPr>
      </w:pPr>
      <w:r>
        <w:rPr>
          <w:sz w:val="28"/>
        </w:rPr>
        <w:t>1+ адъювантная</w:t>
      </w:r>
      <w:r>
        <w:rPr>
          <w:spacing w:val="-13"/>
          <w:sz w:val="28"/>
        </w:rPr>
        <w:t> </w:t>
      </w:r>
      <w:r>
        <w:rPr>
          <w:sz w:val="28"/>
        </w:rPr>
        <w:t>гормонотерапия.</w:t>
      </w:r>
    </w:p>
    <w:p>
      <w:pPr>
        <w:pStyle w:val="BodyText"/>
        <w:spacing w:before="2"/>
        <w:rPr>
          <w:sz w:val="31"/>
        </w:rPr>
      </w:pPr>
    </w:p>
    <w:p>
      <w:pPr>
        <w:pStyle w:val="ListParagraph"/>
        <w:numPr>
          <w:ilvl w:val="0"/>
          <w:numId w:val="22"/>
        </w:numPr>
        <w:tabs>
          <w:tab w:pos="383" w:val="left" w:leader="none"/>
        </w:tabs>
        <w:spacing w:line="240" w:lineRule="auto" w:before="1" w:after="0"/>
        <w:ind w:left="382" w:right="0" w:hanging="280"/>
        <w:jc w:val="left"/>
        <w:rPr>
          <w:sz w:val="28"/>
        </w:rPr>
      </w:pPr>
      <w:r>
        <w:rPr>
          <w:sz w:val="28"/>
        </w:rPr>
        <w:t>2+ адъювантная</w:t>
      </w:r>
      <w:r>
        <w:rPr>
          <w:spacing w:val="-13"/>
          <w:sz w:val="28"/>
        </w:rPr>
        <w:t> </w:t>
      </w:r>
      <w:r>
        <w:rPr>
          <w:sz w:val="28"/>
        </w:rPr>
        <w:t>гормонотерапия.</w:t>
      </w:r>
    </w:p>
    <w:p>
      <w:pPr>
        <w:pStyle w:val="BodyText"/>
        <w:spacing w:before="5"/>
        <w:rPr>
          <w:sz w:val="31"/>
        </w:rPr>
      </w:pPr>
    </w:p>
    <w:p>
      <w:pPr>
        <w:pStyle w:val="ListParagraph"/>
        <w:numPr>
          <w:ilvl w:val="0"/>
          <w:numId w:val="22"/>
        </w:numPr>
        <w:tabs>
          <w:tab w:pos="383" w:val="left" w:leader="none"/>
        </w:tabs>
        <w:spacing w:line="240" w:lineRule="auto" w:before="0" w:after="0"/>
        <w:ind w:left="382" w:right="0" w:hanging="280"/>
        <w:jc w:val="left"/>
        <w:rPr>
          <w:sz w:val="28"/>
        </w:rPr>
      </w:pPr>
      <w:r>
        <w:rPr>
          <w:sz w:val="28"/>
        </w:rPr>
        <w:t>1+ послеоперационное</w:t>
      </w:r>
      <w:r>
        <w:rPr>
          <w:spacing w:val="-15"/>
          <w:sz w:val="28"/>
        </w:rPr>
        <w:t> </w:t>
      </w:r>
      <w:r>
        <w:rPr>
          <w:sz w:val="28"/>
        </w:rPr>
        <w:t>облучение.</w:t>
      </w:r>
    </w:p>
    <w:p>
      <w:pPr>
        <w:pStyle w:val="BodyText"/>
        <w:spacing w:before="5"/>
        <w:rPr>
          <w:sz w:val="31"/>
        </w:rPr>
      </w:pPr>
    </w:p>
    <w:p>
      <w:pPr>
        <w:pStyle w:val="ListParagraph"/>
        <w:numPr>
          <w:ilvl w:val="0"/>
          <w:numId w:val="22"/>
        </w:numPr>
        <w:tabs>
          <w:tab w:pos="383" w:val="left" w:leader="none"/>
        </w:tabs>
        <w:spacing w:line="240" w:lineRule="auto" w:before="0" w:after="0"/>
        <w:ind w:left="382" w:right="0" w:hanging="280"/>
        <w:jc w:val="left"/>
        <w:rPr>
          <w:sz w:val="28"/>
        </w:rPr>
      </w:pPr>
      <w:r>
        <w:rPr>
          <w:sz w:val="28"/>
        </w:rPr>
        <w:t>2+ послеоперационное</w:t>
      </w:r>
      <w:r>
        <w:rPr>
          <w:spacing w:val="-15"/>
          <w:sz w:val="28"/>
        </w:rPr>
        <w:t> </w:t>
      </w:r>
      <w:r>
        <w:rPr>
          <w:sz w:val="28"/>
        </w:rPr>
        <w:t>облучение.</w:t>
      </w:r>
    </w:p>
    <w:p>
      <w:pPr>
        <w:pStyle w:val="BodyText"/>
        <w:spacing w:before="2"/>
        <w:rPr>
          <w:sz w:val="31"/>
        </w:rPr>
      </w:pPr>
    </w:p>
    <w:p>
      <w:pPr>
        <w:pStyle w:val="ListParagraph"/>
        <w:numPr>
          <w:ilvl w:val="0"/>
          <w:numId w:val="22"/>
        </w:numPr>
        <w:tabs>
          <w:tab w:pos="383" w:val="left" w:leader="none"/>
        </w:tabs>
        <w:spacing w:line="240" w:lineRule="auto" w:before="0" w:after="0"/>
        <w:ind w:left="382" w:right="0" w:hanging="280"/>
        <w:jc w:val="left"/>
        <w:rPr>
          <w:sz w:val="28"/>
        </w:rPr>
      </w:pPr>
      <w:r>
        <w:rPr>
          <w:sz w:val="28"/>
        </w:rPr>
        <w:t>3+ послеоперационное</w:t>
      </w:r>
      <w:r>
        <w:rPr>
          <w:spacing w:val="-15"/>
          <w:sz w:val="28"/>
        </w:rPr>
        <w:t> </w:t>
      </w:r>
      <w:r>
        <w:rPr>
          <w:sz w:val="28"/>
        </w:rPr>
        <w:t>облучение.</w:t>
      </w:r>
    </w:p>
    <w:p>
      <w:pPr>
        <w:pStyle w:val="BodyText"/>
        <w:spacing w:before="4"/>
        <w:rPr>
          <w:sz w:val="31"/>
        </w:rPr>
      </w:pPr>
    </w:p>
    <w:p>
      <w:pPr>
        <w:pStyle w:val="ListParagraph"/>
        <w:numPr>
          <w:ilvl w:val="0"/>
          <w:numId w:val="22"/>
        </w:numPr>
        <w:tabs>
          <w:tab w:pos="383" w:val="left" w:leader="none"/>
        </w:tabs>
        <w:spacing w:line="240" w:lineRule="auto" w:before="1" w:after="0"/>
        <w:ind w:left="382" w:right="0" w:hanging="280"/>
        <w:jc w:val="left"/>
        <w:rPr>
          <w:sz w:val="28"/>
        </w:rPr>
      </w:pPr>
      <w:r>
        <w:rPr>
          <w:sz w:val="28"/>
        </w:rPr>
        <w:t>4+ послеоперационное</w:t>
      </w:r>
      <w:r>
        <w:rPr>
          <w:spacing w:val="-15"/>
          <w:sz w:val="28"/>
        </w:rPr>
        <w:t> </w:t>
      </w:r>
      <w:r>
        <w:rPr>
          <w:sz w:val="28"/>
        </w:rPr>
        <w:t>облучение.</w:t>
      </w:r>
    </w:p>
    <w:p>
      <w:pPr>
        <w:pStyle w:val="BodyText"/>
        <w:spacing w:before="3"/>
        <w:rPr>
          <w:sz w:val="31"/>
        </w:rPr>
      </w:pPr>
    </w:p>
    <w:p>
      <w:pPr>
        <w:pStyle w:val="ListParagraph"/>
        <w:numPr>
          <w:ilvl w:val="0"/>
          <w:numId w:val="22"/>
        </w:numPr>
        <w:tabs>
          <w:tab w:pos="383" w:val="left" w:leader="none"/>
        </w:tabs>
        <w:spacing w:line="240" w:lineRule="auto" w:before="0" w:after="0"/>
        <w:ind w:left="382" w:right="0" w:hanging="280"/>
        <w:jc w:val="left"/>
        <w:rPr>
          <w:sz w:val="28"/>
        </w:rPr>
      </w:pPr>
      <w:r>
        <w:rPr>
          <w:sz w:val="28"/>
        </w:rPr>
        <w:t>Самостоятельная</w:t>
      </w:r>
      <w:r>
        <w:rPr>
          <w:spacing w:val="-8"/>
          <w:sz w:val="28"/>
        </w:rPr>
        <w:t> </w:t>
      </w:r>
      <w:r>
        <w:rPr>
          <w:sz w:val="28"/>
        </w:rPr>
        <w:t>гормонотерапия.</w:t>
      </w:r>
    </w:p>
    <w:p>
      <w:pPr>
        <w:pStyle w:val="BodyText"/>
        <w:spacing w:before="5"/>
        <w:rPr>
          <w:sz w:val="31"/>
        </w:rPr>
      </w:pPr>
    </w:p>
    <w:p>
      <w:pPr>
        <w:pStyle w:val="BodyText"/>
        <w:tabs>
          <w:tab w:pos="796" w:val="left" w:leader="none"/>
          <w:tab w:pos="1866" w:val="left" w:leader="none"/>
          <w:tab w:pos="3178" w:val="left" w:leader="none"/>
          <w:tab w:pos="4392" w:val="left" w:leader="none"/>
          <w:tab w:pos="6238" w:val="left" w:leader="none"/>
          <w:tab w:pos="8277" w:val="left" w:leader="none"/>
          <w:tab w:pos="8754" w:val="left" w:leader="none"/>
        </w:tabs>
        <w:spacing w:line="360" w:lineRule="auto"/>
        <w:ind w:left="102" w:right="109"/>
      </w:pPr>
      <w:r>
        <w:rPr/>
        <w:t>При</w:t>
        <w:tab/>
        <w:t>выборе</w:t>
        <w:tab/>
        <w:t>лечебной</w:t>
        <w:tab/>
        <w:t>тактики,</w:t>
        <w:tab/>
        <w:t>как </w:t>
      </w:r>
      <w:r>
        <w:rPr>
          <w:spacing w:val="59"/>
        </w:rPr>
        <w:t> </w:t>
      </w:r>
      <w:r>
        <w:rPr/>
        <w:t>правило,</w:t>
        <w:tab/>
        <w:t>ориентируются</w:t>
        <w:tab/>
        <w:t>на</w:t>
        <w:tab/>
        <w:t>ряд основных признаков, характеризующих особенности организма и</w:t>
      </w:r>
      <w:r>
        <w:rPr>
          <w:spacing w:val="-33"/>
        </w:rPr>
        <w:t> </w:t>
      </w:r>
      <w:r>
        <w:rPr/>
        <w:t>опухоли:</w:t>
      </w:r>
    </w:p>
    <w:p>
      <w:pPr>
        <w:pStyle w:val="ListParagraph"/>
        <w:numPr>
          <w:ilvl w:val="0"/>
          <w:numId w:val="23"/>
        </w:numPr>
        <w:tabs>
          <w:tab w:pos="266" w:val="left" w:leader="none"/>
        </w:tabs>
        <w:spacing w:line="240" w:lineRule="auto" w:before="206" w:after="0"/>
        <w:ind w:left="265" w:right="0" w:hanging="163"/>
        <w:jc w:val="left"/>
        <w:rPr>
          <w:sz w:val="28"/>
        </w:rPr>
      </w:pPr>
      <w:r>
        <w:rPr>
          <w:sz w:val="28"/>
        </w:rPr>
        <w:t>патогенетический</w:t>
      </w:r>
      <w:r>
        <w:rPr>
          <w:spacing w:val="-4"/>
          <w:sz w:val="28"/>
        </w:rPr>
        <w:t> </w:t>
      </w:r>
      <w:r>
        <w:rPr>
          <w:sz w:val="28"/>
        </w:rPr>
        <w:t>тип</w:t>
      </w:r>
    </w:p>
    <w:p>
      <w:pPr>
        <w:pStyle w:val="BodyText"/>
        <w:spacing w:before="2"/>
        <w:rPr>
          <w:sz w:val="31"/>
        </w:rPr>
      </w:pPr>
    </w:p>
    <w:p>
      <w:pPr>
        <w:pStyle w:val="ListParagraph"/>
        <w:numPr>
          <w:ilvl w:val="0"/>
          <w:numId w:val="23"/>
        </w:numPr>
        <w:tabs>
          <w:tab w:pos="266" w:val="left" w:leader="none"/>
        </w:tabs>
        <w:spacing w:line="240" w:lineRule="auto" w:before="0" w:after="0"/>
        <w:ind w:left="265" w:right="0" w:hanging="163"/>
        <w:jc w:val="left"/>
        <w:rPr>
          <w:sz w:val="28"/>
        </w:rPr>
      </w:pPr>
      <w:r>
        <w:rPr>
          <w:sz w:val="28"/>
        </w:rPr>
        <w:t>инвазия</w:t>
      </w:r>
    </w:p>
    <w:p>
      <w:pPr>
        <w:pStyle w:val="BodyText"/>
        <w:spacing w:before="5"/>
        <w:rPr>
          <w:sz w:val="31"/>
        </w:rPr>
      </w:pPr>
    </w:p>
    <w:p>
      <w:pPr>
        <w:pStyle w:val="ListParagraph"/>
        <w:numPr>
          <w:ilvl w:val="0"/>
          <w:numId w:val="23"/>
        </w:numPr>
        <w:tabs>
          <w:tab w:pos="266" w:val="left" w:leader="none"/>
        </w:tabs>
        <w:spacing w:line="240" w:lineRule="auto" w:before="0" w:after="0"/>
        <w:ind w:left="265" w:right="0" w:hanging="163"/>
        <w:jc w:val="left"/>
        <w:rPr>
          <w:sz w:val="28"/>
        </w:rPr>
      </w:pPr>
      <w:r>
        <w:rPr>
          <w:sz w:val="28"/>
        </w:rPr>
        <w:t>размер</w:t>
      </w:r>
      <w:r>
        <w:rPr>
          <w:spacing w:val="-4"/>
          <w:sz w:val="28"/>
        </w:rPr>
        <w:t> </w:t>
      </w:r>
      <w:r>
        <w:rPr>
          <w:sz w:val="28"/>
        </w:rPr>
        <w:t>опухоли</w:t>
      </w:r>
    </w:p>
    <w:p>
      <w:pPr>
        <w:pStyle w:val="BodyText"/>
        <w:spacing w:before="3"/>
        <w:rPr>
          <w:sz w:val="31"/>
        </w:rPr>
      </w:pPr>
    </w:p>
    <w:p>
      <w:pPr>
        <w:pStyle w:val="ListParagraph"/>
        <w:numPr>
          <w:ilvl w:val="0"/>
          <w:numId w:val="23"/>
        </w:numPr>
        <w:tabs>
          <w:tab w:pos="266" w:val="left" w:leader="none"/>
        </w:tabs>
        <w:spacing w:line="240" w:lineRule="auto" w:before="0" w:after="0"/>
        <w:ind w:left="265" w:right="0" w:hanging="163"/>
        <w:jc w:val="left"/>
        <w:rPr>
          <w:sz w:val="28"/>
        </w:rPr>
      </w:pPr>
      <w:r>
        <w:rPr>
          <w:sz w:val="28"/>
        </w:rPr>
        <w:t>состояние регионарных лимфатических</w:t>
      </w:r>
      <w:r>
        <w:rPr>
          <w:spacing w:val="-20"/>
          <w:sz w:val="28"/>
        </w:rPr>
        <w:t> </w:t>
      </w:r>
      <w:r>
        <w:rPr>
          <w:sz w:val="28"/>
        </w:rPr>
        <w:t>узлов</w:t>
      </w:r>
    </w:p>
    <w:p>
      <w:pPr>
        <w:pStyle w:val="BodyText"/>
        <w:spacing w:before="6"/>
        <w:rPr>
          <w:sz w:val="31"/>
        </w:rPr>
      </w:pPr>
    </w:p>
    <w:p>
      <w:pPr>
        <w:pStyle w:val="ListParagraph"/>
        <w:numPr>
          <w:ilvl w:val="0"/>
          <w:numId w:val="23"/>
        </w:numPr>
        <w:tabs>
          <w:tab w:pos="266" w:val="left" w:leader="none"/>
        </w:tabs>
        <w:spacing w:line="240" w:lineRule="auto" w:before="0" w:after="0"/>
        <w:ind w:left="265" w:right="0" w:hanging="163"/>
        <w:jc w:val="left"/>
        <w:rPr>
          <w:sz w:val="28"/>
        </w:rPr>
      </w:pPr>
      <w:r>
        <w:rPr>
          <w:sz w:val="28"/>
        </w:rPr>
        <w:t>гистологический</w:t>
      </w:r>
      <w:r>
        <w:rPr>
          <w:spacing w:val="-9"/>
          <w:sz w:val="28"/>
        </w:rPr>
        <w:t> </w:t>
      </w:r>
      <w:r>
        <w:rPr>
          <w:sz w:val="28"/>
        </w:rPr>
        <w:t>тип</w:t>
      </w:r>
    </w:p>
    <w:p>
      <w:pPr>
        <w:pStyle w:val="BodyText"/>
        <w:spacing w:before="3"/>
        <w:rPr>
          <w:sz w:val="31"/>
        </w:rPr>
      </w:pPr>
    </w:p>
    <w:p>
      <w:pPr>
        <w:pStyle w:val="ListParagraph"/>
        <w:numPr>
          <w:ilvl w:val="0"/>
          <w:numId w:val="23"/>
        </w:numPr>
        <w:tabs>
          <w:tab w:pos="266" w:val="left" w:leader="none"/>
        </w:tabs>
        <w:spacing w:line="240" w:lineRule="auto" w:before="0" w:after="0"/>
        <w:ind w:left="265" w:right="0" w:hanging="163"/>
        <w:jc w:val="left"/>
        <w:rPr>
          <w:sz w:val="28"/>
        </w:rPr>
      </w:pPr>
      <w:r>
        <w:rPr>
          <w:sz w:val="28"/>
        </w:rPr>
        <w:t>степень морфологической</w:t>
      </w:r>
      <w:r>
        <w:rPr>
          <w:spacing w:val="-17"/>
          <w:sz w:val="28"/>
        </w:rPr>
        <w:t> </w:t>
      </w:r>
      <w:r>
        <w:rPr>
          <w:sz w:val="28"/>
        </w:rPr>
        <w:t>дифференцировки</w:t>
      </w:r>
    </w:p>
    <w:p>
      <w:pPr>
        <w:pStyle w:val="BodyText"/>
        <w:spacing w:before="5"/>
        <w:rPr>
          <w:sz w:val="31"/>
        </w:rPr>
      </w:pPr>
    </w:p>
    <w:p>
      <w:pPr>
        <w:pStyle w:val="ListParagraph"/>
        <w:numPr>
          <w:ilvl w:val="0"/>
          <w:numId w:val="23"/>
        </w:numPr>
        <w:tabs>
          <w:tab w:pos="266" w:val="left" w:leader="none"/>
        </w:tabs>
        <w:spacing w:line="240" w:lineRule="auto" w:before="0" w:after="0"/>
        <w:ind w:left="265" w:right="0" w:hanging="163"/>
        <w:jc w:val="left"/>
        <w:rPr>
          <w:sz w:val="28"/>
        </w:rPr>
      </w:pPr>
      <w:r>
        <w:rPr>
          <w:sz w:val="28"/>
        </w:rPr>
        <w:t>содержание рецепторов прогестерона и эстрадиола в</w:t>
      </w:r>
      <w:r>
        <w:rPr>
          <w:spacing w:val="-20"/>
          <w:sz w:val="28"/>
        </w:rPr>
        <w:t> </w:t>
      </w:r>
      <w:r>
        <w:rPr>
          <w:sz w:val="28"/>
        </w:rPr>
        <w:t>опухоли.</w:t>
      </w:r>
    </w:p>
    <w:p>
      <w:pPr>
        <w:pStyle w:val="BodyText"/>
        <w:spacing w:before="5"/>
        <w:rPr>
          <w:sz w:val="31"/>
        </w:rPr>
      </w:pPr>
    </w:p>
    <w:p>
      <w:pPr>
        <w:pStyle w:val="BodyText"/>
        <w:spacing w:line="360" w:lineRule="auto"/>
        <w:ind w:left="102" w:right="105" w:firstLine="347"/>
        <w:jc w:val="both"/>
      </w:pPr>
      <w:r>
        <w:rPr/>
        <w:t>По общепринятым схемам комбинированного лечения больных раком эндометрия лечение, как правило, начинается с хирургического вмешательства. Необходимость выполнения экстирпации матки с придатками ни у кого не вызывает сомнений. Исключение составляют</w:t>
      </w:r>
    </w:p>
    <w:p>
      <w:pPr>
        <w:spacing w:after="0" w:line="360" w:lineRule="auto"/>
        <w:jc w:val="both"/>
        <w:sectPr>
          <w:pgSz w:w="11900" w:h="16850"/>
          <w:pgMar w:header="712" w:footer="0" w:top="1020" w:bottom="280" w:left="1600" w:right="1020"/>
        </w:sectPr>
      </w:pPr>
    </w:p>
    <w:p>
      <w:pPr>
        <w:pStyle w:val="BodyText"/>
        <w:rPr>
          <w:sz w:val="20"/>
        </w:rPr>
      </w:pPr>
    </w:p>
    <w:p>
      <w:pPr>
        <w:pStyle w:val="BodyText"/>
        <w:spacing w:before="7"/>
        <w:rPr>
          <w:sz w:val="24"/>
        </w:rPr>
      </w:pPr>
    </w:p>
    <w:p>
      <w:pPr>
        <w:pStyle w:val="BodyText"/>
        <w:spacing w:line="360" w:lineRule="auto" w:before="89"/>
        <w:ind w:left="222" w:right="123"/>
        <w:jc w:val="both"/>
      </w:pPr>
      <w:r>
        <w:rPr/>
        <w:t>больные минимальным раком эндометрия, у которых обсуждается вопрос  о возможности выполнения сберегающих операций, а в ряде случаев доказана принципиальная возможность излечения с помощью самостоятельной гормонотерапии (Табл.</w:t>
      </w:r>
      <w:r>
        <w:rPr>
          <w:spacing w:val="-15"/>
        </w:rPr>
        <w:t> </w:t>
      </w:r>
      <w:r>
        <w:rPr/>
        <w:t>3.15).</w:t>
      </w:r>
    </w:p>
    <w:p>
      <w:pPr>
        <w:pStyle w:val="BodyText"/>
        <w:spacing w:before="125"/>
        <w:ind w:left="7733"/>
      </w:pPr>
      <w:r>
        <w:rPr/>
        <w:t>Таблица 3.15</w:t>
      </w:r>
    </w:p>
    <w:p>
      <w:pPr>
        <w:pStyle w:val="BodyText"/>
        <w:spacing w:before="5"/>
        <w:rPr>
          <w:sz w:val="31"/>
        </w:rPr>
      </w:pPr>
    </w:p>
    <w:p>
      <w:pPr>
        <w:pStyle w:val="BodyText"/>
        <w:tabs>
          <w:tab w:pos="4921" w:val="left" w:leader="none"/>
        </w:tabs>
        <w:spacing w:line="276" w:lineRule="auto"/>
        <w:ind w:left="222" w:right="202"/>
      </w:pPr>
      <w:r>
        <w:rPr/>
        <w:t>5-летняя выживаемость</w:t>
      </w:r>
      <w:r>
        <w:rPr>
          <w:spacing w:val="-4"/>
        </w:rPr>
        <w:t> </w:t>
      </w:r>
      <w:r>
        <w:rPr/>
        <w:t>(%)</w:t>
      </w:r>
      <w:r>
        <w:rPr>
          <w:spacing w:val="-2"/>
        </w:rPr>
        <w:t> </w:t>
      </w:r>
      <w:r>
        <w:rPr/>
        <w:t>больных</w:t>
        <w:tab/>
        <w:t>раком эндометрия в</w:t>
      </w:r>
      <w:r>
        <w:rPr>
          <w:spacing w:val="-8"/>
        </w:rPr>
        <w:t> </w:t>
      </w:r>
      <w:r>
        <w:rPr/>
        <w:t>зависимости</w:t>
      </w:r>
      <w:r>
        <w:rPr>
          <w:spacing w:val="-2"/>
        </w:rPr>
        <w:t> </w:t>
      </w:r>
      <w:r>
        <w:rPr/>
        <w:t>от</w:t>
      </w:r>
      <w:r>
        <w:rPr>
          <w:w w:val="100"/>
        </w:rPr>
        <w:t> </w:t>
      </w:r>
      <w:r>
        <w:rPr/>
        <w:t>распространенности опухолевого процесса и объема хирургического вмешательства (без учета адьювантных методов</w:t>
      </w:r>
      <w:r>
        <w:rPr>
          <w:spacing w:val="-7"/>
        </w:rPr>
        <w:t> </w:t>
      </w:r>
      <w:r>
        <w:rPr/>
        <w:t>лечения)</w:t>
      </w:r>
    </w:p>
    <w:p>
      <w:pPr>
        <w:pStyle w:val="BodyText"/>
        <w:spacing w:before="3"/>
        <w:rPr>
          <w:sz w:val="1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9"/>
        <w:gridCol w:w="3318"/>
        <w:gridCol w:w="3685"/>
      </w:tblGrid>
      <w:tr>
        <w:trPr>
          <w:trHeight w:val="1054" w:hRule="exact"/>
        </w:trPr>
        <w:tc>
          <w:tcPr>
            <w:tcW w:w="2179" w:type="dxa"/>
            <w:vMerge w:val="restart"/>
          </w:tcPr>
          <w:p>
            <w:pPr>
              <w:pStyle w:val="TableParagraph"/>
              <w:rPr>
                <w:sz w:val="30"/>
              </w:rPr>
            </w:pPr>
          </w:p>
          <w:p>
            <w:pPr>
              <w:pStyle w:val="TableParagraph"/>
              <w:spacing w:before="9"/>
              <w:rPr>
                <w:sz w:val="37"/>
              </w:rPr>
            </w:pPr>
          </w:p>
          <w:p>
            <w:pPr>
              <w:pStyle w:val="TableParagraph"/>
              <w:ind w:left="182"/>
              <w:rPr>
                <w:sz w:val="28"/>
              </w:rPr>
            </w:pPr>
            <w:r>
              <w:rPr>
                <w:sz w:val="28"/>
              </w:rPr>
              <w:t>Метод лечения</w:t>
            </w:r>
          </w:p>
        </w:tc>
        <w:tc>
          <w:tcPr>
            <w:tcW w:w="7002" w:type="dxa"/>
            <w:gridSpan w:val="2"/>
          </w:tcPr>
          <w:p>
            <w:pPr>
              <w:pStyle w:val="TableParagraph"/>
              <w:spacing w:line="315" w:lineRule="exact"/>
              <w:ind w:left="1704"/>
              <w:rPr>
                <w:sz w:val="28"/>
              </w:rPr>
            </w:pPr>
            <w:r>
              <w:rPr>
                <w:sz w:val="28"/>
              </w:rPr>
              <w:t>Распространенность процесса</w:t>
            </w:r>
          </w:p>
        </w:tc>
      </w:tr>
      <w:tr>
        <w:trPr>
          <w:trHeight w:val="1054" w:hRule="exact"/>
        </w:trPr>
        <w:tc>
          <w:tcPr>
            <w:tcW w:w="2179" w:type="dxa"/>
            <w:vMerge/>
          </w:tcPr>
          <w:p>
            <w:pPr/>
          </w:p>
        </w:tc>
        <w:tc>
          <w:tcPr>
            <w:tcW w:w="3318" w:type="dxa"/>
          </w:tcPr>
          <w:p>
            <w:pPr>
              <w:pStyle w:val="TableParagraph"/>
              <w:spacing w:line="388" w:lineRule="auto"/>
              <w:ind w:left="1452" w:right="758" w:hanging="677"/>
              <w:rPr>
                <w:sz w:val="28"/>
              </w:rPr>
            </w:pPr>
            <w:r>
              <w:rPr>
                <w:sz w:val="28"/>
              </w:rPr>
              <w:t>Минимальный рак</w:t>
            </w:r>
          </w:p>
        </w:tc>
        <w:tc>
          <w:tcPr>
            <w:tcW w:w="3685" w:type="dxa"/>
          </w:tcPr>
          <w:p>
            <w:pPr>
              <w:pStyle w:val="TableParagraph"/>
              <w:spacing w:line="388" w:lineRule="auto"/>
              <w:ind w:left="1634" w:right="200" w:hanging="1424"/>
              <w:rPr>
                <w:sz w:val="28"/>
              </w:rPr>
            </w:pPr>
            <w:r>
              <w:rPr>
                <w:sz w:val="28"/>
              </w:rPr>
              <w:t>Местно-распространенный рак</w:t>
            </w:r>
          </w:p>
        </w:tc>
      </w:tr>
      <w:tr>
        <w:trPr>
          <w:trHeight w:val="855" w:hRule="exact"/>
        </w:trPr>
        <w:tc>
          <w:tcPr>
            <w:tcW w:w="2179" w:type="dxa"/>
          </w:tcPr>
          <w:p>
            <w:pPr>
              <w:pStyle w:val="TableParagraph"/>
              <w:ind w:left="208" w:right="191" w:firstLine="383"/>
              <w:rPr>
                <w:sz w:val="28"/>
              </w:rPr>
            </w:pPr>
            <w:r>
              <w:rPr>
                <w:sz w:val="28"/>
              </w:rPr>
              <w:t>Простая гистерэктомия</w:t>
            </w:r>
          </w:p>
        </w:tc>
        <w:tc>
          <w:tcPr>
            <w:tcW w:w="3318" w:type="dxa"/>
          </w:tcPr>
          <w:p>
            <w:pPr>
              <w:pStyle w:val="TableParagraph"/>
              <w:spacing w:before="153"/>
              <w:ind w:left="1236" w:right="1237"/>
              <w:jc w:val="center"/>
              <w:rPr>
                <w:sz w:val="28"/>
              </w:rPr>
            </w:pPr>
            <w:r>
              <w:rPr>
                <w:sz w:val="28"/>
              </w:rPr>
              <w:t>97,4 %</w:t>
            </w:r>
          </w:p>
        </w:tc>
        <w:tc>
          <w:tcPr>
            <w:tcW w:w="3685" w:type="dxa"/>
          </w:tcPr>
          <w:p>
            <w:pPr>
              <w:pStyle w:val="TableParagraph"/>
              <w:spacing w:before="153"/>
              <w:ind w:left="143" w:right="145"/>
              <w:jc w:val="center"/>
              <w:rPr>
                <w:sz w:val="28"/>
              </w:rPr>
            </w:pPr>
            <w:r>
              <w:rPr>
                <w:sz w:val="28"/>
              </w:rPr>
              <w:t>61,6 %</w:t>
            </w:r>
          </w:p>
        </w:tc>
      </w:tr>
      <w:tr>
        <w:trPr>
          <w:trHeight w:val="854" w:hRule="exact"/>
        </w:trPr>
        <w:tc>
          <w:tcPr>
            <w:tcW w:w="2179" w:type="dxa"/>
          </w:tcPr>
          <w:p>
            <w:pPr>
              <w:pStyle w:val="TableParagraph"/>
              <w:ind w:left="139" w:right="120" w:firstLine="151"/>
              <w:rPr>
                <w:sz w:val="28"/>
              </w:rPr>
            </w:pPr>
            <w:r>
              <w:rPr>
                <w:sz w:val="28"/>
              </w:rPr>
              <w:t>Расширенная гистерэктомия*</w:t>
            </w:r>
          </w:p>
        </w:tc>
        <w:tc>
          <w:tcPr>
            <w:tcW w:w="3318" w:type="dxa"/>
          </w:tcPr>
          <w:p>
            <w:pPr>
              <w:pStyle w:val="TableParagraph"/>
              <w:spacing w:before="153"/>
              <w:ind w:left="1236" w:right="1237"/>
              <w:jc w:val="center"/>
              <w:rPr>
                <w:sz w:val="28"/>
              </w:rPr>
            </w:pPr>
            <w:r>
              <w:rPr>
                <w:sz w:val="28"/>
              </w:rPr>
              <w:t>99,4 %</w:t>
            </w:r>
          </w:p>
        </w:tc>
        <w:tc>
          <w:tcPr>
            <w:tcW w:w="3685" w:type="dxa"/>
          </w:tcPr>
          <w:p>
            <w:pPr>
              <w:pStyle w:val="TableParagraph"/>
              <w:spacing w:before="153"/>
              <w:ind w:left="143" w:right="145"/>
              <w:jc w:val="center"/>
              <w:rPr>
                <w:sz w:val="28"/>
              </w:rPr>
            </w:pPr>
            <w:r>
              <w:rPr>
                <w:sz w:val="28"/>
              </w:rPr>
              <w:t>85,2 %</w:t>
            </w:r>
          </w:p>
        </w:tc>
      </w:tr>
    </w:tbl>
    <w:p>
      <w:pPr>
        <w:pStyle w:val="BodyText"/>
        <w:spacing w:line="360" w:lineRule="auto"/>
        <w:ind w:left="222" w:right="606"/>
      </w:pPr>
      <w:r>
        <w:rPr/>
        <w:t>* при распространении опухоли на цервикальный канал выполнялась операция Вертгейма</w:t>
      </w:r>
    </w:p>
    <w:p>
      <w:pPr>
        <w:pStyle w:val="BodyText"/>
        <w:spacing w:line="360" w:lineRule="auto" w:before="207"/>
        <w:ind w:left="222" w:right="119" w:firstLine="707"/>
        <w:jc w:val="both"/>
      </w:pPr>
      <w:r>
        <w:rPr/>
        <w:t>Необходимость расширенной гистерэктомии при местно- распространенном раке эндометрия не вызывает сомнений, увеличивая 5- летнюю выживаемость больных более чем на 20% по сравнению с простой экстирпацией матки.</w:t>
      </w:r>
    </w:p>
    <w:p>
      <w:pPr>
        <w:pStyle w:val="BodyText"/>
        <w:spacing w:line="360" w:lineRule="auto" w:before="127"/>
        <w:ind w:left="222" w:right="119" w:firstLine="556"/>
        <w:jc w:val="both"/>
      </w:pPr>
      <w:r>
        <w:rPr/>
        <w:t>Для определения индивидуальных показаний к выбору объема операции и назначению адъювантной терапии у больных местно- распространенным раком эндометрия, то есть наиболее многочисленной группы пациенток, проходящих лечение в онкогинекологических стационарах, необходимо определить влияние отдельных факторов, влияющих на развитие и прогноз рака эндометрия. Полученные в нашем</w:t>
      </w:r>
    </w:p>
    <w:p>
      <w:pPr>
        <w:spacing w:after="0" w:line="360" w:lineRule="auto"/>
        <w:jc w:val="both"/>
        <w:sectPr>
          <w:pgSz w:w="11900" w:h="16850"/>
          <w:pgMar w:header="712" w:footer="0" w:top="1020" w:bottom="280" w:left="1480" w:right="1000"/>
        </w:sectPr>
      </w:pPr>
    </w:p>
    <w:p>
      <w:pPr>
        <w:pStyle w:val="BodyText"/>
        <w:rPr>
          <w:sz w:val="20"/>
        </w:rPr>
      </w:pPr>
    </w:p>
    <w:p>
      <w:pPr>
        <w:pStyle w:val="BodyText"/>
        <w:spacing w:before="7"/>
        <w:rPr>
          <w:sz w:val="24"/>
        </w:rPr>
      </w:pPr>
    </w:p>
    <w:p>
      <w:pPr>
        <w:pStyle w:val="BodyText"/>
        <w:spacing w:line="360" w:lineRule="auto" w:before="89"/>
        <w:ind w:left="222" w:right="125"/>
        <w:jc w:val="both"/>
      </w:pPr>
      <w:r>
        <w:rPr/>
        <w:t>исследовании результаты позволили рассчитать относительный риск наиболее важных характеристик опухоли и организма, влияющих на лимфогенное метастазирование, метастазирование в яичники и увеличивающих вероятность летального исхода этих больных (Табл. 3.16).</w:t>
      </w:r>
    </w:p>
    <w:p>
      <w:pPr>
        <w:pStyle w:val="BodyText"/>
        <w:spacing w:before="125"/>
        <w:ind w:left="7733"/>
      </w:pPr>
      <w:r>
        <w:rPr/>
        <w:t>Таблица 3.16</w:t>
      </w:r>
    </w:p>
    <w:p>
      <w:pPr>
        <w:pStyle w:val="BodyText"/>
        <w:spacing w:before="5"/>
        <w:rPr>
          <w:sz w:val="31"/>
        </w:rPr>
      </w:pPr>
    </w:p>
    <w:p>
      <w:pPr>
        <w:pStyle w:val="BodyText"/>
        <w:spacing w:line="388" w:lineRule="auto" w:after="16"/>
        <w:ind w:left="2533" w:right="933" w:hanging="1487"/>
      </w:pPr>
      <w:r>
        <w:rPr/>
        <w:t>Относительный риск (RR) отдельных факторов, влияющих на лимфогенное метастазирование РТМ</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45"/>
        <w:gridCol w:w="3404"/>
        <w:gridCol w:w="1133"/>
      </w:tblGrid>
      <w:tr>
        <w:trPr>
          <w:trHeight w:val="1054" w:hRule="exact"/>
        </w:trPr>
        <w:tc>
          <w:tcPr>
            <w:tcW w:w="4645" w:type="dxa"/>
          </w:tcPr>
          <w:p>
            <w:pPr>
              <w:pStyle w:val="TableParagraph"/>
              <w:spacing w:line="315" w:lineRule="exact"/>
              <w:ind w:left="103"/>
              <w:rPr>
                <w:sz w:val="28"/>
              </w:rPr>
            </w:pPr>
            <w:r>
              <w:rPr>
                <w:sz w:val="28"/>
              </w:rPr>
              <w:t>Факторы риска</w:t>
            </w:r>
          </w:p>
        </w:tc>
        <w:tc>
          <w:tcPr>
            <w:tcW w:w="3404" w:type="dxa"/>
          </w:tcPr>
          <w:p>
            <w:pPr>
              <w:pStyle w:val="TableParagraph"/>
              <w:spacing w:before="254"/>
              <w:ind w:left="103"/>
              <w:rPr>
                <w:sz w:val="28"/>
              </w:rPr>
            </w:pPr>
            <w:r>
              <w:rPr>
                <w:sz w:val="28"/>
              </w:rPr>
              <w:t>Относительный риск (RR)</w:t>
            </w:r>
          </w:p>
        </w:tc>
        <w:tc>
          <w:tcPr>
            <w:tcW w:w="1133" w:type="dxa"/>
          </w:tcPr>
          <w:p>
            <w:pPr>
              <w:pStyle w:val="TableParagraph"/>
              <w:spacing w:before="254"/>
              <w:ind w:left="100"/>
              <w:rPr>
                <w:sz w:val="28"/>
              </w:rPr>
            </w:pPr>
            <w:r>
              <w:rPr>
                <w:sz w:val="28"/>
              </w:rPr>
              <w:t>p &lt;</w:t>
            </w:r>
          </w:p>
        </w:tc>
      </w:tr>
      <w:tr>
        <w:trPr>
          <w:trHeight w:val="1054" w:hRule="exact"/>
        </w:trPr>
        <w:tc>
          <w:tcPr>
            <w:tcW w:w="4645" w:type="dxa"/>
          </w:tcPr>
          <w:p>
            <w:pPr>
              <w:pStyle w:val="TableParagraph"/>
              <w:spacing w:line="315" w:lineRule="exact"/>
              <w:ind w:left="103"/>
              <w:rPr>
                <w:sz w:val="28"/>
              </w:rPr>
            </w:pPr>
            <w:r>
              <w:rPr>
                <w:sz w:val="28"/>
              </w:rPr>
              <w:t>Возраст старше 50 лет</w:t>
            </w:r>
          </w:p>
        </w:tc>
        <w:tc>
          <w:tcPr>
            <w:tcW w:w="3404" w:type="dxa"/>
          </w:tcPr>
          <w:p>
            <w:pPr>
              <w:pStyle w:val="TableParagraph"/>
              <w:spacing w:before="254"/>
              <w:ind w:left="103"/>
              <w:rPr>
                <w:sz w:val="28"/>
              </w:rPr>
            </w:pPr>
            <w:r>
              <w:rPr>
                <w:sz w:val="28"/>
              </w:rPr>
              <w:t>2,2</w:t>
            </w:r>
          </w:p>
        </w:tc>
        <w:tc>
          <w:tcPr>
            <w:tcW w:w="1133" w:type="dxa"/>
          </w:tcPr>
          <w:p>
            <w:pPr>
              <w:pStyle w:val="TableParagraph"/>
              <w:spacing w:before="254"/>
              <w:ind w:left="100"/>
              <w:rPr>
                <w:sz w:val="28"/>
              </w:rPr>
            </w:pPr>
            <w:r>
              <w:rPr>
                <w:sz w:val="28"/>
              </w:rPr>
              <w:t>0,05</w:t>
            </w:r>
          </w:p>
        </w:tc>
      </w:tr>
      <w:tr>
        <w:trPr>
          <w:trHeight w:val="1054" w:hRule="exact"/>
        </w:trPr>
        <w:tc>
          <w:tcPr>
            <w:tcW w:w="4645" w:type="dxa"/>
          </w:tcPr>
          <w:p>
            <w:pPr>
              <w:pStyle w:val="TableParagraph"/>
              <w:spacing w:line="315" w:lineRule="exact"/>
              <w:ind w:left="103"/>
              <w:rPr>
                <w:sz w:val="28"/>
              </w:rPr>
            </w:pPr>
            <w:r>
              <w:rPr>
                <w:sz w:val="28"/>
              </w:rPr>
              <w:t>II патогенетический вариант</w:t>
            </w:r>
          </w:p>
        </w:tc>
        <w:tc>
          <w:tcPr>
            <w:tcW w:w="3404" w:type="dxa"/>
          </w:tcPr>
          <w:p>
            <w:pPr>
              <w:pStyle w:val="TableParagraph"/>
              <w:spacing w:before="254"/>
              <w:ind w:left="103"/>
              <w:rPr>
                <w:sz w:val="28"/>
              </w:rPr>
            </w:pPr>
            <w:r>
              <w:rPr>
                <w:sz w:val="28"/>
              </w:rPr>
              <w:t>1,6</w:t>
            </w:r>
          </w:p>
        </w:tc>
        <w:tc>
          <w:tcPr>
            <w:tcW w:w="1133" w:type="dxa"/>
          </w:tcPr>
          <w:p>
            <w:pPr>
              <w:pStyle w:val="TableParagraph"/>
              <w:spacing w:before="254"/>
              <w:ind w:left="100"/>
              <w:rPr>
                <w:sz w:val="28"/>
              </w:rPr>
            </w:pPr>
            <w:r>
              <w:rPr>
                <w:sz w:val="28"/>
              </w:rPr>
              <w:t>0,05</w:t>
            </w:r>
          </w:p>
        </w:tc>
      </w:tr>
      <w:tr>
        <w:trPr>
          <w:trHeight w:val="1054" w:hRule="exact"/>
        </w:trPr>
        <w:tc>
          <w:tcPr>
            <w:tcW w:w="4645" w:type="dxa"/>
          </w:tcPr>
          <w:p>
            <w:pPr>
              <w:pStyle w:val="TableParagraph"/>
              <w:spacing w:line="315" w:lineRule="exact"/>
              <w:ind w:left="103"/>
              <w:rPr>
                <w:sz w:val="28"/>
              </w:rPr>
            </w:pPr>
            <w:r>
              <w:rPr>
                <w:sz w:val="28"/>
              </w:rPr>
              <w:t>Диаметр опухоли более 2 см</w:t>
            </w:r>
          </w:p>
        </w:tc>
        <w:tc>
          <w:tcPr>
            <w:tcW w:w="3404" w:type="dxa"/>
          </w:tcPr>
          <w:p>
            <w:pPr>
              <w:pStyle w:val="TableParagraph"/>
              <w:spacing w:before="254"/>
              <w:ind w:left="103"/>
              <w:rPr>
                <w:sz w:val="28"/>
              </w:rPr>
            </w:pPr>
            <w:r>
              <w:rPr>
                <w:sz w:val="28"/>
              </w:rPr>
              <w:t>6,7</w:t>
            </w:r>
          </w:p>
        </w:tc>
        <w:tc>
          <w:tcPr>
            <w:tcW w:w="1133" w:type="dxa"/>
          </w:tcPr>
          <w:p>
            <w:pPr>
              <w:pStyle w:val="TableParagraph"/>
              <w:spacing w:before="254"/>
              <w:ind w:left="100"/>
              <w:rPr>
                <w:sz w:val="28"/>
              </w:rPr>
            </w:pPr>
            <w:r>
              <w:rPr>
                <w:sz w:val="28"/>
              </w:rPr>
              <w:t>0,05</w:t>
            </w:r>
          </w:p>
        </w:tc>
      </w:tr>
      <w:tr>
        <w:trPr>
          <w:trHeight w:val="1056" w:hRule="exact"/>
        </w:trPr>
        <w:tc>
          <w:tcPr>
            <w:tcW w:w="4645" w:type="dxa"/>
          </w:tcPr>
          <w:p>
            <w:pPr>
              <w:pStyle w:val="TableParagraph"/>
              <w:spacing w:line="317" w:lineRule="exact"/>
              <w:ind w:left="103"/>
              <w:rPr>
                <w:sz w:val="28"/>
              </w:rPr>
            </w:pPr>
            <w:r>
              <w:rPr>
                <w:sz w:val="28"/>
              </w:rPr>
              <w:t>Инвазия более 0,5 см</w:t>
            </w:r>
          </w:p>
        </w:tc>
        <w:tc>
          <w:tcPr>
            <w:tcW w:w="3404" w:type="dxa"/>
          </w:tcPr>
          <w:p>
            <w:pPr>
              <w:pStyle w:val="TableParagraph"/>
              <w:spacing w:before="254"/>
              <w:ind w:left="103"/>
              <w:rPr>
                <w:sz w:val="28"/>
              </w:rPr>
            </w:pPr>
            <w:r>
              <w:rPr>
                <w:sz w:val="28"/>
              </w:rPr>
              <w:t>4,2</w:t>
            </w:r>
          </w:p>
        </w:tc>
        <w:tc>
          <w:tcPr>
            <w:tcW w:w="1133" w:type="dxa"/>
          </w:tcPr>
          <w:p>
            <w:pPr>
              <w:pStyle w:val="TableParagraph"/>
              <w:spacing w:before="254"/>
              <w:ind w:left="100"/>
              <w:rPr>
                <w:sz w:val="28"/>
              </w:rPr>
            </w:pPr>
            <w:r>
              <w:rPr>
                <w:sz w:val="28"/>
              </w:rPr>
              <w:t>0,05</w:t>
            </w:r>
          </w:p>
        </w:tc>
      </w:tr>
      <w:tr>
        <w:trPr>
          <w:trHeight w:val="2098" w:hRule="exact"/>
        </w:trPr>
        <w:tc>
          <w:tcPr>
            <w:tcW w:w="4645" w:type="dxa"/>
          </w:tcPr>
          <w:p>
            <w:pPr>
              <w:pStyle w:val="TableParagraph"/>
              <w:spacing w:line="388" w:lineRule="auto"/>
              <w:ind w:left="103" w:right="1265"/>
              <w:rPr>
                <w:sz w:val="28"/>
              </w:rPr>
            </w:pPr>
            <w:r>
              <w:rPr>
                <w:sz w:val="28"/>
              </w:rPr>
              <w:t>Степень дифференцировки G</w:t>
            </w:r>
            <w:r>
              <w:rPr>
                <w:position w:val="-3"/>
                <w:sz w:val="18"/>
              </w:rPr>
              <w:t>2  </w:t>
            </w:r>
            <w:r>
              <w:rPr>
                <w:sz w:val="28"/>
              </w:rPr>
              <w:t>(по сравнению с G</w:t>
            </w:r>
            <w:r>
              <w:rPr>
                <w:position w:val="-3"/>
                <w:sz w:val="18"/>
              </w:rPr>
              <w:t>1</w:t>
            </w:r>
            <w:r>
              <w:rPr>
                <w:sz w:val="28"/>
              </w:rPr>
              <w:t>)</w:t>
            </w:r>
          </w:p>
          <w:p>
            <w:pPr>
              <w:pStyle w:val="TableParagraph"/>
              <w:spacing w:line="320" w:lineRule="exact" w:before="7"/>
              <w:ind w:left="103"/>
              <w:rPr>
                <w:sz w:val="28"/>
              </w:rPr>
            </w:pPr>
            <w:r>
              <w:rPr>
                <w:sz w:val="28"/>
              </w:rPr>
              <w:t>G</w:t>
            </w:r>
            <w:r>
              <w:rPr>
                <w:position w:val="-3"/>
                <w:sz w:val="18"/>
              </w:rPr>
              <w:t>3  </w:t>
            </w:r>
            <w:r>
              <w:rPr>
                <w:sz w:val="28"/>
              </w:rPr>
              <w:t>(по сравнению с G</w:t>
            </w:r>
            <w:r>
              <w:rPr>
                <w:position w:val="-3"/>
                <w:sz w:val="18"/>
              </w:rPr>
              <w:t>1</w:t>
            </w:r>
            <w:r>
              <w:rPr>
                <w:sz w:val="28"/>
              </w:rPr>
              <w:t>)</w:t>
            </w:r>
          </w:p>
          <w:p>
            <w:pPr>
              <w:pStyle w:val="TableParagraph"/>
              <w:spacing w:before="180"/>
              <w:ind w:left="103"/>
              <w:rPr>
                <w:sz w:val="28"/>
              </w:rPr>
            </w:pPr>
            <w:r>
              <w:rPr>
                <w:sz w:val="28"/>
              </w:rPr>
              <w:t>G</w:t>
            </w:r>
            <w:r>
              <w:rPr>
                <w:position w:val="-3"/>
                <w:sz w:val="18"/>
              </w:rPr>
              <w:t>3  </w:t>
            </w:r>
            <w:r>
              <w:rPr>
                <w:sz w:val="28"/>
              </w:rPr>
              <w:t>(по сравнению с G</w:t>
            </w:r>
            <w:r>
              <w:rPr>
                <w:position w:val="-3"/>
                <w:sz w:val="18"/>
              </w:rPr>
              <w:t>2</w:t>
            </w:r>
            <w:r>
              <w:rPr>
                <w:sz w:val="28"/>
              </w:rPr>
              <w:t>)</w:t>
            </w:r>
          </w:p>
        </w:tc>
        <w:tc>
          <w:tcPr>
            <w:tcW w:w="3404" w:type="dxa"/>
          </w:tcPr>
          <w:p>
            <w:pPr>
              <w:pStyle w:val="TableParagraph"/>
              <w:spacing w:before="7"/>
              <w:rPr>
                <w:sz w:val="44"/>
              </w:rPr>
            </w:pPr>
          </w:p>
          <w:p>
            <w:pPr>
              <w:pStyle w:val="TableParagraph"/>
              <w:spacing w:before="1"/>
              <w:ind w:left="103"/>
              <w:rPr>
                <w:sz w:val="28"/>
              </w:rPr>
            </w:pPr>
            <w:r>
              <w:rPr>
                <w:sz w:val="28"/>
              </w:rPr>
              <w:t>2,6</w:t>
            </w:r>
          </w:p>
          <w:p>
            <w:pPr>
              <w:pStyle w:val="TableParagraph"/>
              <w:spacing w:before="202"/>
              <w:ind w:left="103"/>
              <w:rPr>
                <w:sz w:val="28"/>
              </w:rPr>
            </w:pPr>
            <w:r>
              <w:rPr>
                <w:sz w:val="28"/>
              </w:rPr>
              <w:t>4,9</w:t>
            </w:r>
          </w:p>
          <w:p>
            <w:pPr>
              <w:pStyle w:val="TableParagraph"/>
              <w:spacing w:before="199"/>
              <w:ind w:left="103"/>
              <w:rPr>
                <w:sz w:val="28"/>
              </w:rPr>
            </w:pPr>
            <w:r>
              <w:rPr>
                <w:sz w:val="28"/>
              </w:rPr>
              <w:t>1,9</w:t>
            </w:r>
          </w:p>
        </w:tc>
        <w:tc>
          <w:tcPr>
            <w:tcW w:w="1133" w:type="dxa"/>
          </w:tcPr>
          <w:p>
            <w:pPr>
              <w:pStyle w:val="TableParagraph"/>
              <w:rPr>
                <w:sz w:val="30"/>
              </w:rPr>
            </w:pPr>
          </w:p>
          <w:p>
            <w:pPr>
              <w:pStyle w:val="TableParagraph"/>
              <w:spacing w:before="5"/>
              <w:rPr>
                <w:sz w:val="37"/>
              </w:rPr>
            </w:pPr>
          </w:p>
          <w:p>
            <w:pPr>
              <w:pStyle w:val="TableParagraph"/>
              <w:ind w:left="100"/>
              <w:rPr>
                <w:sz w:val="28"/>
              </w:rPr>
            </w:pPr>
            <w:r>
              <w:rPr>
                <w:sz w:val="28"/>
              </w:rPr>
              <w:t>0,05</w:t>
            </w:r>
          </w:p>
        </w:tc>
      </w:tr>
    </w:tbl>
    <w:p>
      <w:pPr>
        <w:pStyle w:val="BodyText"/>
        <w:rPr>
          <w:sz w:val="30"/>
        </w:rPr>
      </w:pPr>
    </w:p>
    <w:p>
      <w:pPr>
        <w:pStyle w:val="BodyText"/>
        <w:rPr>
          <w:sz w:val="30"/>
        </w:rPr>
      </w:pPr>
    </w:p>
    <w:p>
      <w:pPr>
        <w:pStyle w:val="BodyText"/>
        <w:rPr>
          <w:sz w:val="30"/>
        </w:rPr>
      </w:pPr>
    </w:p>
    <w:p>
      <w:pPr>
        <w:pStyle w:val="BodyText"/>
        <w:spacing w:before="1"/>
      </w:pPr>
    </w:p>
    <w:p>
      <w:pPr>
        <w:pStyle w:val="BodyText"/>
        <w:spacing w:line="276" w:lineRule="auto"/>
        <w:ind w:left="222" w:right="127"/>
        <w:jc w:val="both"/>
      </w:pPr>
      <w:r>
        <w:rPr/>
        <w:t>В следующей таблице приводится расчет показателей относительного риска для факторов, определяющих вероятность метастазирования РТМ в яичники (Табл. 3.17).</w:t>
      </w:r>
    </w:p>
    <w:p>
      <w:pPr>
        <w:spacing w:after="0" w:line="276" w:lineRule="auto"/>
        <w:jc w:val="both"/>
        <w:sectPr>
          <w:pgSz w:w="11900" w:h="16850"/>
          <w:pgMar w:header="712" w:footer="0" w:top="1020" w:bottom="280" w:left="1480" w:right="1000"/>
        </w:sectPr>
      </w:pPr>
    </w:p>
    <w:p>
      <w:pPr>
        <w:pStyle w:val="BodyText"/>
        <w:rPr>
          <w:sz w:val="20"/>
        </w:rPr>
      </w:pPr>
    </w:p>
    <w:p>
      <w:pPr>
        <w:pStyle w:val="BodyText"/>
        <w:rPr>
          <w:sz w:val="20"/>
        </w:rPr>
      </w:pPr>
    </w:p>
    <w:p>
      <w:pPr>
        <w:pStyle w:val="BodyText"/>
        <w:spacing w:before="224"/>
        <w:ind w:left="7733"/>
      </w:pPr>
      <w:r>
        <w:rPr/>
        <w:t>Таблица 3.17</w:t>
      </w:r>
    </w:p>
    <w:p>
      <w:pPr>
        <w:pStyle w:val="BodyText"/>
        <w:spacing w:before="3"/>
        <w:rPr>
          <w:sz w:val="31"/>
        </w:rPr>
      </w:pPr>
    </w:p>
    <w:p>
      <w:pPr>
        <w:pStyle w:val="BodyText"/>
        <w:spacing w:line="388" w:lineRule="auto" w:after="13"/>
        <w:ind w:left="1525" w:right="1212" w:hanging="478"/>
      </w:pPr>
      <w:r>
        <w:rPr/>
        <w:t>Относительный риск (RR) отдельных факторов, влияющих на частоту метастазирования рака эндометрия в яичники</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45"/>
        <w:gridCol w:w="3404"/>
        <w:gridCol w:w="1416"/>
      </w:tblGrid>
      <w:tr>
        <w:trPr>
          <w:trHeight w:val="1378" w:hRule="exact"/>
        </w:trPr>
        <w:tc>
          <w:tcPr>
            <w:tcW w:w="4645" w:type="dxa"/>
          </w:tcPr>
          <w:p>
            <w:pPr>
              <w:pStyle w:val="TableParagraph"/>
              <w:spacing w:line="315" w:lineRule="exact"/>
              <w:ind w:left="587" w:right="587"/>
              <w:jc w:val="center"/>
              <w:rPr>
                <w:sz w:val="28"/>
              </w:rPr>
            </w:pPr>
            <w:r>
              <w:rPr>
                <w:sz w:val="28"/>
              </w:rPr>
              <w:t>Факторы риска</w:t>
            </w:r>
          </w:p>
        </w:tc>
        <w:tc>
          <w:tcPr>
            <w:tcW w:w="3404" w:type="dxa"/>
          </w:tcPr>
          <w:p>
            <w:pPr>
              <w:pStyle w:val="TableParagraph"/>
              <w:spacing w:before="2"/>
              <w:rPr>
                <w:sz w:val="29"/>
              </w:rPr>
            </w:pPr>
          </w:p>
          <w:p>
            <w:pPr>
              <w:pStyle w:val="TableParagraph"/>
              <w:ind w:left="108" w:right="106"/>
              <w:jc w:val="center"/>
              <w:rPr>
                <w:sz w:val="28"/>
              </w:rPr>
            </w:pPr>
            <w:r>
              <w:rPr>
                <w:sz w:val="28"/>
              </w:rPr>
              <w:t>Относительный риск (RR)</w:t>
            </w:r>
          </w:p>
        </w:tc>
        <w:tc>
          <w:tcPr>
            <w:tcW w:w="1416" w:type="dxa"/>
          </w:tcPr>
          <w:p>
            <w:pPr>
              <w:pStyle w:val="TableParagraph"/>
              <w:spacing w:before="2"/>
              <w:rPr>
                <w:sz w:val="29"/>
              </w:rPr>
            </w:pPr>
          </w:p>
          <w:p>
            <w:pPr>
              <w:pStyle w:val="TableParagraph"/>
              <w:ind w:right="516"/>
              <w:jc w:val="right"/>
              <w:rPr>
                <w:sz w:val="28"/>
              </w:rPr>
            </w:pPr>
            <w:r>
              <w:rPr>
                <w:sz w:val="28"/>
              </w:rPr>
              <w:t>p &lt;</w:t>
            </w:r>
          </w:p>
        </w:tc>
      </w:tr>
      <w:tr>
        <w:trPr>
          <w:trHeight w:val="1376" w:hRule="exact"/>
        </w:trPr>
        <w:tc>
          <w:tcPr>
            <w:tcW w:w="4645" w:type="dxa"/>
          </w:tcPr>
          <w:p>
            <w:pPr>
              <w:pStyle w:val="TableParagraph"/>
              <w:spacing w:line="316" w:lineRule="exact"/>
              <w:ind w:left="587" w:right="587"/>
              <w:jc w:val="center"/>
              <w:rPr>
                <w:sz w:val="28"/>
              </w:rPr>
            </w:pPr>
            <w:r>
              <w:rPr>
                <w:sz w:val="28"/>
              </w:rPr>
              <w:t>II патогенетический вариант</w:t>
            </w:r>
          </w:p>
        </w:tc>
        <w:tc>
          <w:tcPr>
            <w:tcW w:w="3404" w:type="dxa"/>
          </w:tcPr>
          <w:p>
            <w:pPr>
              <w:pStyle w:val="TableParagraph"/>
              <w:rPr>
                <w:sz w:val="29"/>
              </w:rPr>
            </w:pPr>
          </w:p>
          <w:p>
            <w:pPr>
              <w:pStyle w:val="TableParagraph"/>
              <w:spacing w:before="1"/>
              <w:ind w:left="107" w:right="106"/>
              <w:jc w:val="center"/>
              <w:rPr>
                <w:sz w:val="28"/>
              </w:rPr>
            </w:pPr>
            <w:r>
              <w:rPr>
                <w:sz w:val="28"/>
              </w:rPr>
              <w:t>1,5</w:t>
            </w:r>
          </w:p>
        </w:tc>
        <w:tc>
          <w:tcPr>
            <w:tcW w:w="1416" w:type="dxa"/>
          </w:tcPr>
          <w:p>
            <w:pPr>
              <w:pStyle w:val="TableParagraph"/>
              <w:rPr>
                <w:sz w:val="29"/>
              </w:rPr>
            </w:pPr>
          </w:p>
          <w:p>
            <w:pPr>
              <w:pStyle w:val="TableParagraph"/>
              <w:spacing w:before="1"/>
              <w:ind w:right="526"/>
              <w:jc w:val="right"/>
              <w:rPr>
                <w:sz w:val="28"/>
              </w:rPr>
            </w:pPr>
            <w:r>
              <w:rPr>
                <w:sz w:val="28"/>
              </w:rPr>
              <w:t>0,1</w:t>
            </w:r>
          </w:p>
        </w:tc>
      </w:tr>
      <w:tr>
        <w:trPr>
          <w:trHeight w:val="1375" w:hRule="exact"/>
        </w:trPr>
        <w:tc>
          <w:tcPr>
            <w:tcW w:w="4645" w:type="dxa"/>
          </w:tcPr>
          <w:p>
            <w:pPr>
              <w:pStyle w:val="TableParagraph"/>
              <w:spacing w:line="315" w:lineRule="exact"/>
              <w:ind w:left="587" w:right="587"/>
              <w:jc w:val="center"/>
              <w:rPr>
                <w:sz w:val="28"/>
              </w:rPr>
            </w:pPr>
            <w:r>
              <w:rPr>
                <w:sz w:val="28"/>
              </w:rPr>
              <w:t>Диаметр опухоли более 2 см</w:t>
            </w:r>
          </w:p>
        </w:tc>
        <w:tc>
          <w:tcPr>
            <w:tcW w:w="3404" w:type="dxa"/>
          </w:tcPr>
          <w:p>
            <w:pPr>
              <w:pStyle w:val="TableParagraph"/>
              <w:rPr>
                <w:sz w:val="29"/>
              </w:rPr>
            </w:pPr>
          </w:p>
          <w:p>
            <w:pPr>
              <w:pStyle w:val="TableParagraph"/>
              <w:ind w:left="107" w:right="106"/>
              <w:jc w:val="center"/>
              <w:rPr>
                <w:sz w:val="28"/>
              </w:rPr>
            </w:pPr>
            <w:r>
              <w:rPr>
                <w:sz w:val="28"/>
              </w:rPr>
              <w:t>4,4</w:t>
            </w:r>
          </w:p>
        </w:tc>
        <w:tc>
          <w:tcPr>
            <w:tcW w:w="1416" w:type="dxa"/>
          </w:tcPr>
          <w:p>
            <w:pPr>
              <w:pStyle w:val="TableParagraph"/>
              <w:rPr>
                <w:sz w:val="29"/>
              </w:rPr>
            </w:pPr>
          </w:p>
          <w:p>
            <w:pPr>
              <w:pStyle w:val="TableParagraph"/>
              <w:ind w:right="457"/>
              <w:jc w:val="right"/>
              <w:rPr>
                <w:sz w:val="28"/>
              </w:rPr>
            </w:pPr>
            <w:r>
              <w:rPr>
                <w:sz w:val="28"/>
              </w:rPr>
              <w:t>0,05</w:t>
            </w:r>
          </w:p>
        </w:tc>
      </w:tr>
      <w:tr>
        <w:trPr>
          <w:trHeight w:val="1376" w:hRule="exact"/>
        </w:trPr>
        <w:tc>
          <w:tcPr>
            <w:tcW w:w="4645" w:type="dxa"/>
          </w:tcPr>
          <w:p>
            <w:pPr>
              <w:pStyle w:val="TableParagraph"/>
              <w:spacing w:line="315" w:lineRule="exact"/>
              <w:ind w:left="587" w:right="587"/>
              <w:jc w:val="center"/>
              <w:rPr>
                <w:sz w:val="28"/>
              </w:rPr>
            </w:pPr>
            <w:r>
              <w:rPr>
                <w:sz w:val="28"/>
              </w:rPr>
              <w:t>Инвазия более 0,5 см</w:t>
            </w:r>
          </w:p>
        </w:tc>
        <w:tc>
          <w:tcPr>
            <w:tcW w:w="3404" w:type="dxa"/>
          </w:tcPr>
          <w:p>
            <w:pPr>
              <w:pStyle w:val="TableParagraph"/>
              <w:spacing w:before="2"/>
              <w:rPr>
                <w:sz w:val="29"/>
              </w:rPr>
            </w:pPr>
          </w:p>
          <w:p>
            <w:pPr>
              <w:pStyle w:val="TableParagraph"/>
              <w:ind w:left="107" w:right="106"/>
              <w:jc w:val="center"/>
              <w:rPr>
                <w:sz w:val="28"/>
              </w:rPr>
            </w:pPr>
            <w:r>
              <w:rPr>
                <w:sz w:val="28"/>
              </w:rPr>
              <w:t>3,8</w:t>
            </w:r>
          </w:p>
        </w:tc>
        <w:tc>
          <w:tcPr>
            <w:tcW w:w="1416" w:type="dxa"/>
          </w:tcPr>
          <w:p>
            <w:pPr>
              <w:pStyle w:val="TableParagraph"/>
              <w:spacing w:before="2"/>
              <w:rPr>
                <w:sz w:val="29"/>
              </w:rPr>
            </w:pPr>
          </w:p>
          <w:p>
            <w:pPr>
              <w:pStyle w:val="TableParagraph"/>
              <w:ind w:right="457"/>
              <w:jc w:val="right"/>
              <w:rPr>
                <w:sz w:val="28"/>
              </w:rPr>
            </w:pPr>
            <w:r>
              <w:rPr>
                <w:sz w:val="28"/>
              </w:rPr>
              <w:t>0,05</w:t>
            </w:r>
          </w:p>
        </w:tc>
      </w:tr>
      <w:tr>
        <w:trPr>
          <w:trHeight w:val="1860" w:hRule="exact"/>
        </w:trPr>
        <w:tc>
          <w:tcPr>
            <w:tcW w:w="4645" w:type="dxa"/>
          </w:tcPr>
          <w:p>
            <w:pPr>
              <w:pStyle w:val="TableParagraph"/>
              <w:spacing w:line="360" w:lineRule="auto"/>
              <w:ind w:left="1425" w:right="263" w:hanging="1148"/>
              <w:rPr>
                <w:sz w:val="28"/>
              </w:rPr>
            </w:pPr>
            <w:r>
              <w:rPr>
                <w:sz w:val="28"/>
              </w:rPr>
              <w:t>Местно-распространенный рак по сравнению с</w:t>
            </w:r>
          </w:p>
          <w:p>
            <w:pPr>
              <w:pStyle w:val="TableParagraph"/>
              <w:spacing w:before="209"/>
              <w:ind w:left="1425"/>
              <w:rPr>
                <w:sz w:val="28"/>
              </w:rPr>
            </w:pPr>
            <w:r>
              <w:rPr>
                <w:sz w:val="28"/>
              </w:rPr>
              <w:t>Минимальным</w:t>
            </w:r>
          </w:p>
        </w:tc>
        <w:tc>
          <w:tcPr>
            <w:tcW w:w="3404" w:type="dxa"/>
          </w:tcPr>
          <w:p>
            <w:pPr>
              <w:pStyle w:val="TableParagraph"/>
              <w:rPr>
                <w:sz w:val="30"/>
              </w:rPr>
            </w:pPr>
          </w:p>
          <w:p>
            <w:pPr>
              <w:pStyle w:val="TableParagraph"/>
              <w:spacing w:before="233"/>
              <w:ind w:left="106" w:right="106"/>
              <w:jc w:val="center"/>
              <w:rPr>
                <w:sz w:val="28"/>
              </w:rPr>
            </w:pPr>
            <w:r>
              <w:rPr>
                <w:sz w:val="28"/>
              </w:rPr>
              <w:t>17,3</w:t>
            </w:r>
          </w:p>
        </w:tc>
        <w:tc>
          <w:tcPr>
            <w:tcW w:w="1416" w:type="dxa"/>
          </w:tcPr>
          <w:p>
            <w:pPr>
              <w:pStyle w:val="TableParagraph"/>
              <w:rPr>
                <w:sz w:val="30"/>
              </w:rPr>
            </w:pPr>
          </w:p>
          <w:p>
            <w:pPr>
              <w:pStyle w:val="TableParagraph"/>
              <w:spacing w:before="233"/>
              <w:ind w:right="457"/>
              <w:jc w:val="right"/>
              <w:rPr>
                <w:sz w:val="28"/>
              </w:rPr>
            </w:pPr>
            <w:r>
              <w:rPr>
                <w:sz w:val="28"/>
              </w:rPr>
              <w:t>0,05</w:t>
            </w:r>
          </w:p>
        </w:tc>
      </w:tr>
      <w:tr>
        <w:trPr>
          <w:trHeight w:val="2060" w:hRule="exact"/>
        </w:trPr>
        <w:tc>
          <w:tcPr>
            <w:tcW w:w="4645" w:type="dxa"/>
          </w:tcPr>
          <w:p>
            <w:pPr>
              <w:pStyle w:val="TableParagraph"/>
              <w:spacing w:line="508" w:lineRule="auto"/>
              <w:ind w:left="585" w:right="587"/>
              <w:jc w:val="center"/>
              <w:rPr>
                <w:sz w:val="28"/>
              </w:rPr>
            </w:pPr>
            <w:r>
              <w:rPr>
                <w:sz w:val="28"/>
              </w:rPr>
              <w:t>Папиллярный рак по сравнению с аденокарциномой</w:t>
            </w:r>
          </w:p>
        </w:tc>
        <w:tc>
          <w:tcPr>
            <w:tcW w:w="3404" w:type="dxa"/>
          </w:tcPr>
          <w:p>
            <w:pPr>
              <w:pStyle w:val="TableParagraph"/>
              <w:rPr>
                <w:sz w:val="30"/>
              </w:rPr>
            </w:pPr>
          </w:p>
          <w:p>
            <w:pPr>
              <w:pStyle w:val="TableParagraph"/>
              <w:spacing w:before="10"/>
              <w:rPr>
                <w:sz w:val="28"/>
              </w:rPr>
            </w:pPr>
          </w:p>
          <w:p>
            <w:pPr>
              <w:pStyle w:val="TableParagraph"/>
              <w:ind w:left="107" w:right="106"/>
              <w:jc w:val="center"/>
              <w:rPr>
                <w:sz w:val="28"/>
              </w:rPr>
            </w:pPr>
            <w:r>
              <w:rPr>
                <w:sz w:val="28"/>
              </w:rPr>
              <w:t>2,8</w:t>
            </w:r>
          </w:p>
        </w:tc>
        <w:tc>
          <w:tcPr>
            <w:tcW w:w="1416" w:type="dxa"/>
          </w:tcPr>
          <w:p>
            <w:pPr>
              <w:pStyle w:val="TableParagraph"/>
              <w:rPr>
                <w:sz w:val="30"/>
              </w:rPr>
            </w:pPr>
          </w:p>
          <w:p>
            <w:pPr>
              <w:pStyle w:val="TableParagraph"/>
              <w:spacing w:before="10"/>
              <w:rPr>
                <w:sz w:val="28"/>
              </w:rPr>
            </w:pPr>
          </w:p>
          <w:p>
            <w:pPr>
              <w:pStyle w:val="TableParagraph"/>
              <w:ind w:right="457"/>
              <w:jc w:val="right"/>
              <w:rPr>
                <w:sz w:val="28"/>
              </w:rPr>
            </w:pPr>
            <w:r>
              <w:rPr>
                <w:sz w:val="28"/>
              </w:rPr>
              <w:t>0,05</w:t>
            </w:r>
          </w:p>
        </w:tc>
      </w:tr>
      <w:tr>
        <w:trPr>
          <w:trHeight w:val="1176" w:hRule="exact"/>
        </w:trPr>
        <w:tc>
          <w:tcPr>
            <w:tcW w:w="4645" w:type="dxa"/>
          </w:tcPr>
          <w:p>
            <w:pPr>
              <w:pStyle w:val="TableParagraph"/>
              <w:spacing w:line="345" w:lineRule="auto"/>
              <w:ind w:left="1778" w:right="85" w:hanging="1618"/>
              <w:rPr>
                <w:sz w:val="18"/>
              </w:rPr>
            </w:pPr>
            <w:r>
              <w:rPr>
                <w:sz w:val="28"/>
              </w:rPr>
              <w:t>Дифференцировка G</w:t>
            </w:r>
            <w:r>
              <w:rPr>
                <w:position w:val="-3"/>
                <w:sz w:val="18"/>
              </w:rPr>
              <w:t>3 </w:t>
            </w:r>
            <w:r>
              <w:rPr>
                <w:sz w:val="28"/>
              </w:rPr>
              <w:t>по сравнению с G</w:t>
            </w:r>
            <w:r>
              <w:rPr>
                <w:position w:val="-3"/>
                <w:sz w:val="18"/>
              </w:rPr>
              <w:t>1  </w:t>
            </w:r>
            <w:r>
              <w:rPr>
                <w:sz w:val="28"/>
              </w:rPr>
              <w:t>+ G</w:t>
            </w:r>
            <w:r>
              <w:rPr>
                <w:position w:val="-3"/>
                <w:sz w:val="18"/>
              </w:rPr>
              <w:t>2</w:t>
            </w:r>
          </w:p>
        </w:tc>
        <w:tc>
          <w:tcPr>
            <w:tcW w:w="3404" w:type="dxa"/>
          </w:tcPr>
          <w:p>
            <w:pPr>
              <w:pStyle w:val="TableParagraph"/>
              <w:spacing w:before="235"/>
              <w:ind w:left="107" w:right="106"/>
              <w:jc w:val="center"/>
              <w:rPr>
                <w:sz w:val="28"/>
              </w:rPr>
            </w:pPr>
            <w:r>
              <w:rPr>
                <w:sz w:val="28"/>
              </w:rPr>
              <w:t>3,4</w:t>
            </w:r>
          </w:p>
        </w:tc>
        <w:tc>
          <w:tcPr>
            <w:tcW w:w="1416" w:type="dxa"/>
          </w:tcPr>
          <w:p>
            <w:pPr>
              <w:pStyle w:val="TableParagraph"/>
              <w:spacing w:before="235"/>
              <w:ind w:right="457"/>
              <w:jc w:val="right"/>
              <w:rPr>
                <w:sz w:val="28"/>
              </w:rPr>
            </w:pPr>
            <w:r>
              <w:rPr>
                <w:sz w:val="28"/>
              </w:rPr>
              <w:t>0,05</w:t>
            </w:r>
          </w:p>
        </w:tc>
      </w:tr>
    </w:tbl>
    <w:p>
      <w:pPr>
        <w:pStyle w:val="BodyText"/>
        <w:spacing w:before="11"/>
        <w:rPr>
          <w:sz w:val="41"/>
        </w:rPr>
      </w:pPr>
    </w:p>
    <w:p>
      <w:pPr>
        <w:pStyle w:val="BodyText"/>
        <w:spacing w:line="362" w:lineRule="auto"/>
        <w:ind w:left="222" w:right="507" w:firstLine="417"/>
      </w:pPr>
      <w:r>
        <w:rPr/>
        <w:t>О принадлежности каждой конкретной опухоли к гормонозависимому или автономному типу наиболее точно можно судить, основываясь на</w:t>
      </w:r>
    </w:p>
    <w:p>
      <w:pPr>
        <w:spacing w:after="0" w:line="362" w:lineRule="auto"/>
        <w:sectPr>
          <w:pgSz w:w="11900" w:h="16850"/>
          <w:pgMar w:header="712" w:footer="0" w:top="1020" w:bottom="280" w:left="1480" w:right="720"/>
        </w:sectPr>
      </w:pPr>
    </w:p>
    <w:p>
      <w:pPr>
        <w:pStyle w:val="BodyText"/>
        <w:rPr>
          <w:sz w:val="20"/>
        </w:rPr>
      </w:pPr>
    </w:p>
    <w:p>
      <w:pPr>
        <w:pStyle w:val="BodyText"/>
        <w:rPr>
          <w:sz w:val="20"/>
        </w:rPr>
      </w:pPr>
    </w:p>
    <w:p>
      <w:pPr>
        <w:pStyle w:val="BodyText"/>
        <w:tabs>
          <w:tab w:pos="3514" w:val="left" w:leader="none"/>
          <w:tab w:pos="4999" w:val="left" w:leader="none"/>
          <w:tab w:pos="7166" w:val="left" w:leader="none"/>
        </w:tabs>
        <w:spacing w:line="360" w:lineRule="auto" w:before="224"/>
        <w:ind w:left="222" w:right="125"/>
        <w:jc w:val="both"/>
      </w:pPr>
      <w:r>
        <w:rPr/>
        <w:t>содержании в ней рецепторов прогестерона и эстрадиола. У больных рецепторнегативным</w:t>
        <w:tab/>
        <w:t>раком</w:t>
        <w:tab/>
        <w:t>эндометрия</w:t>
        <w:tab/>
      </w:r>
      <w:r>
        <w:rPr>
          <w:spacing w:val="-1"/>
        </w:rPr>
        <w:t>концентрируются </w:t>
      </w:r>
      <w:r>
        <w:rPr/>
        <w:t>неблагоприятные прогностические признаки, существенно отягощающие прогноз (Табл.</w:t>
      </w:r>
      <w:r>
        <w:rPr>
          <w:spacing w:val="-9"/>
        </w:rPr>
        <w:t> </w:t>
      </w:r>
      <w:r>
        <w:rPr/>
        <w:t>3.18).</w:t>
      </w:r>
    </w:p>
    <w:p>
      <w:pPr>
        <w:pStyle w:val="BodyText"/>
        <w:spacing w:before="207"/>
        <w:ind w:left="7733"/>
      </w:pPr>
      <w:r>
        <w:rPr/>
        <w:t>Таблица 3.18</w:t>
      </w:r>
    </w:p>
    <w:p>
      <w:pPr>
        <w:pStyle w:val="BodyText"/>
        <w:spacing w:before="5"/>
        <w:rPr>
          <w:sz w:val="31"/>
        </w:rPr>
      </w:pPr>
    </w:p>
    <w:p>
      <w:pPr>
        <w:pStyle w:val="BodyText"/>
        <w:spacing w:line="360" w:lineRule="auto"/>
        <w:ind w:left="1054" w:right="403" w:hanging="538"/>
      </w:pPr>
      <w:r>
        <w:rPr/>
        <w:t>Частота метастазов в лимфатические узлы и яичники в зависимости от содержания рецепторов прогестерона и эстрадиола в опухоли</w:t>
      </w:r>
    </w:p>
    <w:p>
      <w:pPr>
        <w:pStyle w:val="BodyText"/>
        <w:rPr>
          <w:sz w:val="20"/>
        </w:rPr>
      </w:pPr>
    </w:p>
    <w:p>
      <w:pPr>
        <w:pStyle w:val="BodyText"/>
        <w:rPr>
          <w:sz w:val="20"/>
        </w:rPr>
      </w:pPr>
    </w:p>
    <w:p>
      <w:pPr>
        <w:pStyle w:val="BodyText"/>
        <w:rPr>
          <w:sz w:val="20"/>
        </w:rPr>
      </w:pPr>
    </w:p>
    <w:p>
      <w:pPr>
        <w:pStyle w:val="BodyText"/>
        <w:spacing w:before="9"/>
        <w:rPr>
          <w:sz w:val="1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9"/>
        <w:gridCol w:w="3060"/>
        <w:gridCol w:w="2962"/>
      </w:tblGrid>
      <w:tr>
        <w:trPr>
          <w:trHeight w:val="1858" w:hRule="exact"/>
        </w:trPr>
        <w:tc>
          <w:tcPr>
            <w:tcW w:w="3159" w:type="dxa"/>
          </w:tcPr>
          <w:p>
            <w:pPr>
              <w:pStyle w:val="TableParagraph"/>
              <w:spacing w:line="360" w:lineRule="auto"/>
              <w:ind w:left="1075" w:right="598" w:hanging="464"/>
              <w:rPr>
                <w:sz w:val="28"/>
              </w:rPr>
            </w:pPr>
            <w:r>
              <w:rPr>
                <w:sz w:val="28"/>
              </w:rPr>
              <w:t>Характеристика опухоли</w:t>
            </w:r>
          </w:p>
        </w:tc>
        <w:tc>
          <w:tcPr>
            <w:tcW w:w="3060" w:type="dxa"/>
          </w:tcPr>
          <w:p>
            <w:pPr>
              <w:pStyle w:val="TableParagraph"/>
              <w:rPr>
                <w:sz w:val="29"/>
              </w:rPr>
            </w:pPr>
          </w:p>
          <w:p>
            <w:pPr>
              <w:pStyle w:val="TableParagraph"/>
              <w:spacing w:line="362" w:lineRule="auto"/>
              <w:ind w:left="1236" w:right="366" w:hanging="852"/>
              <w:rPr>
                <w:sz w:val="28"/>
              </w:rPr>
            </w:pPr>
            <w:r>
              <w:rPr>
                <w:sz w:val="28"/>
              </w:rPr>
              <w:t>Метастазы в лимф. узлы</w:t>
            </w:r>
          </w:p>
        </w:tc>
        <w:tc>
          <w:tcPr>
            <w:tcW w:w="2962" w:type="dxa"/>
          </w:tcPr>
          <w:p>
            <w:pPr>
              <w:pStyle w:val="TableParagraph"/>
              <w:rPr>
                <w:sz w:val="30"/>
              </w:rPr>
            </w:pPr>
          </w:p>
          <w:p>
            <w:pPr>
              <w:pStyle w:val="TableParagraph"/>
              <w:spacing w:before="231"/>
              <w:ind w:left="172" w:right="172"/>
              <w:jc w:val="center"/>
              <w:rPr>
                <w:sz w:val="28"/>
              </w:rPr>
            </w:pPr>
            <w:r>
              <w:rPr>
                <w:sz w:val="28"/>
              </w:rPr>
              <w:t>Метастазы в яичники</w:t>
            </w:r>
          </w:p>
        </w:tc>
      </w:tr>
      <w:tr>
        <w:trPr>
          <w:trHeight w:val="1860" w:hRule="exact"/>
        </w:trPr>
        <w:tc>
          <w:tcPr>
            <w:tcW w:w="3159" w:type="dxa"/>
          </w:tcPr>
          <w:p>
            <w:pPr>
              <w:pStyle w:val="TableParagraph"/>
              <w:spacing w:line="360" w:lineRule="auto"/>
              <w:ind w:left="297" w:right="301"/>
              <w:jc w:val="center"/>
              <w:rPr>
                <w:sz w:val="28"/>
              </w:rPr>
            </w:pPr>
            <w:r>
              <w:rPr>
                <w:sz w:val="28"/>
              </w:rPr>
              <w:t>Рецепторнегативный рак</w:t>
            </w:r>
          </w:p>
          <w:p>
            <w:pPr>
              <w:pStyle w:val="TableParagraph"/>
              <w:spacing w:before="208"/>
              <w:ind w:left="297" w:right="296"/>
              <w:jc w:val="center"/>
              <w:rPr>
                <w:sz w:val="28"/>
              </w:rPr>
            </w:pPr>
            <w:r>
              <w:rPr>
                <w:sz w:val="28"/>
              </w:rPr>
              <w:t>( n=44)</w:t>
            </w:r>
          </w:p>
        </w:tc>
        <w:tc>
          <w:tcPr>
            <w:tcW w:w="3060" w:type="dxa"/>
          </w:tcPr>
          <w:p>
            <w:pPr>
              <w:pStyle w:val="TableParagraph"/>
              <w:rPr>
                <w:sz w:val="30"/>
              </w:rPr>
            </w:pPr>
          </w:p>
          <w:p>
            <w:pPr>
              <w:pStyle w:val="TableParagraph"/>
              <w:spacing w:before="234"/>
              <w:ind w:left="964"/>
              <w:rPr>
                <w:sz w:val="28"/>
              </w:rPr>
            </w:pPr>
            <w:r>
              <w:rPr>
                <w:sz w:val="28"/>
              </w:rPr>
              <w:t>6 (13,6%)</w:t>
            </w:r>
          </w:p>
        </w:tc>
        <w:tc>
          <w:tcPr>
            <w:tcW w:w="2962" w:type="dxa"/>
          </w:tcPr>
          <w:p>
            <w:pPr>
              <w:pStyle w:val="TableParagraph"/>
              <w:rPr>
                <w:sz w:val="30"/>
              </w:rPr>
            </w:pPr>
          </w:p>
          <w:p>
            <w:pPr>
              <w:pStyle w:val="TableParagraph"/>
              <w:spacing w:before="234"/>
              <w:ind w:left="171" w:right="172"/>
              <w:jc w:val="center"/>
              <w:rPr>
                <w:sz w:val="28"/>
              </w:rPr>
            </w:pPr>
            <w:r>
              <w:rPr>
                <w:sz w:val="28"/>
              </w:rPr>
              <w:t>2 ( 4,5%)</w:t>
            </w:r>
          </w:p>
        </w:tc>
      </w:tr>
      <w:tr>
        <w:trPr>
          <w:trHeight w:val="1861" w:hRule="exact"/>
        </w:trPr>
        <w:tc>
          <w:tcPr>
            <w:tcW w:w="3159" w:type="dxa"/>
          </w:tcPr>
          <w:p>
            <w:pPr>
              <w:pStyle w:val="TableParagraph"/>
              <w:spacing w:line="360" w:lineRule="auto"/>
              <w:ind w:left="297" w:right="301"/>
              <w:jc w:val="center"/>
              <w:rPr>
                <w:sz w:val="28"/>
              </w:rPr>
            </w:pPr>
            <w:r>
              <w:rPr>
                <w:sz w:val="28"/>
              </w:rPr>
              <w:t>Рецепторпозитивный рак</w:t>
            </w:r>
          </w:p>
          <w:p>
            <w:pPr>
              <w:pStyle w:val="TableParagraph"/>
              <w:spacing w:before="214"/>
              <w:ind w:left="297" w:right="296"/>
              <w:jc w:val="center"/>
              <w:rPr>
                <w:sz w:val="28"/>
              </w:rPr>
            </w:pPr>
            <w:r>
              <w:rPr>
                <w:sz w:val="28"/>
              </w:rPr>
              <w:t>( n = 242)</w:t>
            </w:r>
          </w:p>
        </w:tc>
        <w:tc>
          <w:tcPr>
            <w:tcW w:w="3060" w:type="dxa"/>
          </w:tcPr>
          <w:p>
            <w:pPr>
              <w:pStyle w:val="TableParagraph"/>
              <w:rPr>
                <w:sz w:val="30"/>
              </w:rPr>
            </w:pPr>
          </w:p>
          <w:p>
            <w:pPr>
              <w:pStyle w:val="TableParagraph"/>
              <w:spacing w:before="231"/>
              <w:ind w:left="1034"/>
              <w:rPr>
                <w:sz w:val="28"/>
              </w:rPr>
            </w:pPr>
            <w:r>
              <w:rPr>
                <w:sz w:val="28"/>
              </w:rPr>
              <w:t>12 ( 5%)</w:t>
            </w:r>
          </w:p>
        </w:tc>
        <w:tc>
          <w:tcPr>
            <w:tcW w:w="2962" w:type="dxa"/>
          </w:tcPr>
          <w:p>
            <w:pPr>
              <w:pStyle w:val="TableParagraph"/>
              <w:rPr>
                <w:sz w:val="30"/>
              </w:rPr>
            </w:pPr>
          </w:p>
          <w:p>
            <w:pPr>
              <w:pStyle w:val="TableParagraph"/>
              <w:spacing w:before="231"/>
              <w:ind w:left="171" w:right="172"/>
              <w:jc w:val="center"/>
              <w:rPr>
                <w:sz w:val="28"/>
              </w:rPr>
            </w:pPr>
            <w:r>
              <w:rPr>
                <w:sz w:val="28"/>
              </w:rPr>
              <w:t>3 ( 1,2%)</w:t>
            </w:r>
          </w:p>
        </w:tc>
      </w:tr>
      <w:tr>
        <w:trPr>
          <w:trHeight w:val="1375" w:hRule="exact"/>
        </w:trPr>
        <w:tc>
          <w:tcPr>
            <w:tcW w:w="3159" w:type="dxa"/>
          </w:tcPr>
          <w:p>
            <w:pPr>
              <w:pStyle w:val="TableParagraph"/>
              <w:spacing w:line="315" w:lineRule="exact"/>
              <w:jc w:val="center"/>
              <w:rPr>
                <w:sz w:val="28"/>
              </w:rPr>
            </w:pPr>
            <w:r>
              <w:rPr>
                <w:w w:val="100"/>
                <w:sz w:val="28"/>
              </w:rPr>
              <w:t>Р</w:t>
            </w:r>
          </w:p>
        </w:tc>
        <w:tc>
          <w:tcPr>
            <w:tcW w:w="3060" w:type="dxa"/>
          </w:tcPr>
          <w:p>
            <w:pPr>
              <w:pStyle w:val="TableParagraph"/>
              <w:rPr>
                <w:sz w:val="29"/>
              </w:rPr>
            </w:pPr>
          </w:p>
          <w:p>
            <w:pPr>
              <w:pStyle w:val="TableParagraph"/>
              <w:ind w:left="1076" w:right="1076"/>
              <w:jc w:val="center"/>
              <w:rPr>
                <w:sz w:val="28"/>
              </w:rPr>
            </w:pPr>
            <w:r>
              <w:rPr>
                <w:sz w:val="28"/>
              </w:rPr>
              <w:t>р&lt; 0,01</w:t>
            </w:r>
          </w:p>
        </w:tc>
        <w:tc>
          <w:tcPr>
            <w:tcW w:w="2962" w:type="dxa"/>
          </w:tcPr>
          <w:p>
            <w:pPr>
              <w:pStyle w:val="TableParagraph"/>
              <w:rPr>
                <w:sz w:val="29"/>
              </w:rPr>
            </w:pPr>
          </w:p>
          <w:p>
            <w:pPr>
              <w:pStyle w:val="TableParagraph"/>
              <w:ind w:left="172" w:right="172"/>
              <w:jc w:val="center"/>
              <w:rPr>
                <w:sz w:val="28"/>
              </w:rPr>
            </w:pPr>
            <w:r>
              <w:rPr>
                <w:sz w:val="28"/>
              </w:rPr>
              <w:t>р&lt;0,01</w:t>
            </w:r>
          </w:p>
        </w:tc>
      </w:tr>
    </w:tbl>
    <w:p>
      <w:pPr>
        <w:pStyle w:val="BodyText"/>
        <w:rPr>
          <w:sz w:val="20"/>
        </w:rPr>
      </w:pPr>
    </w:p>
    <w:p>
      <w:pPr>
        <w:pStyle w:val="BodyText"/>
        <w:rPr>
          <w:sz w:val="20"/>
        </w:rPr>
      </w:pPr>
    </w:p>
    <w:p>
      <w:pPr>
        <w:pStyle w:val="BodyText"/>
        <w:spacing w:line="360" w:lineRule="auto" w:before="217"/>
        <w:ind w:left="222" w:right="121" w:firstLine="208"/>
        <w:jc w:val="both"/>
      </w:pPr>
      <w:r>
        <w:rPr/>
        <w:t>При рецепторнегативном раке эндометрия риск метастазирования в лимфатические узлы составил 9,4 , в яичники – 4,2 по сравнению с рецепторпозитивным раком.</w:t>
      </w:r>
    </w:p>
    <w:p>
      <w:pPr>
        <w:spacing w:after="0" w:line="360" w:lineRule="auto"/>
        <w:jc w:val="both"/>
        <w:sectPr>
          <w:pgSz w:w="11900" w:h="16850"/>
          <w:pgMar w:header="712" w:footer="0" w:top="1020" w:bottom="280" w:left="1480" w:right="1000"/>
        </w:sectPr>
      </w:pPr>
    </w:p>
    <w:p>
      <w:pPr>
        <w:pStyle w:val="BodyText"/>
        <w:rPr>
          <w:sz w:val="20"/>
        </w:rPr>
      </w:pPr>
    </w:p>
    <w:p>
      <w:pPr>
        <w:pStyle w:val="BodyText"/>
        <w:rPr>
          <w:sz w:val="20"/>
        </w:rPr>
      </w:pPr>
    </w:p>
    <w:p>
      <w:pPr>
        <w:pStyle w:val="BodyText"/>
        <w:spacing w:line="360" w:lineRule="auto" w:before="224"/>
        <w:ind w:left="282" w:right="141" w:firstLine="707"/>
        <w:jc w:val="both"/>
      </w:pPr>
      <w:r>
        <w:rPr/>
        <w:t>Основываясь на приведенных данных о риске метастазирования в регионарные лимфатические узлы, в клинике НИИ онкологии им. Н.Н.Петрова с начала 70-х годов были установлены показания к выполнению расширенных операций у больных раком эндометрия. Значительно позже, в 2013 году были опубликованы клинические рекомендации ESMO с аналогичными показаниями к тазовой лимфодиссекции (Табл. 3.19).</w:t>
      </w:r>
    </w:p>
    <w:p>
      <w:pPr>
        <w:pStyle w:val="BodyText"/>
        <w:spacing w:before="207"/>
        <w:ind w:left="7793"/>
      </w:pPr>
      <w:r>
        <w:rPr/>
        <w:t>Таблица 3.19</w:t>
      </w:r>
    </w:p>
    <w:p>
      <w:pPr>
        <w:pStyle w:val="BodyText"/>
        <w:spacing w:before="2"/>
        <w:rPr>
          <w:sz w:val="31"/>
        </w:rPr>
      </w:pPr>
    </w:p>
    <w:p>
      <w:pPr>
        <w:pStyle w:val="BodyText"/>
        <w:spacing w:line="360" w:lineRule="auto"/>
        <w:ind w:left="1354" w:right="324" w:hanging="812"/>
      </w:pPr>
      <w:r>
        <w:rPr/>
        <w:t>Критерии риска метастазирования рака эндометрия и рекомендованные объёмы хирургического лечения (ESMO Guidelines, 2013)</w:t>
      </w:r>
    </w:p>
    <w:p>
      <w:pPr>
        <w:pStyle w:val="BodyText"/>
        <w:spacing w:before="6"/>
        <w:rPr>
          <w:sz w:val="18"/>
        </w:rPr>
      </w:pPr>
    </w:p>
    <w:tbl>
      <w:tblPr>
        <w:tblW w:w="0" w:type="auto"/>
        <w:jc w:val="left"/>
        <w:tblInd w:w="111" w:type="dxa"/>
        <w:tblBorders>
          <w:top w:val="double" w:sz="9" w:space="0" w:color="EFEFEF"/>
          <w:left w:val="double" w:sz="9" w:space="0" w:color="EFEFEF"/>
          <w:bottom w:val="double" w:sz="9" w:space="0" w:color="EFEFEF"/>
          <w:right w:val="double" w:sz="9" w:space="0" w:color="EFEFEF"/>
          <w:insideH w:val="double" w:sz="9" w:space="0" w:color="EFEFEF"/>
          <w:insideV w:val="double" w:sz="9" w:space="0" w:color="EFEFEF"/>
        </w:tblBorders>
        <w:tblLayout w:type="fixed"/>
        <w:tblCellMar>
          <w:top w:w="0" w:type="dxa"/>
          <w:left w:w="0" w:type="dxa"/>
          <w:bottom w:w="0" w:type="dxa"/>
          <w:right w:w="0" w:type="dxa"/>
        </w:tblCellMar>
        <w:tblLook w:val="01E0"/>
      </w:tblPr>
      <w:tblGrid>
        <w:gridCol w:w="3095"/>
        <w:gridCol w:w="3152"/>
        <w:gridCol w:w="2942"/>
      </w:tblGrid>
      <w:tr>
        <w:trPr>
          <w:trHeight w:val="1115" w:hRule="exact"/>
        </w:trPr>
        <w:tc>
          <w:tcPr>
            <w:tcW w:w="3095" w:type="dxa"/>
            <w:tcBorders>
              <w:left w:val="double" w:sz="8" w:space="0" w:color="9F9F9F"/>
              <w:bottom w:val="double" w:sz="10" w:space="0" w:color="EFEFEF"/>
            </w:tcBorders>
          </w:tcPr>
          <w:p>
            <w:pPr>
              <w:pStyle w:val="TableParagraph"/>
              <w:spacing w:line="315" w:lineRule="exact"/>
              <w:ind w:left="104" w:right="104"/>
              <w:jc w:val="center"/>
              <w:rPr>
                <w:sz w:val="28"/>
              </w:rPr>
            </w:pPr>
            <w:r>
              <w:rPr>
                <w:sz w:val="28"/>
              </w:rPr>
              <w:t>Риск метастазирования</w:t>
            </w:r>
          </w:p>
        </w:tc>
        <w:tc>
          <w:tcPr>
            <w:tcW w:w="3152" w:type="dxa"/>
            <w:tcBorders>
              <w:bottom w:val="double" w:sz="10" w:space="0" w:color="EFEFEF"/>
            </w:tcBorders>
          </w:tcPr>
          <w:p>
            <w:pPr>
              <w:pStyle w:val="TableParagraph"/>
              <w:spacing w:line="315" w:lineRule="exact"/>
              <w:ind w:left="957"/>
              <w:rPr>
                <w:sz w:val="28"/>
              </w:rPr>
            </w:pPr>
            <w:r>
              <w:rPr>
                <w:sz w:val="28"/>
              </w:rPr>
              <w:t>Критерии</w:t>
            </w:r>
          </w:p>
        </w:tc>
        <w:tc>
          <w:tcPr>
            <w:tcW w:w="2942" w:type="dxa"/>
            <w:tcBorders>
              <w:bottom w:val="double" w:sz="10" w:space="0" w:color="EFEFEF"/>
              <w:right w:val="double" w:sz="8" w:space="0" w:color="EFEFEF"/>
            </w:tcBorders>
          </w:tcPr>
          <w:p>
            <w:pPr>
              <w:pStyle w:val="TableParagraph"/>
              <w:ind w:left="355" w:right="337" w:firstLine="614"/>
              <w:rPr>
                <w:sz w:val="28"/>
              </w:rPr>
            </w:pPr>
            <w:r>
              <w:rPr>
                <w:sz w:val="28"/>
              </w:rPr>
              <w:t>Тазовая лимфаденэктомия</w:t>
            </w:r>
          </w:p>
        </w:tc>
      </w:tr>
      <w:tr>
        <w:trPr>
          <w:trHeight w:val="1236" w:hRule="exact"/>
        </w:trPr>
        <w:tc>
          <w:tcPr>
            <w:tcW w:w="3095" w:type="dxa"/>
            <w:tcBorders>
              <w:top w:val="double" w:sz="10" w:space="0" w:color="EFEFEF"/>
              <w:left w:val="double" w:sz="8" w:space="0" w:color="9F9F9F"/>
              <w:bottom w:val="double" w:sz="10" w:space="0" w:color="EFEFEF"/>
            </w:tcBorders>
          </w:tcPr>
          <w:p>
            <w:pPr>
              <w:pStyle w:val="TableParagraph"/>
              <w:spacing w:before="4"/>
              <w:rPr>
                <w:sz w:val="27"/>
              </w:rPr>
            </w:pPr>
          </w:p>
          <w:p>
            <w:pPr>
              <w:pStyle w:val="TableParagraph"/>
              <w:ind w:left="104" w:right="104"/>
              <w:jc w:val="center"/>
              <w:rPr>
                <w:sz w:val="28"/>
              </w:rPr>
            </w:pPr>
            <w:r>
              <w:rPr>
                <w:sz w:val="28"/>
              </w:rPr>
              <w:t>Низкий</w:t>
            </w:r>
          </w:p>
        </w:tc>
        <w:tc>
          <w:tcPr>
            <w:tcW w:w="3152" w:type="dxa"/>
            <w:tcBorders>
              <w:top w:val="double" w:sz="10" w:space="0" w:color="EFEFEF"/>
              <w:bottom w:val="double" w:sz="10" w:space="0" w:color="EFEFEF"/>
            </w:tcBorders>
          </w:tcPr>
          <w:p>
            <w:pPr>
              <w:pStyle w:val="TableParagraph"/>
              <w:spacing w:line="313" w:lineRule="exact"/>
              <w:ind w:left="108"/>
              <w:rPr>
                <w:sz w:val="28"/>
              </w:rPr>
            </w:pPr>
            <w:r>
              <w:rPr>
                <w:sz w:val="28"/>
              </w:rPr>
              <w:t>IA, G 1-2,</w:t>
            </w:r>
          </w:p>
          <w:p>
            <w:pPr>
              <w:pStyle w:val="TableParagraph"/>
              <w:spacing w:before="2"/>
              <w:ind w:left="108" w:right="767"/>
              <w:rPr>
                <w:sz w:val="28"/>
              </w:rPr>
            </w:pPr>
            <w:r>
              <w:rPr>
                <w:sz w:val="28"/>
              </w:rPr>
              <w:t>эндометриоидный гистотип</w:t>
            </w:r>
          </w:p>
        </w:tc>
        <w:tc>
          <w:tcPr>
            <w:tcW w:w="2942" w:type="dxa"/>
            <w:tcBorders>
              <w:top w:val="double" w:sz="10" w:space="0" w:color="EFEFEF"/>
              <w:bottom w:val="double" w:sz="10" w:space="0" w:color="EFEFEF"/>
              <w:right w:val="double" w:sz="8" w:space="0" w:color="EFEFEF"/>
            </w:tcBorders>
          </w:tcPr>
          <w:p>
            <w:pPr>
              <w:pStyle w:val="TableParagraph"/>
              <w:spacing w:line="313" w:lineRule="exact"/>
              <w:ind w:right="1"/>
              <w:jc w:val="center"/>
              <w:rPr>
                <w:sz w:val="28"/>
              </w:rPr>
            </w:pPr>
            <w:r>
              <w:rPr>
                <w:w w:val="100"/>
                <w:sz w:val="28"/>
              </w:rPr>
              <w:t>-</w:t>
            </w:r>
          </w:p>
        </w:tc>
      </w:tr>
      <w:tr>
        <w:trPr>
          <w:trHeight w:val="2201" w:hRule="exact"/>
        </w:trPr>
        <w:tc>
          <w:tcPr>
            <w:tcW w:w="3095" w:type="dxa"/>
            <w:tcBorders>
              <w:top w:val="double" w:sz="10" w:space="0" w:color="EFEFEF"/>
              <w:left w:val="double" w:sz="8" w:space="0" w:color="9F9F9F"/>
              <w:bottom w:val="double" w:sz="10" w:space="0" w:color="EFEFEF"/>
            </w:tcBorders>
          </w:tcPr>
          <w:p>
            <w:pPr>
              <w:pStyle w:val="TableParagraph"/>
              <w:rPr>
                <w:sz w:val="30"/>
              </w:rPr>
            </w:pPr>
          </w:p>
          <w:p>
            <w:pPr>
              <w:pStyle w:val="TableParagraph"/>
              <w:spacing w:before="3"/>
              <w:rPr>
                <w:sz w:val="39"/>
              </w:rPr>
            </w:pPr>
          </w:p>
          <w:p>
            <w:pPr>
              <w:pStyle w:val="TableParagraph"/>
              <w:ind w:left="103" w:right="104"/>
              <w:jc w:val="center"/>
              <w:rPr>
                <w:sz w:val="28"/>
              </w:rPr>
            </w:pPr>
            <w:r>
              <w:rPr>
                <w:sz w:val="28"/>
              </w:rPr>
              <w:t>Промежуточный</w:t>
            </w:r>
          </w:p>
        </w:tc>
        <w:tc>
          <w:tcPr>
            <w:tcW w:w="3152" w:type="dxa"/>
            <w:tcBorders>
              <w:top w:val="double" w:sz="10" w:space="0" w:color="EFEFEF"/>
              <w:bottom w:val="double" w:sz="10" w:space="0" w:color="EFEFEF"/>
            </w:tcBorders>
          </w:tcPr>
          <w:p>
            <w:pPr>
              <w:pStyle w:val="TableParagraph"/>
              <w:spacing w:line="312" w:lineRule="exact"/>
              <w:ind w:left="108"/>
              <w:rPr>
                <w:sz w:val="28"/>
              </w:rPr>
            </w:pPr>
            <w:r>
              <w:rPr>
                <w:sz w:val="28"/>
              </w:rPr>
              <w:t>IA, G3,</w:t>
            </w:r>
          </w:p>
          <w:p>
            <w:pPr>
              <w:pStyle w:val="TableParagraph"/>
              <w:spacing w:line="242" w:lineRule="auto"/>
              <w:ind w:left="108" w:right="767"/>
              <w:rPr>
                <w:sz w:val="28"/>
              </w:rPr>
            </w:pPr>
            <w:r>
              <w:rPr>
                <w:sz w:val="28"/>
              </w:rPr>
              <w:t>эндометриоидный гистотип</w:t>
            </w:r>
          </w:p>
          <w:p>
            <w:pPr>
              <w:pStyle w:val="TableParagraph"/>
              <w:spacing w:line="318" w:lineRule="exact"/>
              <w:ind w:left="108"/>
              <w:rPr>
                <w:sz w:val="28"/>
              </w:rPr>
            </w:pPr>
            <w:r>
              <w:rPr>
                <w:sz w:val="28"/>
              </w:rPr>
              <w:t>IB, G1-2,</w:t>
            </w:r>
          </w:p>
          <w:p>
            <w:pPr>
              <w:pStyle w:val="TableParagraph"/>
              <w:ind w:left="108" w:right="767"/>
              <w:rPr>
                <w:sz w:val="28"/>
              </w:rPr>
            </w:pPr>
            <w:r>
              <w:rPr>
                <w:sz w:val="28"/>
              </w:rPr>
              <w:t>эндометриоидный гистотип</w:t>
            </w:r>
          </w:p>
        </w:tc>
        <w:tc>
          <w:tcPr>
            <w:tcW w:w="2942" w:type="dxa"/>
            <w:tcBorders>
              <w:top w:val="double" w:sz="10" w:space="0" w:color="EFEFEF"/>
              <w:bottom w:val="double" w:sz="10" w:space="0" w:color="EFEFEF"/>
              <w:right w:val="double" w:sz="8" w:space="0" w:color="EFEFEF"/>
            </w:tcBorders>
          </w:tcPr>
          <w:p>
            <w:pPr>
              <w:pStyle w:val="TableParagraph"/>
              <w:spacing w:line="313" w:lineRule="exact"/>
              <w:ind w:left="1"/>
              <w:jc w:val="center"/>
              <w:rPr>
                <w:sz w:val="28"/>
              </w:rPr>
            </w:pPr>
            <w:r>
              <w:rPr>
                <w:w w:val="100"/>
                <w:sz w:val="28"/>
              </w:rPr>
              <w:t>±</w:t>
            </w:r>
          </w:p>
        </w:tc>
      </w:tr>
      <w:tr>
        <w:trPr>
          <w:trHeight w:val="2202" w:hRule="exact"/>
        </w:trPr>
        <w:tc>
          <w:tcPr>
            <w:tcW w:w="3095" w:type="dxa"/>
            <w:tcBorders>
              <w:top w:val="double" w:sz="10" w:space="0" w:color="EFEFEF"/>
              <w:left w:val="double" w:sz="8" w:space="0" w:color="9F9F9F"/>
            </w:tcBorders>
          </w:tcPr>
          <w:p>
            <w:pPr>
              <w:pStyle w:val="TableParagraph"/>
              <w:rPr>
                <w:sz w:val="30"/>
              </w:rPr>
            </w:pPr>
          </w:p>
          <w:p>
            <w:pPr>
              <w:pStyle w:val="TableParagraph"/>
              <w:spacing w:before="3"/>
              <w:rPr>
                <w:sz w:val="39"/>
              </w:rPr>
            </w:pPr>
          </w:p>
          <w:p>
            <w:pPr>
              <w:pStyle w:val="TableParagraph"/>
              <w:ind w:left="104" w:right="104"/>
              <w:jc w:val="center"/>
              <w:rPr>
                <w:sz w:val="28"/>
              </w:rPr>
            </w:pPr>
            <w:r>
              <w:rPr>
                <w:sz w:val="28"/>
              </w:rPr>
              <w:t>Высокий</w:t>
            </w:r>
          </w:p>
        </w:tc>
        <w:tc>
          <w:tcPr>
            <w:tcW w:w="3152" w:type="dxa"/>
            <w:tcBorders>
              <w:top w:val="double" w:sz="10" w:space="0" w:color="EFEFEF"/>
            </w:tcBorders>
          </w:tcPr>
          <w:p>
            <w:pPr>
              <w:pStyle w:val="TableParagraph"/>
              <w:spacing w:line="315" w:lineRule="exact"/>
              <w:ind w:left="108"/>
              <w:rPr>
                <w:sz w:val="28"/>
              </w:rPr>
            </w:pPr>
            <w:r>
              <w:rPr>
                <w:sz w:val="28"/>
              </w:rPr>
              <w:t>IB, G3,</w:t>
            </w:r>
          </w:p>
          <w:p>
            <w:pPr>
              <w:pStyle w:val="TableParagraph"/>
              <w:ind w:left="108" w:right="767"/>
              <w:rPr>
                <w:sz w:val="28"/>
              </w:rPr>
            </w:pPr>
            <w:r>
              <w:rPr>
                <w:sz w:val="28"/>
              </w:rPr>
              <w:t>эндометриоидный гистотип</w:t>
            </w:r>
          </w:p>
          <w:p>
            <w:pPr>
              <w:pStyle w:val="TableParagraph"/>
              <w:spacing w:line="321" w:lineRule="exact"/>
              <w:ind w:left="108"/>
              <w:rPr>
                <w:sz w:val="28"/>
              </w:rPr>
            </w:pPr>
            <w:r>
              <w:rPr>
                <w:sz w:val="28"/>
              </w:rPr>
              <w:t>IA, IB,</w:t>
            </w:r>
          </w:p>
          <w:p>
            <w:pPr>
              <w:pStyle w:val="TableParagraph"/>
              <w:spacing w:line="242" w:lineRule="auto"/>
              <w:ind w:left="108" w:right="493"/>
              <w:rPr>
                <w:sz w:val="28"/>
              </w:rPr>
            </w:pPr>
            <w:r>
              <w:rPr>
                <w:sz w:val="28"/>
              </w:rPr>
              <w:t>неэндометриоидный гистотип</w:t>
            </w:r>
          </w:p>
        </w:tc>
        <w:tc>
          <w:tcPr>
            <w:tcW w:w="2942" w:type="dxa"/>
            <w:tcBorders>
              <w:top w:val="double" w:sz="10" w:space="0" w:color="EFEFEF"/>
              <w:right w:val="double" w:sz="8" w:space="0" w:color="EFEFEF"/>
            </w:tcBorders>
          </w:tcPr>
          <w:p>
            <w:pPr>
              <w:pStyle w:val="TableParagraph"/>
              <w:spacing w:line="315" w:lineRule="exact"/>
              <w:jc w:val="center"/>
              <w:rPr>
                <w:sz w:val="28"/>
              </w:rPr>
            </w:pPr>
            <w:r>
              <w:rPr>
                <w:w w:val="100"/>
                <w:sz w:val="28"/>
              </w:rPr>
              <w:t>+</w:t>
            </w:r>
          </w:p>
        </w:tc>
      </w:tr>
    </w:tbl>
    <w:p>
      <w:pPr>
        <w:pStyle w:val="BodyText"/>
        <w:spacing w:before="11"/>
        <w:rPr>
          <w:sz w:val="41"/>
        </w:rPr>
      </w:pPr>
    </w:p>
    <w:p>
      <w:pPr>
        <w:pStyle w:val="BodyText"/>
        <w:tabs>
          <w:tab w:pos="7640" w:val="left" w:leader="none"/>
        </w:tabs>
        <w:spacing w:line="362" w:lineRule="auto"/>
        <w:ind w:left="282" w:right="149" w:firstLine="139"/>
      </w:pPr>
      <w:r>
        <w:rPr/>
        <w:t>Таким образом, вопрос о показаниях   </w:t>
      </w:r>
      <w:r>
        <w:rPr>
          <w:spacing w:val="4"/>
        </w:rPr>
        <w:t> </w:t>
      </w:r>
      <w:r>
        <w:rPr/>
        <w:t>к</w:t>
      </w:r>
      <w:r>
        <w:rPr>
          <w:spacing w:val="44"/>
        </w:rPr>
        <w:t> </w:t>
      </w:r>
      <w:r>
        <w:rPr/>
        <w:t>лимфодиссекции</w:t>
        <w:tab/>
        <w:t>при</w:t>
      </w:r>
      <w:r>
        <w:rPr>
          <w:spacing w:val="43"/>
        </w:rPr>
        <w:t> </w:t>
      </w:r>
      <w:r>
        <w:rPr/>
        <w:t>раке</w:t>
      </w:r>
      <w:r>
        <w:rPr>
          <w:spacing w:val="45"/>
        </w:rPr>
        <w:t> </w:t>
      </w:r>
      <w:r>
        <w:rPr/>
        <w:t>тела</w:t>
      </w:r>
      <w:r>
        <w:rPr>
          <w:w w:val="100"/>
        </w:rPr>
        <w:t> </w:t>
      </w:r>
      <w:r>
        <w:rPr/>
        <w:t>матки на сегодняшний день можно считать решенным.</w:t>
      </w:r>
      <w:r>
        <w:rPr>
          <w:spacing w:val="-20"/>
        </w:rPr>
        <w:t> </w:t>
      </w:r>
      <w:r>
        <w:rPr/>
        <w:t>Приведенными</w:t>
      </w:r>
    </w:p>
    <w:p>
      <w:pPr>
        <w:spacing w:after="0" w:line="362" w:lineRule="auto"/>
        <w:sectPr>
          <w:headerReference w:type="default" r:id="rId59"/>
          <w:pgSz w:w="11900" w:h="16850"/>
          <w:pgMar w:header="712" w:footer="0" w:top="1020" w:bottom="280" w:left="1420" w:right="980"/>
          <w:pgNumType w:start="130"/>
        </w:sectPr>
      </w:pPr>
    </w:p>
    <w:p>
      <w:pPr>
        <w:pStyle w:val="BodyText"/>
        <w:rPr>
          <w:sz w:val="20"/>
        </w:rPr>
      </w:pPr>
    </w:p>
    <w:p>
      <w:pPr>
        <w:pStyle w:val="BodyText"/>
        <w:spacing w:before="7"/>
        <w:rPr>
          <w:sz w:val="24"/>
        </w:rPr>
      </w:pPr>
    </w:p>
    <w:p>
      <w:pPr>
        <w:pStyle w:val="BodyText"/>
        <w:spacing w:line="362" w:lineRule="auto" w:before="89"/>
        <w:ind w:left="222"/>
      </w:pPr>
      <w:r>
        <w:rPr/>
        <w:t>выше критериями руководствуются ведущие мировые клиники в выборе объема предстоящего  хирургического вмешательства.</w:t>
      </w:r>
    </w:p>
    <w:p>
      <w:pPr>
        <w:pStyle w:val="BodyText"/>
        <w:spacing w:line="360" w:lineRule="auto" w:before="122"/>
        <w:ind w:left="222" w:right="109" w:firstLine="628"/>
        <w:jc w:val="both"/>
      </w:pPr>
      <w:r>
        <w:rPr/>
        <w:t>Расчет относительного риска ряда факторов, ухудшающих прогноз и увеличивающих вероятность летального исхода больных РТМ в течение 5 лет после лечения приведен в таблице 3.20.</w:t>
      </w:r>
    </w:p>
    <w:p>
      <w:pPr>
        <w:pStyle w:val="BodyText"/>
        <w:spacing w:before="127"/>
        <w:ind w:left="7733"/>
      </w:pPr>
      <w:r>
        <w:rPr/>
        <w:t>Таблица 3.20</w:t>
      </w:r>
    </w:p>
    <w:p>
      <w:pPr>
        <w:pStyle w:val="BodyText"/>
        <w:spacing w:before="2"/>
        <w:rPr>
          <w:sz w:val="31"/>
        </w:rPr>
      </w:pPr>
    </w:p>
    <w:p>
      <w:pPr>
        <w:pStyle w:val="BodyText"/>
        <w:spacing w:line="388" w:lineRule="auto" w:before="1" w:after="14"/>
        <w:ind w:left="2670" w:right="466" w:hanging="2070"/>
      </w:pPr>
      <w:r>
        <w:rPr/>
        <w:t>Относительный риск летального исхода местно-распространенного и метастатического рака эндометрия</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97"/>
        <w:gridCol w:w="3029"/>
        <w:gridCol w:w="876"/>
      </w:tblGrid>
      <w:tr>
        <w:trPr>
          <w:trHeight w:val="1054" w:hRule="exact"/>
        </w:trPr>
        <w:tc>
          <w:tcPr>
            <w:tcW w:w="5197" w:type="dxa"/>
          </w:tcPr>
          <w:p>
            <w:pPr>
              <w:pStyle w:val="TableParagraph"/>
              <w:spacing w:line="315" w:lineRule="exact"/>
              <w:ind w:left="865" w:right="865"/>
              <w:jc w:val="center"/>
              <w:rPr>
                <w:sz w:val="28"/>
              </w:rPr>
            </w:pPr>
            <w:r>
              <w:rPr>
                <w:sz w:val="28"/>
              </w:rPr>
              <w:t>Факторы риска</w:t>
            </w:r>
          </w:p>
        </w:tc>
        <w:tc>
          <w:tcPr>
            <w:tcW w:w="3029" w:type="dxa"/>
          </w:tcPr>
          <w:p>
            <w:pPr>
              <w:pStyle w:val="TableParagraph"/>
              <w:spacing w:before="93"/>
              <w:ind w:left="1228" w:right="236" w:hanging="975"/>
              <w:rPr>
                <w:sz w:val="28"/>
              </w:rPr>
            </w:pPr>
            <w:r>
              <w:rPr>
                <w:sz w:val="28"/>
              </w:rPr>
              <w:t>Относительный риск (RR)</w:t>
            </w:r>
          </w:p>
        </w:tc>
        <w:tc>
          <w:tcPr>
            <w:tcW w:w="876" w:type="dxa"/>
          </w:tcPr>
          <w:p>
            <w:pPr>
              <w:pStyle w:val="TableParagraph"/>
              <w:spacing w:before="254"/>
              <w:ind w:left="97" w:right="99"/>
              <w:jc w:val="center"/>
              <w:rPr>
                <w:sz w:val="28"/>
              </w:rPr>
            </w:pPr>
            <w:r>
              <w:rPr>
                <w:sz w:val="28"/>
              </w:rPr>
              <w:t>Р&lt;</w:t>
            </w:r>
          </w:p>
        </w:tc>
      </w:tr>
      <w:tr>
        <w:trPr>
          <w:trHeight w:val="533" w:hRule="exact"/>
        </w:trPr>
        <w:tc>
          <w:tcPr>
            <w:tcW w:w="5197" w:type="dxa"/>
          </w:tcPr>
          <w:p>
            <w:pPr>
              <w:pStyle w:val="TableParagraph"/>
              <w:spacing w:line="315" w:lineRule="exact"/>
              <w:ind w:left="865" w:right="865"/>
              <w:jc w:val="center"/>
              <w:rPr>
                <w:sz w:val="28"/>
              </w:rPr>
            </w:pPr>
            <w:r>
              <w:rPr>
                <w:sz w:val="28"/>
              </w:rPr>
              <w:t>Возраст старше 50 лет</w:t>
            </w:r>
          </w:p>
        </w:tc>
        <w:tc>
          <w:tcPr>
            <w:tcW w:w="3029" w:type="dxa"/>
          </w:tcPr>
          <w:p>
            <w:pPr>
              <w:pStyle w:val="TableParagraph"/>
              <w:spacing w:line="315" w:lineRule="exact"/>
              <w:ind w:left="1314" w:right="1314"/>
              <w:jc w:val="center"/>
              <w:rPr>
                <w:sz w:val="28"/>
              </w:rPr>
            </w:pPr>
            <w:r>
              <w:rPr>
                <w:sz w:val="28"/>
              </w:rPr>
              <w:t>3,5</w:t>
            </w:r>
          </w:p>
        </w:tc>
        <w:tc>
          <w:tcPr>
            <w:tcW w:w="876" w:type="dxa"/>
          </w:tcPr>
          <w:p>
            <w:pPr>
              <w:pStyle w:val="TableParagraph"/>
              <w:spacing w:line="315" w:lineRule="exact"/>
              <w:ind w:left="95" w:right="99"/>
              <w:jc w:val="center"/>
              <w:rPr>
                <w:sz w:val="28"/>
              </w:rPr>
            </w:pPr>
            <w:r>
              <w:rPr>
                <w:sz w:val="28"/>
              </w:rPr>
              <w:t>0,05</w:t>
            </w:r>
          </w:p>
        </w:tc>
      </w:tr>
      <w:tr>
        <w:trPr>
          <w:trHeight w:val="533" w:hRule="exact"/>
        </w:trPr>
        <w:tc>
          <w:tcPr>
            <w:tcW w:w="5197" w:type="dxa"/>
          </w:tcPr>
          <w:p>
            <w:pPr>
              <w:pStyle w:val="TableParagraph"/>
              <w:spacing w:line="315" w:lineRule="exact"/>
              <w:ind w:left="865" w:right="865"/>
              <w:jc w:val="center"/>
              <w:rPr>
                <w:sz w:val="28"/>
              </w:rPr>
            </w:pPr>
            <w:r>
              <w:rPr>
                <w:sz w:val="28"/>
              </w:rPr>
              <w:t>II патогенетический вариант</w:t>
            </w:r>
          </w:p>
        </w:tc>
        <w:tc>
          <w:tcPr>
            <w:tcW w:w="3029" w:type="dxa"/>
          </w:tcPr>
          <w:p>
            <w:pPr>
              <w:pStyle w:val="TableParagraph"/>
              <w:spacing w:line="315" w:lineRule="exact"/>
              <w:ind w:left="1314" w:right="1314"/>
              <w:jc w:val="center"/>
              <w:rPr>
                <w:sz w:val="28"/>
              </w:rPr>
            </w:pPr>
            <w:r>
              <w:rPr>
                <w:sz w:val="28"/>
              </w:rPr>
              <w:t>1,7</w:t>
            </w:r>
          </w:p>
        </w:tc>
        <w:tc>
          <w:tcPr>
            <w:tcW w:w="876" w:type="dxa"/>
          </w:tcPr>
          <w:p>
            <w:pPr>
              <w:pStyle w:val="TableParagraph"/>
              <w:spacing w:line="315" w:lineRule="exact"/>
              <w:ind w:left="95" w:right="99"/>
              <w:jc w:val="center"/>
              <w:rPr>
                <w:sz w:val="28"/>
              </w:rPr>
            </w:pPr>
            <w:r>
              <w:rPr>
                <w:sz w:val="28"/>
              </w:rPr>
              <w:t>0,05</w:t>
            </w:r>
          </w:p>
        </w:tc>
      </w:tr>
      <w:tr>
        <w:trPr>
          <w:trHeight w:val="2098" w:hRule="exact"/>
        </w:trPr>
        <w:tc>
          <w:tcPr>
            <w:tcW w:w="5197" w:type="dxa"/>
          </w:tcPr>
          <w:p>
            <w:pPr>
              <w:pStyle w:val="TableParagraph"/>
              <w:spacing w:line="379" w:lineRule="auto"/>
              <w:ind w:left="1207" w:right="951" w:hanging="238"/>
              <w:rPr>
                <w:sz w:val="28"/>
              </w:rPr>
            </w:pPr>
            <w:r>
              <w:rPr>
                <w:sz w:val="28"/>
              </w:rPr>
              <w:t>Степень дифференцировки G</w:t>
            </w:r>
            <w:r>
              <w:rPr>
                <w:position w:val="-3"/>
                <w:sz w:val="18"/>
              </w:rPr>
              <w:t>2 </w:t>
            </w:r>
            <w:r>
              <w:rPr>
                <w:sz w:val="28"/>
              </w:rPr>
              <w:t>(по сравнению с G</w:t>
            </w:r>
            <w:r>
              <w:rPr>
                <w:position w:val="-3"/>
                <w:sz w:val="18"/>
              </w:rPr>
              <w:t>1</w:t>
            </w:r>
            <w:r>
              <w:rPr>
                <w:sz w:val="28"/>
              </w:rPr>
              <w:t>) G</w:t>
            </w:r>
            <w:r>
              <w:rPr>
                <w:position w:val="-3"/>
                <w:sz w:val="18"/>
              </w:rPr>
              <w:t>3 </w:t>
            </w:r>
            <w:r>
              <w:rPr>
                <w:sz w:val="28"/>
              </w:rPr>
              <w:t>(по сравнению с G</w:t>
            </w:r>
            <w:r>
              <w:rPr>
                <w:position w:val="-3"/>
                <w:sz w:val="18"/>
              </w:rPr>
              <w:t>1</w:t>
            </w:r>
            <w:r>
              <w:rPr>
                <w:sz w:val="28"/>
              </w:rPr>
              <w:t>) G</w:t>
            </w:r>
            <w:r>
              <w:rPr>
                <w:position w:val="-3"/>
                <w:sz w:val="18"/>
              </w:rPr>
              <w:t>3  </w:t>
            </w:r>
            <w:r>
              <w:rPr>
                <w:sz w:val="28"/>
              </w:rPr>
              <w:t>(по сравнению с G</w:t>
            </w:r>
            <w:r>
              <w:rPr>
                <w:position w:val="-3"/>
                <w:sz w:val="18"/>
              </w:rPr>
              <w:t>2</w:t>
            </w:r>
            <w:r>
              <w:rPr>
                <w:sz w:val="28"/>
              </w:rPr>
              <w:t>)</w:t>
            </w:r>
          </w:p>
        </w:tc>
        <w:tc>
          <w:tcPr>
            <w:tcW w:w="3029" w:type="dxa"/>
          </w:tcPr>
          <w:p>
            <w:pPr>
              <w:pStyle w:val="TableParagraph"/>
              <w:spacing w:before="8"/>
              <w:rPr>
                <w:sz w:val="44"/>
              </w:rPr>
            </w:pPr>
          </w:p>
          <w:p>
            <w:pPr>
              <w:pStyle w:val="TableParagraph"/>
              <w:ind w:left="1314" w:right="1314"/>
              <w:jc w:val="center"/>
              <w:rPr>
                <w:sz w:val="28"/>
              </w:rPr>
            </w:pPr>
            <w:r>
              <w:rPr>
                <w:sz w:val="28"/>
              </w:rPr>
              <w:t>2,5</w:t>
            </w:r>
          </w:p>
          <w:p>
            <w:pPr>
              <w:pStyle w:val="TableParagraph"/>
              <w:spacing w:before="201"/>
              <w:ind w:left="1314" w:right="1314"/>
              <w:jc w:val="center"/>
              <w:rPr>
                <w:sz w:val="28"/>
              </w:rPr>
            </w:pPr>
            <w:r>
              <w:rPr>
                <w:sz w:val="28"/>
              </w:rPr>
              <w:t>9,1</w:t>
            </w:r>
          </w:p>
          <w:p>
            <w:pPr>
              <w:pStyle w:val="TableParagraph"/>
              <w:spacing w:before="199"/>
              <w:ind w:left="1314" w:right="1314"/>
              <w:jc w:val="center"/>
              <w:rPr>
                <w:sz w:val="28"/>
              </w:rPr>
            </w:pPr>
            <w:r>
              <w:rPr>
                <w:sz w:val="28"/>
              </w:rPr>
              <w:t>3,7</w:t>
            </w:r>
          </w:p>
        </w:tc>
        <w:tc>
          <w:tcPr>
            <w:tcW w:w="876" w:type="dxa"/>
          </w:tcPr>
          <w:p>
            <w:pPr>
              <w:pStyle w:val="TableParagraph"/>
              <w:rPr>
                <w:sz w:val="30"/>
              </w:rPr>
            </w:pPr>
          </w:p>
          <w:p>
            <w:pPr>
              <w:pStyle w:val="TableParagraph"/>
              <w:spacing w:before="5"/>
              <w:rPr>
                <w:sz w:val="37"/>
              </w:rPr>
            </w:pPr>
          </w:p>
          <w:p>
            <w:pPr>
              <w:pStyle w:val="TableParagraph"/>
              <w:ind w:left="97" w:right="99"/>
              <w:jc w:val="center"/>
              <w:rPr>
                <w:sz w:val="28"/>
              </w:rPr>
            </w:pPr>
            <w:r>
              <w:rPr>
                <w:sz w:val="28"/>
              </w:rPr>
              <w:t>0,001</w:t>
            </w:r>
          </w:p>
        </w:tc>
      </w:tr>
      <w:tr>
        <w:trPr>
          <w:trHeight w:val="530" w:hRule="exact"/>
        </w:trPr>
        <w:tc>
          <w:tcPr>
            <w:tcW w:w="5197" w:type="dxa"/>
          </w:tcPr>
          <w:p>
            <w:pPr>
              <w:pStyle w:val="TableParagraph"/>
              <w:spacing w:line="333" w:lineRule="exact"/>
              <w:ind w:left="864" w:right="865"/>
              <w:jc w:val="center"/>
              <w:rPr>
                <w:sz w:val="18"/>
              </w:rPr>
            </w:pPr>
            <w:r>
              <w:rPr>
                <w:sz w:val="28"/>
              </w:rPr>
              <w:t>Т</w:t>
            </w:r>
            <w:r>
              <w:rPr>
                <w:position w:val="-3"/>
                <w:sz w:val="18"/>
              </w:rPr>
              <w:t>2  </w:t>
            </w:r>
            <w:r>
              <w:rPr>
                <w:sz w:val="28"/>
              </w:rPr>
              <w:t>по сравнению с Т</w:t>
            </w:r>
            <w:r>
              <w:rPr>
                <w:position w:val="-3"/>
                <w:sz w:val="18"/>
              </w:rPr>
              <w:t>1</w:t>
            </w:r>
          </w:p>
        </w:tc>
        <w:tc>
          <w:tcPr>
            <w:tcW w:w="3029" w:type="dxa"/>
          </w:tcPr>
          <w:p>
            <w:pPr>
              <w:pStyle w:val="TableParagraph"/>
              <w:spacing w:line="315" w:lineRule="exact"/>
              <w:ind w:left="1314" w:right="1314"/>
              <w:jc w:val="center"/>
              <w:rPr>
                <w:sz w:val="28"/>
              </w:rPr>
            </w:pPr>
            <w:r>
              <w:rPr>
                <w:sz w:val="28"/>
              </w:rPr>
              <w:t>1,8</w:t>
            </w:r>
          </w:p>
        </w:tc>
        <w:tc>
          <w:tcPr>
            <w:tcW w:w="876" w:type="dxa"/>
          </w:tcPr>
          <w:p>
            <w:pPr>
              <w:pStyle w:val="TableParagraph"/>
              <w:spacing w:line="315" w:lineRule="exact"/>
              <w:ind w:left="95" w:right="99"/>
              <w:jc w:val="center"/>
              <w:rPr>
                <w:sz w:val="28"/>
              </w:rPr>
            </w:pPr>
            <w:r>
              <w:rPr>
                <w:sz w:val="28"/>
              </w:rPr>
              <w:t>0,05</w:t>
            </w:r>
          </w:p>
        </w:tc>
      </w:tr>
      <w:tr>
        <w:trPr>
          <w:trHeight w:val="855" w:hRule="exact"/>
        </w:trPr>
        <w:tc>
          <w:tcPr>
            <w:tcW w:w="5197" w:type="dxa"/>
          </w:tcPr>
          <w:p>
            <w:pPr>
              <w:pStyle w:val="TableParagraph"/>
              <w:spacing w:line="242" w:lineRule="auto"/>
              <w:ind w:left="1346" w:right="1024" w:hanging="310"/>
              <w:rPr>
                <w:sz w:val="28"/>
              </w:rPr>
            </w:pPr>
            <w:r>
              <w:rPr>
                <w:sz w:val="28"/>
              </w:rPr>
              <w:t>Метастазы в регионарные лимфатические узлы</w:t>
            </w:r>
          </w:p>
        </w:tc>
        <w:tc>
          <w:tcPr>
            <w:tcW w:w="3029" w:type="dxa"/>
          </w:tcPr>
          <w:p>
            <w:pPr>
              <w:pStyle w:val="TableParagraph"/>
              <w:spacing w:before="156"/>
              <w:ind w:left="1314" w:right="1314"/>
              <w:jc w:val="center"/>
              <w:rPr>
                <w:sz w:val="28"/>
              </w:rPr>
            </w:pPr>
            <w:r>
              <w:rPr>
                <w:sz w:val="28"/>
              </w:rPr>
              <w:t>9,9</w:t>
            </w:r>
          </w:p>
        </w:tc>
        <w:tc>
          <w:tcPr>
            <w:tcW w:w="876" w:type="dxa"/>
          </w:tcPr>
          <w:p>
            <w:pPr>
              <w:pStyle w:val="TableParagraph"/>
              <w:spacing w:before="156"/>
              <w:ind w:left="97" w:right="99"/>
              <w:jc w:val="center"/>
              <w:rPr>
                <w:sz w:val="28"/>
              </w:rPr>
            </w:pPr>
            <w:r>
              <w:rPr>
                <w:sz w:val="28"/>
              </w:rPr>
              <w:t>0,001</w:t>
            </w:r>
          </w:p>
        </w:tc>
      </w:tr>
      <w:tr>
        <w:trPr>
          <w:trHeight w:val="533" w:hRule="exact"/>
        </w:trPr>
        <w:tc>
          <w:tcPr>
            <w:tcW w:w="5197" w:type="dxa"/>
          </w:tcPr>
          <w:p>
            <w:pPr>
              <w:pStyle w:val="TableParagraph"/>
              <w:spacing w:line="315" w:lineRule="exact"/>
              <w:ind w:left="865" w:right="865"/>
              <w:jc w:val="center"/>
              <w:rPr>
                <w:sz w:val="28"/>
              </w:rPr>
            </w:pPr>
            <w:r>
              <w:rPr>
                <w:sz w:val="28"/>
              </w:rPr>
              <w:t>Метастазы в яичники</w:t>
            </w:r>
          </w:p>
        </w:tc>
        <w:tc>
          <w:tcPr>
            <w:tcW w:w="3029" w:type="dxa"/>
          </w:tcPr>
          <w:p>
            <w:pPr>
              <w:pStyle w:val="TableParagraph"/>
              <w:spacing w:line="315" w:lineRule="exact"/>
              <w:ind w:left="1314" w:right="1314"/>
              <w:jc w:val="center"/>
              <w:rPr>
                <w:sz w:val="28"/>
              </w:rPr>
            </w:pPr>
            <w:r>
              <w:rPr>
                <w:sz w:val="28"/>
              </w:rPr>
              <w:t>6,4</w:t>
            </w:r>
          </w:p>
        </w:tc>
        <w:tc>
          <w:tcPr>
            <w:tcW w:w="876" w:type="dxa"/>
          </w:tcPr>
          <w:p>
            <w:pPr>
              <w:pStyle w:val="TableParagraph"/>
              <w:spacing w:line="315" w:lineRule="exact"/>
              <w:ind w:left="97" w:right="99"/>
              <w:jc w:val="center"/>
              <w:rPr>
                <w:sz w:val="28"/>
              </w:rPr>
            </w:pPr>
            <w:r>
              <w:rPr>
                <w:sz w:val="28"/>
              </w:rPr>
              <w:t>0,001</w:t>
            </w:r>
          </w:p>
        </w:tc>
      </w:tr>
      <w:tr>
        <w:trPr>
          <w:trHeight w:val="854" w:hRule="exact"/>
        </w:trPr>
        <w:tc>
          <w:tcPr>
            <w:tcW w:w="5197" w:type="dxa"/>
          </w:tcPr>
          <w:p>
            <w:pPr>
              <w:pStyle w:val="TableParagraph"/>
              <w:ind w:left="1833" w:right="685" w:hanging="1133"/>
              <w:rPr>
                <w:sz w:val="28"/>
              </w:rPr>
            </w:pPr>
            <w:r>
              <w:rPr>
                <w:sz w:val="28"/>
              </w:rPr>
              <w:t>Отсутствие чувствительности к прогестинам</w:t>
            </w:r>
          </w:p>
        </w:tc>
        <w:tc>
          <w:tcPr>
            <w:tcW w:w="3029" w:type="dxa"/>
          </w:tcPr>
          <w:p>
            <w:pPr>
              <w:pStyle w:val="TableParagraph"/>
              <w:spacing w:before="153"/>
              <w:ind w:left="1314" w:right="1314"/>
              <w:jc w:val="center"/>
              <w:rPr>
                <w:sz w:val="28"/>
              </w:rPr>
            </w:pPr>
            <w:r>
              <w:rPr>
                <w:sz w:val="28"/>
              </w:rPr>
              <w:t>5,9</w:t>
            </w:r>
          </w:p>
        </w:tc>
        <w:tc>
          <w:tcPr>
            <w:tcW w:w="876" w:type="dxa"/>
          </w:tcPr>
          <w:p>
            <w:pPr>
              <w:pStyle w:val="TableParagraph"/>
              <w:spacing w:before="153"/>
              <w:ind w:left="97" w:right="99"/>
              <w:jc w:val="center"/>
              <w:rPr>
                <w:sz w:val="28"/>
              </w:rPr>
            </w:pPr>
            <w:r>
              <w:rPr>
                <w:sz w:val="28"/>
              </w:rPr>
              <w:t>0,001</w:t>
            </w:r>
          </w:p>
        </w:tc>
      </w:tr>
    </w:tbl>
    <w:p>
      <w:pPr>
        <w:pStyle w:val="BodyText"/>
        <w:rPr>
          <w:sz w:val="30"/>
        </w:rPr>
      </w:pPr>
    </w:p>
    <w:p>
      <w:pPr>
        <w:pStyle w:val="BodyText"/>
        <w:spacing w:before="7"/>
      </w:pPr>
    </w:p>
    <w:p>
      <w:pPr>
        <w:pStyle w:val="BodyText"/>
        <w:spacing w:line="360" w:lineRule="auto"/>
        <w:ind w:left="222" w:right="105" w:firstLine="347"/>
        <w:jc w:val="both"/>
      </w:pPr>
      <w:r>
        <w:rPr/>
        <w:t>Для объяснения негативного и позитивного прогностического значения каждого из факторов, приведенных в таблицах, применима следующая логика рассуждений: например, высокий риск метастазирования в регионарные лимфатические узлы и яичники, а, следовательно, и высокий</w:t>
      </w:r>
    </w:p>
    <w:p>
      <w:pPr>
        <w:spacing w:after="0" w:line="360" w:lineRule="auto"/>
        <w:jc w:val="both"/>
        <w:sectPr>
          <w:pgSz w:w="11900" w:h="16850"/>
          <w:pgMar w:header="712" w:footer="0" w:top="1020" w:bottom="280" w:left="1480" w:right="1020"/>
        </w:sectPr>
      </w:pPr>
    </w:p>
    <w:p>
      <w:pPr>
        <w:pStyle w:val="BodyText"/>
        <w:rPr>
          <w:sz w:val="20"/>
        </w:rPr>
      </w:pPr>
    </w:p>
    <w:p>
      <w:pPr>
        <w:pStyle w:val="BodyText"/>
        <w:rPr>
          <w:sz w:val="20"/>
        </w:rPr>
      </w:pPr>
    </w:p>
    <w:p>
      <w:pPr>
        <w:pStyle w:val="BodyText"/>
        <w:spacing w:line="360" w:lineRule="auto" w:before="224"/>
        <w:ind w:left="102" w:right="100"/>
        <w:jc w:val="both"/>
      </w:pPr>
      <w:r>
        <w:rPr/>
        <w:t>риск летального исхода при втором патогенетическом варианте по сравнению с первым, объясняется концентрацией у больных автономным типом многих других негативных прогностических факторов – снижение степени дифференцировки, глубокая инвазия, т.д. Выраженная гормоночувствительность, наоборот, заметно снижает риск летального исхода по двум причинам. Во-первых, этот признак ассоциирован с рядом других позитивных особенностей: высокая дифференцировка  и содержание рецепторов прогестерона и эстрадиола. Во-вторых, высокая чувствительность к прогестагенам определяет клиническую  эффективность адъювантной гормонотерапии у больных с неблагоприятным прогнозом</w:t>
      </w:r>
      <w:r>
        <w:rPr>
          <w:spacing w:val="-15"/>
        </w:rPr>
        <w:t> </w:t>
      </w:r>
      <w:r>
        <w:rPr/>
        <w:t>заболевания.</w:t>
      </w:r>
    </w:p>
    <w:p>
      <w:pPr>
        <w:pStyle w:val="BodyText"/>
        <w:spacing w:line="360" w:lineRule="auto" w:before="207"/>
        <w:ind w:left="102" w:right="102" w:firstLine="707"/>
        <w:jc w:val="both"/>
      </w:pPr>
      <w:r>
        <w:rPr/>
        <w:t>Результаты расчета относительных рисков, приведенные в таблице 3.20, позволяют проводить индивидуальное планирование  лечения больных раком эндометрия с учетом наличия факторов, отягчающих прогноз. Учитывая цели и задачи настоящего исследования, мы не стали останавливаться на уточнении показаний к назначению адъювантной терапии.</w:t>
      </w:r>
    </w:p>
    <w:p>
      <w:pPr>
        <w:pStyle w:val="BodyText"/>
        <w:rPr>
          <w:sz w:val="30"/>
        </w:rPr>
      </w:pPr>
    </w:p>
    <w:p>
      <w:pPr>
        <w:pStyle w:val="BodyText"/>
        <w:rPr>
          <w:sz w:val="30"/>
        </w:rPr>
      </w:pPr>
    </w:p>
    <w:p>
      <w:pPr>
        <w:pStyle w:val="Heading1"/>
        <w:numPr>
          <w:ilvl w:val="2"/>
          <w:numId w:val="21"/>
        </w:numPr>
        <w:tabs>
          <w:tab w:pos="1028" w:val="left" w:leader="none"/>
        </w:tabs>
        <w:spacing w:line="240" w:lineRule="auto" w:before="203" w:after="0"/>
        <w:ind w:left="1027" w:right="0" w:hanging="700"/>
        <w:jc w:val="left"/>
      </w:pPr>
      <w:r>
        <w:rPr/>
        <w:t>Выбор  хирургического доступа  у больных раком</w:t>
      </w:r>
      <w:r>
        <w:rPr>
          <w:spacing w:val="-23"/>
        </w:rPr>
        <w:t> </w:t>
      </w:r>
      <w:r>
        <w:rPr/>
        <w:t>эндометрия</w:t>
      </w:r>
    </w:p>
    <w:p>
      <w:pPr>
        <w:pStyle w:val="BodyText"/>
        <w:spacing w:before="10"/>
        <w:rPr>
          <w:b/>
          <w:sz w:val="30"/>
        </w:rPr>
      </w:pPr>
    </w:p>
    <w:p>
      <w:pPr>
        <w:pStyle w:val="BodyText"/>
        <w:spacing w:line="360" w:lineRule="auto"/>
        <w:ind w:left="102" w:right="105" w:firstLine="487"/>
        <w:jc w:val="both"/>
      </w:pPr>
      <w:r>
        <w:rPr/>
        <w:t>Целью данного раздела работы явилось сравнение результатов различных вариантов хирургического доступа и оценка их возможного влияния на риски интра- и послеоперационных осложнений, непосредственные и отдаленные результаты лечения и  прогноз заболевания у больных  раком эндометрия.</w:t>
      </w:r>
    </w:p>
    <w:p>
      <w:pPr>
        <w:pStyle w:val="BodyText"/>
        <w:spacing w:line="360" w:lineRule="auto" w:before="207"/>
        <w:ind w:left="102" w:right="106" w:firstLine="719"/>
        <w:jc w:val="both"/>
      </w:pPr>
      <w:r>
        <w:rPr/>
        <w:t>Распределение больных раком тела матки в зависимости от примененного доступа и объема хирургического лечения представлено в следующей таблице (Табл. 3.21).</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before="224"/>
        <w:ind w:left="892" w:firstLine="6740"/>
      </w:pPr>
      <w:r>
        <w:rPr/>
        <w:t>Таблица 3.21</w:t>
      </w:r>
    </w:p>
    <w:p>
      <w:pPr>
        <w:pStyle w:val="BodyText"/>
        <w:spacing w:before="3"/>
        <w:rPr>
          <w:sz w:val="31"/>
        </w:rPr>
      </w:pPr>
    </w:p>
    <w:p>
      <w:pPr>
        <w:pStyle w:val="BodyText"/>
        <w:spacing w:line="362" w:lineRule="auto"/>
        <w:ind w:left="2625" w:right="263" w:hanging="1734"/>
      </w:pPr>
      <w:r>
        <w:rPr/>
        <w:t>Распределение больных раком эндометрия в зависимости от доступа и объема хирургического лечения</w:t>
      </w:r>
    </w:p>
    <w:p>
      <w:pPr>
        <w:pStyle w:val="BodyText"/>
        <w:spacing w:before="1"/>
        <w:rPr>
          <w:sz w:val="1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7"/>
        <w:gridCol w:w="1947"/>
        <w:gridCol w:w="2888"/>
        <w:gridCol w:w="2890"/>
      </w:tblGrid>
      <w:tr>
        <w:trPr>
          <w:trHeight w:val="1942" w:hRule="exact"/>
        </w:trPr>
        <w:tc>
          <w:tcPr>
            <w:tcW w:w="1457" w:type="dxa"/>
          </w:tcPr>
          <w:p>
            <w:pPr/>
          </w:p>
        </w:tc>
        <w:tc>
          <w:tcPr>
            <w:tcW w:w="1947" w:type="dxa"/>
          </w:tcPr>
          <w:p>
            <w:pPr>
              <w:pStyle w:val="TableParagraph"/>
              <w:spacing w:line="360" w:lineRule="auto" w:before="235"/>
              <w:ind w:left="184" w:right="189"/>
              <w:jc w:val="center"/>
              <w:rPr>
                <w:sz w:val="28"/>
              </w:rPr>
            </w:pPr>
            <w:r>
              <w:rPr>
                <w:sz w:val="28"/>
              </w:rPr>
              <w:t>Экстирпация матки с придатками</w:t>
            </w:r>
          </w:p>
        </w:tc>
        <w:tc>
          <w:tcPr>
            <w:tcW w:w="2888" w:type="dxa"/>
          </w:tcPr>
          <w:p>
            <w:pPr>
              <w:pStyle w:val="TableParagraph"/>
              <w:spacing w:line="360" w:lineRule="auto" w:before="235"/>
              <w:ind w:left="122" w:right="128" w:firstLine="48"/>
              <w:jc w:val="both"/>
              <w:rPr>
                <w:sz w:val="28"/>
              </w:rPr>
            </w:pPr>
            <w:r>
              <w:rPr>
                <w:sz w:val="28"/>
              </w:rPr>
              <w:t>Экстирпация матки с придатками и тазовой лимфаденэктомией</w:t>
            </w:r>
          </w:p>
        </w:tc>
        <w:tc>
          <w:tcPr>
            <w:tcW w:w="2890" w:type="dxa"/>
          </w:tcPr>
          <w:p>
            <w:pPr>
              <w:pStyle w:val="TableParagraph"/>
              <w:spacing w:line="360" w:lineRule="auto"/>
              <w:ind w:left="172" w:right="172"/>
              <w:jc w:val="center"/>
              <w:rPr>
                <w:sz w:val="28"/>
              </w:rPr>
            </w:pPr>
            <w:r>
              <w:rPr>
                <w:sz w:val="28"/>
              </w:rPr>
              <w:t>Экстирпация матки с придатками, тазовой лимфаденэктомией, оментэктомией</w:t>
            </w:r>
          </w:p>
        </w:tc>
      </w:tr>
      <w:tr>
        <w:trPr>
          <w:trHeight w:val="1459" w:hRule="exact"/>
        </w:trPr>
        <w:tc>
          <w:tcPr>
            <w:tcW w:w="1457" w:type="dxa"/>
          </w:tcPr>
          <w:p>
            <w:pPr>
              <w:pStyle w:val="TableParagraph"/>
              <w:spacing w:line="360" w:lineRule="auto"/>
              <w:ind w:left="215" w:right="183"/>
              <w:jc w:val="center"/>
              <w:rPr>
                <w:sz w:val="28"/>
              </w:rPr>
            </w:pPr>
            <w:r>
              <w:rPr>
                <w:sz w:val="28"/>
              </w:rPr>
              <w:t>Лапаро- томия (n=1289)</w:t>
            </w:r>
          </w:p>
        </w:tc>
        <w:tc>
          <w:tcPr>
            <w:tcW w:w="1947" w:type="dxa"/>
          </w:tcPr>
          <w:p>
            <w:pPr>
              <w:pStyle w:val="TableParagraph"/>
              <w:spacing w:before="36"/>
              <w:ind w:left="184" w:right="185"/>
              <w:jc w:val="center"/>
              <w:rPr>
                <w:sz w:val="28"/>
              </w:rPr>
            </w:pPr>
            <w:r>
              <w:rPr>
                <w:sz w:val="28"/>
              </w:rPr>
              <w:t>401</w:t>
            </w:r>
          </w:p>
          <w:p>
            <w:pPr>
              <w:pStyle w:val="TableParagraph"/>
              <w:spacing w:before="2"/>
              <w:rPr>
                <w:sz w:val="31"/>
              </w:rPr>
            </w:pPr>
          </w:p>
          <w:p>
            <w:pPr>
              <w:pStyle w:val="TableParagraph"/>
              <w:spacing w:before="1"/>
              <w:ind w:left="184" w:right="186"/>
              <w:jc w:val="center"/>
              <w:rPr>
                <w:sz w:val="28"/>
              </w:rPr>
            </w:pPr>
            <w:r>
              <w:rPr>
                <w:sz w:val="28"/>
              </w:rPr>
              <w:t>(31,2%)</w:t>
            </w:r>
          </w:p>
        </w:tc>
        <w:tc>
          <w:tcPr>
            <w:tcW w:w="2888" w:type="dxa"/>
          </w:tcPr>
          <w:p>
            <w:pPr>
              <w:pStyle w:val="TableParagraph"/>
              <w:spacing w:before="36"/>
              <w:ind w:left="921" w:right="923"/>
              <w:jc w:val="center"/>
              <w:rPr>
                <w:sz w:val="28"/>
              </w:rPr>
            </w:pPr>
            <w:r>
              <w:rPr>
                <w:sz w:val="28"/>
              </w:rPr>
              <w:t>837</w:t>
            </w:r>
          </w:p>
          <w:p>
            <w:pPr>
              <w:pStyle w:val="TableParagraph"/>
              <w:spacing w:before="2"/>
              <w:rPr>
                <w:sz w:val="31"/>
              </w:rPr>
            </w:pPr>
          </w:p>
          <w:p>
            <w:pPr>
              <w:pStyle w:val="TableParagraph"/>
              <w:spacing w:before="1"/>
              <w:ind w:left="922" w:right="923"/>
              <w:jc w:val="center"/>
              <w:rPr>
                <w:sz w:val="28"/>
              </w:rPr>
            </w:pPr>
            <w:r>
              <w:rPr>
                <w:sz w:val="28"/>
              </w:rPr>
              <w:t>(64,9%)</w:t>
            </w:r>
          </w:p>
        </w:tc>
        <w:tc>
          <w:tcPr>
            <w:tcW w:w="2890" w:type="dxa"/>
          </w:tcPr>
          <w:p>
            <w:pPr>
              <w:pStyle w:val="TableParagraph"/>
              <w:spacing w:before="36"/>
              <w:ind w:left="172" w:right="172"/>
              <w:jc w:val="center"/>
              <w:rPr>
                <w:sz w:val="28"/>
              </w:rPr>
            </w:pPr>
            <w:r>
              <w:rPr>
                <w:sz w:val="28"/>
              </w:rPr>
              <w:t>51</w:t>
            </w:r>
          </w:p>
          <w:p>
            <w:pPr>
              <w:pStyle w:val="TableParagraph"/>
              <w:spacing w:before="2"/>
              <w:rPr>
                <w:sz w:val="31"/>
              </w:rPr>
            </w:pPr>
          </w:p>
          <w:p>
            <w:pPr>
              <w:pStyle w:val="TableParagraph"/>
              <w:spacing w:before="1"/>
              <w:ind w:left="172" w:right="172"/>
              <w:jc w:val="center"/>
              <w:rPr>
                <w:sz w:val="28"/>
              </w:rPr>
            </w:pPr>
            <w:r>
              <w:rPr>
                <w:sz w:val="28"/>
              </w:rPr>
              <w:t>(3,9%)</w:t>
            </w:r>
          </w:p>
        </w:tc>
      </w:tr>
      <w:tr>
        <w:trPr>
          <w:trHeight w:val="1460" w:hRule="exact"/>
        </w:trPr>
        <w:tc>
          <w:tcPr>
            <w:tcW w:w="1457" w:type="dxa"/>
          </w:tcPr>
          <w:p>
            <w:pPr>
              <w:pStyle w:val="TableParagraph"/>
              <w:spacing w:line="360" w:lineRule="auto"/>
              <w:ind w:left="160" w:right="348" w:hanging="29"/>
              <w:jc w:val="both"/>
              <w:rPr>
                <w:sz w:val="28"/>
              </w:rPr>
            </w:pPr>
            <w:r>
              <w:rPr>
                <w:sz w:val="28"/>
              </w:rPr>
              <w:t>Лапаро- скопия (n=756)</w:t>
            </w:r>
          </w:p>
        </w:tc>
        <w:tc>
          <w:tcPr>
            <w:tcW w:w="1947" w:type="dxa"/>
          </w:tcPr>
          <w:p>
            <w:pPr>
              <w:pStyle w:val="TableParagraph"/>
              <w:spacing w:before="33"/>
              <w:ind w:left="184" w:right="185"/>
              <w:jc w:val="center"/>
              <w:rPr>
                <w:sz w:val="28"/>
              </w:rPr>
            </w:pPr>
            <w:r>
              <w:rPr>
                <w:sz w:val="28"/>
              </w:rPr>
              <w:t>227</w:t>
            </w:r>
          </w:p>
          <w:p>
            <w:pPr>
              <w:pStyle w:val="TableParagraph"/>
              <w:spacing w:before="4"/>
              <w:rPr>
                <w:sz w:val="31"/>
              </w:rPr>
            </w:pPr>
          </w:p>
          <w:p>
            <w:pPr>
              <w:pStyle w:val="TableParagraph"/>
              <w:ind w:left="184" w:right="186"/>
              <w:jc w:val="center"/>
              <w:rPr>
                <w:sz w:val="28"/>
              </w:rPr>
            </w:pPr>
            <w:r>
              <w:rPr>
                <w:sz w:val="28"/>
              </w:rPr>
              <w:t>(30,0%)</w:t>
            </w:r>
          </w:p>
        </w:tc>
        <w:tc>
          <w:tcPr>
            <w:tcW w:w="2888" w:type="dxa"/>
          </w:tcPr>
          <w:p>
            <w:pPr>
              <w:pStyle w:val="TableParagraph"/>
              <w:spacing w:before="33"/>
              <w:ind w:left="963" w:right="882"/>
              <w:jc w:val="center"/>
              <w:rPr>
                <w:sz w:val="28"/>
              </w:rPr>
            </w:pPr>
            <w:r>
              <w:rPr>
                <w:sz w:val="28"/>
              </w:rPr>
              <w:t>523</w:t>
            </w:r>
          </w:p>
          <w:p>
            <w:pPr>
              <w:pStyle w:val="TableParagraph"/>
              <w:spacing w:before="4"/>
              <w:rPr>
                <w:sz w:val="31"/>
              </w:rPr>
            </w:pPr>
          </w:p>
          <w:p>
            <w:pPr>
              <w:pStyle w:val="TableParagraph"/>
              <w:ind w:left="963" w:right="882"/>
              <w:jc w:val="center"/>
              <w:rPr>
                <w:sz w:val="28"/>
              </w:rPr>
            </w:pPr>
            <w:r>
              <w:rPr>
                <w:sz w:val="28"/>
              </w:rPr>
              <w:t>(69,2%)</w:t>
            </w:r>
          </w:p>
        </w:tc>
        <w:tc>
          <w:tcPr>
            <w:tcW w:w="2890" w:type="dxa"/>
          </w:tcPr>
          <w:p>
            <w:pPr>
              <w:pStyle w:val="TableParagraph"/>
              <w:spacing w:before="33"/>
              <w:ind w:left="1"/>
              <w:jc w:val="center"/>
              <w:rPr>
                <w:sz w:val="28"/>
              </w:rPr>
            </w:pPr>
            <w:r>
              <w:rPr>
                <w:w w:val="100"/>
                <w:sz w:val="28"/>
              </w:rPr>
              <w:t>6</w:t>
            </w:r>
          </w:p>
          <w:p>
            <w:pPr>
              <w:pStyle w:val="TableParagraph"/>
              <w:spacing w:before="4"/>
              <w:rPr>
                <w:sz w:val="31"/>
              </w:rPr>
            </w:pPr>
          </w:p>
          <w:p>
            <w:pPr>
              <w:pStyle w:val="TableParagraph"/>
              <w:ind w:left="172" w:right="172"/>
              <w:jc w:val="center"/>
              <w:rPr>
                <w:sz w:val="28"/>
              </w:rPr>
            </w:pPr>
            <w:r>
              <w:rPr>
                <w:sz w:val="28"/>
              </w:rPr>
              <w:t>(0,8%)</w:t>
            </w:r>
          </w:p>
        </w:tc>
      </w:tr>
    </w:tbl>
    <w:p>
      <w:pPr>
        <w:pStyle w:val="BodyText"/>
        <w:rPr>
          <w:sz w:val="30"/>
        </w:rPr>
      </w:pPr>
    </w:p>
    <w:p>
      <w:pPr>
        <w:pStyle w:val="BodyText"/>
        <w:spacing w:before="10"/>
      </w:pPr>
    </w:p>
    <w:p>
      <w:pPr>
        <w:pStyle w:val="BodyText"/>
        <w:spacing w:line="360" w:lineRule="auto"/>
        <w:ind w:left="122" w:right="220" w:firstLine="789"/>
        <w:jc w:val="both"/>
      </w:pPr>
      <w:r>
        <w:rPr/>
        <w:t>Учитывая особенности включения больных в обе группы исследования по большинству характеристик организма и опухоли, а  также по объему выполненных хирургических вмешательств, они оказались практически идентичными. Подобное распределение пациентов позволило объективно оценить достоинства и недостатки сравниваемых хирургических доступов. На сегодняшний день преимущества лапароскопических операций очевидны у пациентов без выраженной сопутствующей патологии. Таких больных в проспективной группе оказалось около 35%. Во всех остальных наблюдениях отмечались разнообразные сопутствующие заболевания, среди которых превалировали ожирение различной степени и сердечно-сосудистая</w:t>
      </w:r>
      <w:r>
        <w:rPr>
          <w:spacing w:val="-17"/>
        </w:rPr>
        <w:t> </w:t>
      </w:r>
      <w:r>
        <w:rPr/>
        <w:t>патология.</w:t>
      </w:r>
    </w:p>
    <w:p>
      <w:pPr>
        <w:spacing w:after="0" w:line="360" w:lineRule="auto"/>
        <w:jc w:val="both"/>
        <w:sectPr>
          <w:pgSz w:w="11900" w:h="16850"/>
          <w:pgMar w:header="712" w:footer="0" w:top="1020" w:bottom="280" w:left="1580" w:right="900"/>
        </w:sectPr>
      </w:pPr>
    </w:p>
    <w:p>
      <w:pPr>
        <w:pStyle w:val="BodyText"/>
        <w:rPr>
          <w:sz w:val="20"/>
        </w:rPr>
      </w:pPr>
    </w:p>
    <w:p>
      <w:pPr>
        <w:pStyle w:val="BodyText"/>
        <w:rPr>
          <w:sz w:val="20"/>
        </w:rPr>
      </w:pPr>
    </w:p>
    <w:p>
      <w:pPr>
        <w:pStyle w:val="BodyText"/>
        <w:spacing w:line="360" w:lineRule="auto" w:before="224"/>
        <w:ind w:left="122" w:right="129" w:firstLine="789"/>
        <w:jc w:val="both"/>
      </w:pPr>
      <w:r>
        <w:rPr/>
        <w:t>Распределение больных раком тела матки в зависимости от ИМТ и объема хирургического лечения явилось предметом отдельного изучения (Табл. 3.22).</w:t>
      </w:r>
    </w:p>
    <w:p>
      <w:pPr>
        <w:pStyle w:val="BodyText"/>
        <w:rPr>
          <w:sz w:val="30"/>
        </w:rPr>
      </w:pPr>
    </w:p>
    <w:p>
      <w:pPr>
        <w:pStyle w:val="BodyText"/>
        <w:spacing w:line="680" w:lineRule="atLeast" w:before="185"/>
        <w:ind w:left="945" w:right="105" w:firstLine="6688"/>
      </w:pPr>
      <w:r>
        <w:rPr/>
        <w:t>Таблица 3.22 Распределение больных раком эндометрия в зависимости от ИМТ и</w:t>
      </w:r>
    </w:p>
    <w:p>
      <w:pPr>
        <w:pStyle w:val="BodyText"/>
        <w:spacing w:line="322" w:lineRule="exact"/>
        <w:ind w:left="921" w:right="923"/>
        <w:jc w:val="center"/>
      </w:pPr>
      <w:r>
        <w:rPr/>
        <w:t>объема операции</w:t>
      </w:r>
    </w:p>
    <w:p>
      <w:pPr>
        <w:pStyle w:val="BodyText"/>
        <w:spacing w:before="1" w:after="1"/>
        <w:rPr>
          <w:sz w:val="1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1844"/>
        <w:gridCol w:w="2268"/>
        <w:gridCol w:w="2269"/>
        <w:gridCol w:w="1133"/>
      </w:tblGrid>
      <w:tr>
        <w:trPr>
          <w:trHeight w:val="2585" w:hRule="exact"/>
        </w:trPr>
        <w:tc>
          <w:tcPr>
            <w:tcW w:w="1560" w:type="dxa"/>
          </w:tcPr>
          <w:p>
            <w:pPr>
              <w:pStyle w:val="TableParagraph"/>
              <w:rPr>
                <w:sz w:val="30"/>
              </w:rPr>
            </w:pPr>
          </w:p>
          <w:p>
            <w:pPr>
              <w:pStyle w:val="TableParagraph"/>
              <w:spacing w:line="303" w:lineRule="exact" w:before="253"/>
              <w:ind w:left="463"/>
              <w:rPr>
                <w:sz w:val="28"/>
              </w:rPr>
            </w:pPr>
            <w:r>
              <w:rPr>
                <w:sz w:val="28"/>
              </w:rPr>
              <w:t>ИМТ</w:t>
            </w:r>
          </w:p>
          <w:p>
            <w:pPr>
              <w:pStyle w:val="TableParagraph"/>
              <w:spacing w:line="340" w:lineRule="exact"/>
              <w:ind w:left="383"/>
              <w:rPr>
                <w:sz w:val="28"/>
              </w:rPr>
            </w:pPr>
            <w:r>
              <w:rPr>
                <w:sz w:val="28"/>
              </w:rPr>
              <w:t>(кг/м</w:t>
            </w:r>
            <w:r>
              <w:rPr>
                <w:position w:val="13"/>
                <w:sz w:val="18"/>
              </w:rPr>
              <w:t>2</w:t>
            </w:r>
            <w:r>
              <w:rPr>
                <w:sz w:val="28"/>
              </w:rPr>
              <w:t>)</w:t>
            </w:r>
          </w:p>
        </w:tc>
        <w:tc>
          <w:tcPr>
            <w:tcW w:w="1844" w:type="dxa"/>
          </w:tcPr>
          <w:p>
            <w:pPr>
              <w:pStyle w:val="TableParagraph"/>
              <w:rPr>
                <w:sz w:val="30"/>
              </w:rPr>
            </w:pPr>
          </w:p>
          <w:p>
            <w:pPr>
              <w:pStyle w:val="TableParagraph"/>
              <w:spacing w:before="3"/>
              <w:rPr>
                <w:sz w:val="25"/>
              </w:rPr>
            </w:pPr>
          </w:p>
          <w:p>
            <w:pPr>
              <w:pStyle w:val="TableParagraph"/>
              <w:ind w:left="134" w:right="136"/>
              <w:jc w:val="center"/>
              <w:rPr>
                <w:sz w:val="28"/>
              </w:rPr>
            </w:pPr>
            <w:r>
              <w:rPr>
                <w:sz w:val="28"/>
              </w:rPr>
              <w:t>Экстирпация матки с придатками</w:t>
            </w:r>
          </w:p>
        </w:tc>
        <w:tc>
          <w:tcPr>
            <w:tcW w:w="2268" w:type="dxa"/>
          </w:tcPr>
          <w:p>
            <w:pPr>
              <w:pStyle w:val="TableParagraph"/>
              <w:spacing w:before="153"/>
              <w:ind w:left="225" w:right="228" w:hanging="2"/>
              <w:jc w:val="center"/>
              <w:rPr>
                <w:sz w:val="28"/>
              </w:rPr>
            </w:pPr>
            <w:r>
              <w:rPr>
                <w:sz w:val="28"/>
              </w:rPr>
              <w:t>Экстирпация матки с придатками и тазовой лимфаденэкто- мией</w:t>
            </w:r>
          </w:p>
        </w:tc>
        <w:tc>
          <w:tcPr>
            <w:tcW w:w="2269" w:type="dxa"/>
          </w:tcPr>
          <w:p>
            <w:pPr>
              <w:pStyle w:val="TableParagraph"/>
              <w:ind w:left="88" w:right="94"/>
              <w:jc w:val="center"/>
              <w:rPr>
                <w:sz w:val="28"/>
              </w:rPr>
            </w:pPr>
            <w:r>
              <w:rPr>
                <w:sz w:val="28"/>
              </w:rPr>
              <w:t>Экстирпация матки с придатками, тазовой лимфаденэкто- мией, оментэктомией</w:t>
            </w:r>
          </w:p>
        </w:tc>
        <w:tc>
          <w:tcPr>
            <w:tcW w:w="1133" w:type="dxa"/>
          </w:tcPr>
          <w:p>
            <w:pPr>
              <w:pStyle w:val="TableParagraph"/>
              <w:rPr>
                <w:sz w:val="30"/>
              </w:rPr>
            </w:pPr>
          </w:p>
          <w:p>
            <w:pPr>
              <w:pStyle w:val="TableParagraph"/>
              <w:spacing w:before="6"/>
              <w:rPr>
                <w:sz w:val="44"/>
              </w:rPr>
            </w:pPr>
          </w:p>
          <w:p>
            <w:pPr>
              <w:pStyle w:val="TableParagraph"/>
              <w:ind w:left="213"/>
              <w:rPr>
                <w:sz w:val="28"/>
              </w:rPr>
            </w:pPr>
            <w:r>
              <w:rPr>
                <w:sz w:val="28"/>
              </w:rPr>
              <w:t>Всего</w:t>
            </w:r>
          </w:p>
        </w:tc>
      </w:tr>
      <w:tr>
        <w:trPr>
          <w:trHeight w:val="1054" w:hRule="exact"/>
        </w:trPr>
        <w:tc>
          <w:tcPr>
            <w:tcW w:w="1560" w:type="dxa"/>
          </w:tcPr>
          <w:p>
            <w:pPr>
              <w:pStyle w:val="TableParagraph"/>
              <w:spacing w:before="31"/>
              <w:ind w:left="115" w:right="110" w:hanging="6"/>
              <w:jc w:val="center"/>
              <w:rPr>
                <w:sz w:val="28"/>
              </w:rPr>
            </w:pPr>
            <w:r>
              <w:rPr>
                <w:sz w:val="28"/>
              </w:rPr>
              <w:t>Норма, избыток массы тела</w:t>
            </w:r>
          </w:p>
        </w:tc>
        <w:tc>
          <w:tcPr>
            <w:tcW w:w="1844" w:type="dxa"/>
          </w:tcPr>
          <w:p>
            <w:pPr>
              <w:pStyle w:val="TableParagraph"/>
              <w:spacing w:line="315" w:lineRule="exact"/>
              <w:ind w:left="134" w:right="134"/>
              <w:jc w:val="center"/>
              <w:rPr>
                <w:sz w:val="28"/>
              </w:rPr>
            </w:pPr>
            <w:r>
              <w:rPr>
                <w:sz w:val="28"/>
              </w:rPr>
              <w:t>57</w:t>
            </w:r>
          </w:p>
          <w:p>
            <w:pPr>
              <w:pStyle w:val="TableParagraph"/>
              <w:spacing w:before="201"/>
              <w:ind w:left="134" w:right="135"/>
              <w:jc w:val="center"/>
              <w:rPr>
                <w:sz w:val="28"/>
              </w:rPr>
            </w:pPr>
            <w:r>
              <w:rPr>
                <w:sz w:val="28"/>
              </w:rPr>
              <w:t>(21,6%)</w:t>
            </w:r>
          </w:p>
        </w:tc>
        <w:tc>
          <w:tcPr>
            <w:tcW w:w="2268" w:type="dxa"/>
          </w:tcPr>
          <w:p>
            <w:pPr>
              <w:pStyle w:val="TableParagraph"/>
              <w:spacing w:line="315" w:lineRule="exact"/>
              <w:ind w:left="226" w:right="228"/>
              <w:jc w:val="center"/>
              <w:rPr>
                <w:sz w:val="28"/>
              </w:rPr>
            </w:pPr>
            <w:r>
              <w:rPr>
                <w:sz w:val="28"/>
              </w:rPr>
              <w:t>204</w:t>
            </w:r>
          </w:p>
          <w:p>
            <w:pPr>
              <w:pStyle w:val="TableParagraph"/>
              <w:spacing w:before="201"/>
              <w:ind w:left="226" w:right="163"/>
              <w:jc w:val="center"/>
              <w:rPr>
                <w:sz w:val="28"/>
              </w:rPr>
            </w:pPr>
            <w:r>
              <w:rPr>
                <w:sz w:val="28"/>
              </w:rPr>
              <w:t>(77,3%)</w:t>
            </w:r>
          </w:p>
        </w:tc>
        <w:tc>
          <w:tcPr>
            <w:tcW w:w="2269" w:type="dxa"/>
          </w:tcPr>
          <w:p>
            <w:pPr>
              <w:pStyle w:val="TableParagraph"/>
              <w:spacing w:line="315" w:lineRule="exact"/>
              <w:ind w:right="4"/>
              <w:jc w:val="center"/>
              <w:rPr>
                <w:sz w:val="28"/>
              </w:rPr>
            </w:pPr>
            <w:r>
              <w:rPr>
                <w:w w:val="100"/>
                <w:sz w:val="28"/>
              </w:rPr>
              <w:t>3</w:t>
            </w:r>
          </w:p>
          <w:p>
            <w:pPr>
              <w:pStyle w:val="TableParagraph"/>
              <w:spacing w:before="201"/>
              <w:ind w:left="88" w:right="88"/>
              <w:jc w:val="center"/>
              <w:rPr>
                <w:sz w:val="28"/>
              </w:rPr>
            </w:pPr>
            <w:r>
              <w:rPr>
                <w:sz w:val="28"/>
              </w:rPr>
              <w:t>(1,1%)</w:t>
            </w:r>
          </w:p>
        </w:tc>
        <w:tc>
          <w:tcPr>
            <w:tcW w:w="1133" w:type="dxa"/>
          </w:tcPr>
          <w:p>
            <w:pPr>
              <w:pStyle w:val="TableParagraph"/>
              <w:spacing w:line="322" w:lineRule="exact" w:before="94"/>
              <w:ind w:left="54" w:right="58"/>
              <w:jc w:val="center"/>
              <w:rPr>
                <w:sz w:val="28"/>
              </w:rPr>
            </w:pPr>
            <w:r>
              <w:rPr>
                <w:sz w:val="28"/>
              </w:rPr>
              <w:t>264</w:t>
            </w:r>
          </w:p>
          <w:p>
            <w:pPr>
              <w:pStyle w:val="TableParagraph"/>
              <w:ind w:left="55" w:right="58"/>
              <w:jc w:val="center"/>
              <w:rPr>
                <w:sz w:val="28"/>
              </w:rPr>
            </w:pPr>
            <w:r>
              <w:rPr>
                <w:sz w:val="28"/>
              </w:rPr>
              <w:t>(34,9%)</w:t>
            </w:r>
          </w:p>
        </w:tc>
      </w:tr>
      <w:tr>
        <w:trPr>
          <w:trHeight w:val="1298" w:hRule="exact"/>
        </w:trPr>
        <w:tc>
          <w:tcPr>
            <w:tcW w:w="1560" w:type="dxa"/>
          </w:tcPr>
          <w:p>
            <w:pPr>
              <w:pStyle w:val="TableParagraph"/>
              <w:ind w:left="220" w:right="154" w:hanging="63"/>
              <w:jc w:val="both"/>
              <w:rPr>
                <w:sz w:val="28"/>
              </w:rPr>
            </w:pPr>
            <w:r>
              <w:rPr>
                <w:sz w:val="28"/>
              </w:rPr>
              <w:t>Ожирение I степени ИМТ 30-</w:t>
            </w:r>
          </w:p>
          <w:p>
            <w:pPr>
              <w:pStyle w:val="TableParagraph"/>
              <w:spacing w:line="322" w:lineRule="exact" w:before="7"/>
              <w:ind w:left="85" w:right="85"/>
              <w:jc w:val="center"/>
              <w:rPr>
                <w:sz w:val="28"/>
              </w:rPr>
            </w:pPr>
            <w:r>
              <w:rPr>
                <w:sz w:val="28"/>
              </w:rPr>
              <w:t>35</w:t>
            </w:r>
          </w:p>
        </w:tc>
        <w:tc>
          <w:tcPr>
            <w:tcW w:w="1844" w:type="dxa"/>
          </w:tcPr>
          <w:p>
            <w:pPr>
              <w:pStyle w:val="TableParagraph"/>
              <w:spacing w:before="115"/>
              <w:ind w:left="134" w:right="134"/>
              <w:jc w:val="center"/>
              <w:rPr>
                <w:sz w:val="28"/>
              </w:rPr>
            </w:pPr>
            <w:r>
              <w:rPr>
                <w:sz w:val="28"/>
              </w:rPr>
              <w:t>41</w:t>
            </w:r>
          </w:p>
          <w:p>
            <w:pPr>
              <w:pStyle w:val="TableParagraph"/>
              <w:spacing w:before="201"/>
              <w:ind w:left="134" w:right="135"/>
              <w:jc w:val="center"/>
              <w:rPr>
                <w:sz w:val="28"/>
              </w:rPr>
            </w:pPr>
            <w:r>
              <w:rPr>
                <w:sz w:val="28"/>
              </w:rPr>
              <w:t>(16,0%)</w:t>
            </w:r>
          </w:p>
        </w:tc>
        <w:tc>
          <w:tcPr>
            <w:tcW w:w="2268" w:type="dxa"/>
          </w:tcPr>
          <w:p>
            <w:pPr>
              <w:pStyle w:val="TableParagraph"/>
              <w:spacing w:before="115"/>
              <w:ind w:left="226" w:right="228"/>
              <w:jc w:val="center"/>
              <w:rPr>
                <w:sz w:val="28"/>
              </w:rPr>
            </w:pPr>
            <w:r>
              <w:rPr>
                <w:sz w:val="28"/>
              </w:rPr>
              <w:t>215</w:t>
            </w:r>
          </w:p>
          <w:p>
            <w:pPr>
              <w:pStyle w:val="TableParagraph"/>
              <w:spacing w:before="201"/>
              <w:ind w:left="226" w:right="163"/>
              <w:jc w:val="center"/>
              <w:rPr>
                <w:sz w:val="28"/>
              </w:rPr>
            </w:pPr>
            <w:r>
              <w:rPr>
                <w:sz w:val="28"/>
              </w:rPr>
              <w:t>(83,6%)</w:t>
            </w:r>
          </w:p>
        </w:tc>
        <w:tc>
          <w:tcPr>
            <w:tcW w:w="2269" w:type="dxa"/>
          </w:tcPr>
          <w:p>
            <w:pPr>
              <w:pStyle w:val="TableParagraph"/>
              <w:spacing w:before="115"/>
              <w:ind w:right="4"/>
              <w:jc w:val="center"/>
              <w:rPr>
                <w:sz w:val="28"/>
              </w:rPr>
            </w:pPr>
            <w:r>
              <w:rPr>
                <w:w w:val="100"/>
                <w:sz w:val="28"/>
              </w:rPr>
              <w:t>1</w:t>
            </w:r>
          </w:p>
          <w:p>
            <w:pPr>
              <w:pStyle w:val="TableParagraph"/>
              <w:spacing w:before="201"/>
              <w:ind w:left="88" w:right="88"/>
              <w:jc w:val="center"/>
              <w:rPr>
                <w:sz w:val="28"/>
              </w:rPr>
            </w:pPr>
            <w:r>
              <w:rPr>
                <w:sz w:val="28"/>
              </w:rPr>
              <w:t>(0,4%)</w:t>
            </w:r>
          </w:p>
        </w:tc>
        <w:tc>
          <w:tcPr>
            <w:tcW w:w="1133" w:type="dxa"/>
          </w:tcPr>
          <w:p>
            <w:pPr>
              <w:pStyle w:val="TableParagraph"/>
              <w:spacing w:line="322" w:lineRule="exact" w:before="216"/>
              <w:ind w:left="54" w:right="58"/>
              <w:jc w:val="center"/>
              <w:rPr>
                <w:sz w:val="28"/>
              </w:rPr>
            </w:pPr>
            <w:r>
              <w:rPr>
                <w:sz w:val="28"/>
              </w:rPr>
              <w:t>257</w:t>
            </w:r>
          </w:p>
          <w:p>
            <w:pPr>
              <w:pStyle w:val="TableParagraph"/>
              <w:ind w:left="55" w:right="58"/>
              <w:jc w:val="center"/>
              <w:rPr>
                <w:sz w:val="28"/>
              </w:rPr>
            </w:pPr>
            <w:r>
              <w:rPr>
                <w:sz w:val="28"/>
              </w:rPr>
              <w:t>(34,0%)</w:t>
            </w:r>
          </w:p>
        </w:tc>
      </w:tr>
      <w:tr>
        <w:trPr>
          <w:trHeight w:val="1299" w:hRule="exact"/>
        </w:trPr>
        <w:tc>
          <w:tcPr>
            <w:tcW w:w="1560" w:type="dxa"/>
          </w:tcPr>
          <w:p>
            <w:pPr>
              <w:pStyle w:val="TableParagraph"/>
              <w:ind w:left="172" w:right="157" w:hanging="17"/>
              <w:jc w:val="both"/>
              <w:rPr>
                <w:sz w:val="28"/>
              </w:rPr>
            </w:pPr>
            <w:r>
              <w:rPr>
                <w:sz w:val="28"/>
              </w:rPr>
              <w:t>Ожирение II степени ИМТ 35-</w:t>
            </w:r>
          </w:p>
          <w:p>
            <w:pPr>
              <w:pStyle w:val="TableParagraph"/>
              <w:spacing w:before="9"/>
              <w:ind w:left="85" w:right="85"/>
              <w:jc w:val="center"/>
              <w:rPr>
                <w:sz w:val="28"/>
              </w:rPr>
            </w:pPr>
            <w:r>
              <w:rPr>
                <w:sz w:val="28"/>
              </w:rPr>
              <w:t>40</w:t>
            </w:r>
          </w:p>
        </w:tc>
        <w:tc>
          <w:tcPr>
            <w:tcW w:w="1844" w:type="dxa"/>
          </w:tcPr>
          <w:p>
            <w:pPr>
              <w:pStyle w:val="TableParagraph"/>
              <w:spacing w:before="115"/>
              <w:ind w:left="134" w:right="134"/>
              <w:jc w:val="center"/>
              <w:rPr>
                <w:sz w:val="28"/>
              </w:rPr>
            </w:pPr>
            <w:r>
              <w:rPr>
                <w:sz w:val="28"/>
              </w:rPr>
              <w:t>54</w:t>
            </w:r>
          </w:p>
          <w:p>
            <w:pPr>
              <w:pStyle w:val="TableParagraph"/>
              <w:spacing w:before="198"/>
              <w:ind w:left="134" w:right="135"/>
              <w:jc w:val="center"/>
              <w:rPr>
                <w:sz w:val="28"/>
              </w:rPr>
            </w:pPr>
            <w:r>
              <w:rPr>
                <w:sz w:val="28"/>
              </w:rPr>
              <w:t>(41,9%)</w:t>
            </w:r>
          </w:p>
        </w:tc>
        <w:tc>
          <w:tcPr>
            <w:tcW w:w="2268" w:type="dxa"/>
          </w:tcPr>
          <w:p>
            <w:pPr>
              <w:pStyle w:val="TableParagraph"/>
              <w:spacing w:before="115"/>
              <w:ind w:left="226" w:right="1009"/>
              <w:jc w:val="center"/>
              <w:rPr>
                <w:sz w:val="28"/>
              </w:rPr>
            </w:pPr>
            <w:r>
              <w:rPr>
                <w:sz w:val="28"/>
              </w:rPr>
              <w:t>73</w:t>
            </w:r>
          </w:p>
          <w:p>
            <w:pPr>
              <w:pStyle w:val="TableParagraph"/>
              <w:spacing w:before="198"/>
              <w:ind w:left="224" w:right="1080"/>
              <w:jc w:val="center"/>
              <w:rPr>
                <w:sz w:val="28"/>
              </w:rPr>
            </w:pPr>
            <w:r>
              <w:rPr>
                <w:sz w:val="28"/>
              </w:rPr>
              <w:t>(56,6%)</w:t>
            </w:r>
          </w:p>
        </w:tc>
        <w:tc>
          <w:tcPr>
            <w:tcW w:w="2269" w:type="dxa"/>
          </w:tcPr>
          <w:p>
            <w:pPr>
              <w:pStyle w:val="TableParagraph"/>
              <w:spacing w:before="115"/>
              <w:ind w:right="4"/>
              <w:jc w:val="center"/>
              <w:rPr>
                <w:sz w:val="28"/>
              </w:rPr>
            </w:pPr>
            <w:r>
              <w:rPr>
                <w:w w:val="100"/>
                <w:sz w:val="28"/>
              </w:rPr>
              <w:t>2</w:t>
            </w:r>
          </w:p>
          <w:p>
            <w:pPr>
              <w:pStyle w:val="TableParagraph"/>
              <w:spacing w:before="198"/>
              <w:ind w:left="88" w:right="88"/>
              <w:jc w:val="center"/>
              <w:rPr>
                <w:sz w:val="28"/>
              </w:rPr>
            </w:pPr>
            <w:r>
              <w:rPr>
                <w:sz w:val="28"/>
              </w:rPr>
              <w:t>(1,5%)</w:t>
            </w:r>
          </w:p>
        </w:tc>
        <w:tc>
          <w:tcPr>
            <w:tcW w:w="1133" w:type="dxa"/>
          </w:tcPr>
          <w:p>
            <w:pPr>
              <w:pStyle w:val="TableParagraph"/>
              <w:spacing w:line="322" w:lineRule="exact" w:before="216"/>
              <w:ind w:left="54" w:right="58"/>
              <w:jc w:val="center"/>
              <w:rPr>
                <w:sz w:val="28"/>
              </w:rPr>
            </w:pPr>
            <w:r>
              <w:rPr>
                <w:sz w:val="28"/>
              </w:rPr>
              <w:t>129</w:t>
            </w:r>
          </w:p>
          <w:p>
            <w:pPr>
              <w:pStyle w:val="TableParagraph"/>
              <w:ind w:left="55" w:right="58"/>
              <w:jc w:val="center"/>
              <w:rPr>
                <w:sz w:val="28"/>
              </w:rPr>
            </w:pPr>
            <w:r>
              <w:rPr>
                <w:sz w:val="28"/>
              </w:rPr>
              <w:t>(17,1%)</w:t>
            </w:r>
          </w:p>
        </w:tc>
      </w:tr>
      <w:tr>
        <w:trPr>
          <w:trHeight w:val="1296" w:hRule="exact"/>
        </w:trPr>
        <w:tc>
          <w:tcPr>
            <w:tcW w:w="1560" w:type="dxa"/>
          </w:tcPr>
          <w:p>
            <w:pPr>
              <w:pStyle w:val="TableParagraph"/>
              <w:ind w:left="127" w:right="126" w:firstLine="31"/>
              <w:jc w:val="both"/>
              <w:rPr>
                <w:sz w:val="28"/>
              </w:rPr>
            </w:pPr>
            <w:r>
              <w:rPr>
                <w:sz w:val="28"/>
              </w:rPr>
              <w:t>Ожирение III степени ИМТ &gt; 40</w:t>
            </w:r>
          </w:p>
        </w:tc>
        <w:tc>
          <w:tcPr>
            <w:tcW w:w="1844" w:type="dxa"/>
          </w:tcPr>
          <w:p>
            <w:pPr>
              <w:pStyle w:val="TableParagraph"/>
              <w:spacing w:before="115"/>
              <w:ind w:left="134" w:right="134"/>
              <w:jc w:val="center"/>
              <w:rPr>
                <w:sz w:val="28"/>
              </w:rPr>
            </w:pPr>
            <w:r>
              <w:rPr>
                <w:sz w:val="28"/>
              </w:rPr>
              <w:t>75</w:t>
            </w:r>
          </w:p>
          <w:p>
            <w:pPr>
              <w:pStyle w:val="TableParagraph"/>
              <w:spacing w:before="198"/>
              <w:ind w:left="134" w:right="135"/>
              <w:jc w:val="center"/>
              <w:rPr>
                <w:sz w:val="28"/>
              </w:rPr>
            </w:pPr>
            <w:r>
              <w:rPr>
                <w:sz w:val="28"/>
              </w:rPr>
              <w:t>(70,8%)</w:t>
            </w:r>
          </w:p>
        </w:tc>
        <w:tc>
          <w:tcPr>
            <w:tcW w:w="2268" w:type="dxa"/>
          </w:tcPr>
          <w:p>
            <w:pPr>
              <w:pStyle w:val="TableParagraph"/>
              <w:spacing w:before="115"/>
              <w:ind w:left="226" w:right="1076"/>
              <w:jc w:val="center"/>
              <w:rPr>
                <w:sz w:val="28"/>
              </w:rPr>
            </w:pPr>
            <w:r>
              <w:rPr>
                <w:sz w:val="28"/>
              </w:rPr>
              <w:t>31</w:t>
            </w:r>
          </w:p>
          <w:p>
            <w:pPr>
              <w:pStyle w:val="TableParagraph"/>
              <w:spacing w:before="198"/>
              <w:ind w:left="226" w:right="1077"/>
              <w:jc w:val="center"/>
              <w:rPr>
                <w:sz w:val="28"/>
              </w:rPr>
            </w:pPr>
            <w:r>
              <w:rPr>
                <w:sz w:val="28"/>
              </w:rPr>
              <w:t>(29,2%)</w:t>
            </w:r>
          </w:p>
        </w:tc>
        <w:tc>
          <w:tcPr>
            <w:tcW w:w="2269" w:type="dxa"/>
          </w:tcPr>
          <w:p>
            <w:pPr>
              <w:pStyle w:val="TableParagraph"/>
              <w:spacing w:before="6"/>
              <w:rPr>
                <w:sz w:val="32"/>
              </w:rPr>
            </w:pPr>
          </w:p>
          <w:p>
            <w:pPr>
              <w:pStyle w:val="TableParagraph"/>
              <w:ind w:right="3"/>
              <w:jc w:val="center"/>
              <w:rPr>
                <w:sz w:val="28"/>
              </w:rPr>
            </w:pPr>
            <w:r>
              <w:rPr>
                <w:w w:val="100"/>
                <w:sz w:val="28"/>
              </w:rPr>
              <w:t>-</w:t>
            </w:r>
          </w:p>
        </w:tc>
        <w:tc>
          <w:tcPr>
            <w:tcW w:w="1133" w:type="dxa"/>
          </w:tcPr>
          <w:p>
            <w:pPr>
              <w:pStyle w:val="TableParagraph"/>
              <w:spacing w:before="115"/>
              <w:ind w:left="54" w:right="58"/>
              <w:jc w:val="center"/>
              <w:rPr>
                <w:sz w:val="28"/>
              </w:rPr>
            </w:pPr>
            <w:r>
              <w:rPr>
                <w:sz w:val="28"/>
              </w:rPr>
              <w:t>106</w:t>
            </w:r>
          </w:p>
          <w:p>
            <w:pPr>
              <w:pStyle w:val="TableParagraph"/>
              <w:spacing w:before="198"/>
              <w:ind w:left="55" w:right="58"/>
              <w:jc w:val="center"/>
              <w:rPr>
                <w:sz w:val="28"/>
              </w:rPr>
            </w:pPr>
            <w:r>
              <w:rPr>
                <w:sz w:val="28"/>
              </w:rPr>
              <w:t>(14,0%)</w:t>
            </w:r>
          </w:p>
        </w:tc>
      </w:tr>
      <w:tr>
        <w:trPr>
          <w:trHeight w:val="1056" w:hRule="exact"/>
        </w:trPr>
        <w:tc>
          <w:tcPr>
            <w:tcW w:w="1560" w:type="dxa"/>
          </w:tcPr>
          <w:p>
            <w:pPr>
              <w:pStyle w:val="TableParagraph"/>
              <w:spacing w:before="93"/>
              <w:ind w:left="429"/>
              <w:rPr>
                <w:sz w:val="28"/>
              </w:rPr>
            </w:pPr>
            <w:r>
              <w:rPr>
                <w:sz w:val="28"/>
              </w:rPr>
              <w:t>Всего</w:t>
            </w:r>
          </w:p>
        </w:tc>
        <w:tc>
          <w:tcPr>
            <w:tcW w:w="1844" w:type="dxa"/>
          </w:tcPr>
          <w:p>
            <w:pPr>
              <w:pStyle w:val="TableParagraph"/>
              <w:spacing w:line="317" w:lineRule="exact"/>
              <w:ind w:left="134" w:right="134"/>
              <w:jc w:val="center"/>
              <w:rPr>
                <w:sz w:val="28"/>
              </w:rPr>
            </w:pPr>
            <w:r>
              <w:rPr>
                <w:sz w:val="28"/>
              </w:rPr>
              <w:t>227</w:t>
            </w:r>
          </w:p>
          <w:p>
            <w:pPr>
              <w:pStyle w:val="TableParagraph"/>
              <w:spacing w:before="199"/>
              <w:ind w:left="134" w:right="135"/>
              <w:jc w:val="center"/>
              <w:rPr>
                <w:sz w:val="28"/>
              </w:rPr>
            </w:pPr>
            <w:r>
              <w:rPr>
                <w:sz w:val="28"/>
              </w:rPr>
              <w:t>(30,0%)</w:t>
            </w:r>
          </w:p>
        </w:tc>
        <w:tc>
          <w:tcPr>
            <w:tcW w:w="2268" w:type="dxa"/>
          </w:tcPr>
          <w:p>
            <w:pPr>
              <w:pStyle w:val="TableParagraph"/>
              <w:spacing w:line="317" w:lineRule="exact"/>
              <w:ind w:left="226" w:right="1077"/>
              <w:jc w:val="center"/>
              <w:rPr>
                <w:sz w:val="28"/>
              </w:rPr>
            </w:pPr>
            <w:r>
              <w:rPr>
                <w:sz w:val="28"/>
              </w:rPr>
              <w:t>523</w:t>
            </w:r>
          </w:p>
          <w:p>
            <w:pPr>
              <w:pStyle w:val="TableParagraph"/>
              <w:spacing w:before="199"/>
              <w:ind w:left="226" w:right="1077"/>
              <w:jc w:val="center"/>
              <w:rPr>
                <w:sz w:val="28"/>
              </w:rPr>
            </w:pPr>
            <w:r>
              <w:rPr>
                <w:sz w:val="28"/>
              </w:rPr>
              <w:t>(69,2%)</w:t>
            </w:r>
          </w:p>
        </w:tc>
        <w:tc>
          <w:tcPr>
            <w:tcW w:w="2269" w:type="dxa"/>
          </w:tcPr>
          <w:p>
            <w:pPr>
              <w:pStyle w:val="TableParagraph"/>
              <w:spacing w:line="317" w:lineRule="exact"/>
              <w:ind w:right="4"/>
              <w:jc w:val="center"/>
              <w:rPr>
                <w:sz w:val="28"/>
              </w:rPr>
            </w:pPr>
            <w:r>
              <w:rPr>
                <w:w w:val="100"/>
                <w:sz w:val="28"/>
              </w:rPr>
              <w:t>6</w:t>
            </w:r>
          </w:p>
          <w:p>
            <w:pPr>
              <w:pStyle w:val="TableParagraph"/>
              <w:spacing w:before="199"/>
              <w:ind w:left="88" w:right="88"/>
              <w:jc w:val="center"/>
              <w:rPr>
                <w:sz w:val="28"/>
              </w:rPr>
            </w:pPr>
            <w:r>
              <w:rPr>
                <w:sz w:val="28"/>
              </w:rPr>
              <w:t>(0,8%)</w:t>
            </w:r>
          </w:p>
        </w:tc>
        <w:tc>
          <w:tcPr>
            <w:tcW w:w="1133" w:type="dxa"/>
          </w:tcPr>
          <w:p>
            <w:pPr>
              <w:pStyle w:val="TableParagraph"/>
              <w:spacing w:line="322" w:lineRule="exact" w:before="93"/>
              <w:ind w:left="54" w:right="58"/>
              <w:jc w:val="center"/>
              <w:rPr>
                <w:sz w:val="28"/>
              </w:rPr>
            </w:pPr>
            <w:r>
              <w:rPr>
                <w:sz w:val="28"/>
              </w:rPr>
              <w:t>756</w:t>
            </w:r>
          </w:p>
          <w:p>
            <w:pPr>
              <w:pStyle w:val="TableParagraph"/>
              <w:ind w:left="58" w:right="58"/>
              <w:jc w:val="center"/>
              <w:rPr>
                <w:sz w:val="28"/>
              </w:rPr>
            </w:pPr>
            <w:r>
              <w:rPr>
                <w:sz w:val="28"/>
              </w:rPr>
              <w:t>(100%)</w:t>
            </w:r>
          </w:p>
        </w:tc>
      </w:tr>
    </w:tbl>
    <w:p>
      <w:pPr>
        <w:spacing w:after="0"/>
        <w:jc w:val="center"/>
        <w:rPr>
          <w:sz w:val="28"/>
        </w:rPr>
        <w:sectPr>
          <w:pgSz w:w="11900" w:h="16850"/>
          <w:pgMar w:header="712" w:footer="0" w:top="1020" w:bottom="280" w:left="1580" w:right="1000"/>
        </w:sectPr>
      </w:pPr>
    </w:p>
    <w:p>
      <w:pPr>
        <w:pStyle w:val="BodyText"/>
        <w:rPr>
          <w:sz w:val="20"/>
        </w:rPr>
      </w:pPr>
    </w:p>
    <w:p>
      <w:pPr>
        <w:pStyle w:val="BodyText"/>
        <w:rPr>
          <w:sz w:val="20"/>
        </w:rPr>
      </w:pPr>
    </w:p>
    <w:p>
      <w:pPr>
        <w:pStyle w:val="BodyText"/>
        <w:spacing w:line="360" w:lineRule="auto" w:before="224"/>
        <w:ind w:left="102" w:right="102" w:firstLine="777"/>
        <w:jc w:val="both"/>
      </w:pPr>
      <w:r>
        <w:rPr/>
        <w:t>В среднем масса тела пациенток,  страдающих  ожирением  составила 97 кг, при этом 1/3 пациенток имели массу тела 100 кг и более, а у 16% больных масса тела превышала 120 кг. Максимальный вес составил 175 кг</w:t>
      </w:r>
      <w:r>
        <w:rPr>
          <w:spacing w:val="-2"/>
        </w:rPr>
        <w:t> </w:t>
      </w:r>
      <w:r>
        <w:rPr/>
        <w:t>(Рис.3.2).</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line="508" w:lineRule="auto" w:before="193"/>
        <w:ind w:left="1930" w:right="86" w:firstLine="5828"/>
      </w:pPr>
      <w:r>
        <w:rPr/>
        <w:t>Рисунок 3.2 Ожирение III степени у больной раком эндометрия</w:t>
      </w:r>
    </w:p>
    <w:p>
      <w:pPr>
        <w:pStyle w:val="BodyText"/>
        <w:rPr>
          <w:sz w:val="20"/>
        </w:rPr>
      </w:pPr>
    </w:p>
    <w:p>
      <w:pPr>
        <w:pStyle w:val="BodyText"/>
        <w:rPr>
          <w:sz w:val="20"/>
        </w:rPr>
      </w:pPr>
    </w:p>
    <w:p>
      <w:pPr>
        <w:pStyle w:val="BodyText"/>
        <w:spacing w:before="6"/>
        <w:rPr>
          <w:sz w:val="22"/>
        </w:rPr>
      </w:pPr>
      <w:r>
        <w:rPr/>
        <w:drawing>
          <wp:anchor distT="0" distB="0" distL="0" distR="0" allowOverlap="1" layoutInCell="1" locked="0" behindDoc="0" simplePos="0" relativeHeight="2872">
            <wp:simplePos x="0" y="0"/>
            <wp:positionH relativeFrom="page">
              <wp:posOffset>1913889</wp:posOffset>
            </wp:positionH>
            <wp:positionV relativeFrom="paragraph">
              <wp:posOffset>189593</wp:posOffset>
            </wp:positionV>
            <wp:extent cx="3867591" cy="2318004"/>
            <wp:effectExtent l="0" t="0" r="0" b="0"/>
            <wp:wrapTopAndBottom/>
            <wp:docPr id="53" name="image51.jpeg" descr=""/>
            <wp:cNvGraphicFramePr>
              <a:graphicFrameLocks noChangeAspect="1"/>
            </wp:cNvGraphicFramePr>
            <a:graphic>
              <a:graphicData uri="http://schemas.openxmlformats.org/drawingml/2006/picture">
                <pic:pic>
                  <pic:nvPicPr>
                    <pic:cNvPr id="54" name="image51.jpeg"/>
                    <pic:cNvPicPr/>
                  </pic:nvPicPr>
                  <pic:blipFill>
                    <a:blip r:embed="rId60" cstate="print"/>
                    <a:stretch>
                      <a:fillRect/>
                    </a:stretch>
                  </pic:blipFill>
                  <pic:spPr>
                    <a:xfrm>
                      <a:off x="0" y="0"/>
                      <a:ext cx="3867591" cy="2318004"/>
                    </a:xfrm>
                    <a:prstGeom prst="rect">
                      <a:avLst/>
                    </a:prstGeom>
                  </pic:spPr>
                </pic:pic>
              </a:graphicData>
            </a:graphic>
          </wp:anchor>
        </w:drawing>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
        <w:rPr>
          <w:sz w:val="29"/>
        </w:rPr>
      </w:pPr>
    </w:p>
    <w:p>
      <w:pPr>
        <w:pStyle w:val="BodyText"/>
        <w:spacing w:line="360" w:lineRule="auto"/>
        <w:ind w:left="102" w:right="98" w:firstLine="707"/>
        <w:jc w:val="both"/>
      </w:pPr>
      <w:r>
        <w:rPr/>
        <w:t>Абсолютное большинство больных (86,7%) имели гипертоническую болезнь, 50% различные формы сердечной патологии, 51,6% - варикозную болезнь нижних конечностей.  Сахарный  диабет  диагностирован  у каждой третьей пациентки с ожирением</w:t>
      </w:r>
      <w:r>
        <w:rPr>
          <w:spacing w:val="-10"/>
        </w:rPr>
        <w:t> </w:t>
      </w:r>
      <w:r>
        <w:rPr/>
        <w:t>(Табл.3.23).</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before="224"/>
        <w:ind w:left="7630"/>
      </w:pPr>
      <w:r>
        <w:rPr/>
        <w:t>Таблица 3.23</w:t>
      </w:r>
    </w:p>
    <w:p>
      <w:pPr>
        <w:pStyle w:val="BodyText"/>
        <w:spacing w:before="3"/>
        <w:rPr>
          <w:sz w:val="31"/>
        </w:rPr>
      </w:pPr>
    </w:p>
    <w:p>
      <w:pPr>
        <w:pStyle w:val="BodyText"/>
        <w:spacing w:line="362" w:lineRule="auto"/>
        <w:ind w:left="3153" w:right="707" w:hanging="2456"/>
      </w:pPr>
      <w:r>
        <w:rPr/>
        <w:t>Частота выявления сопутствующих заболеваний у больных раком эндометрия с ожирением</w:t>
      </w:r>
    </w:p>
    <w:p>
      <w:pPr>
        <w:pStyle w:val="BodyText"/>
        <w:spacing w:before="1"/>
        <w:rPr>
          <w:sz w:val="18"/>
        </w:rPr>
      </w:pPr>
    </w:p>
    <w:tbl>
      <w:tblPr>
        <w:tblW w:w="0" w:type="auto"/>
        <w:jc w:val="left"/>
        <w:tblInd w:w="114" w:type="dxa"/>
        <w:tblBorders>
          <w:top w:val="double" w:sz="9" w:space="0" w:color="EFEFEF"/>
          <w:left w:val="double" w:sz="9" w:space="0" w:color="EFEFEF"/>
          <w:bottom w:val="double" w:sz="9" w:space="0" w:color="EFEFEF"/>
          <w:right w:val="double" w:sz="9" w:space="0" w:color="EFEFEF"/>
          <w:insideH w:val="double" w:sz="9" w:space="0" w:color="EFEFEF"/>
          <w:insideV w:val="double" w:sz="9" w:space="0" w:color="EFEFEF"/>
        </w:tblBorders>
        <w:tblLayout w:type="fixed"/>
        <w:tblCellMar>
          <w:top w:w="0" w:type="dxa"/>
          <w:left w:w="0" w:type="dxa"/>
          <w:bottom w:w="0" w:type="dxa"/>
          <w:right w:w="0" w:type="dxa"/>
        </w:tblCellMar>
        <w:tblLook w:val="01E0"/>
      </w:tblPr>
      <w:tblGrid>
        <w:gridCol w:w="6008"/>
        <w:gridCol w:w="3017"/>
      </w:tblGrid>
      <w:tr>
        <w:trPr>
          <w:trHeight w:val="1115" w:hRule="exact"/>
        </w:trPr>
        <w:tc>
          <w:tcPr>
            <w:tcW w:w="6008" w:type="dxa"/>
            <w:tcBorders>
              <w:left w:val="double" w:sz="8" w:space="0" w:color="9F9F9F"/>
              <w:bottom w:val="double" w:sz="10" w:space="0" w:color="EFEFEF"/>
              <w:right w:val="double" w:sz="10" w:space="0" w:color="EFEFEF"/>
            </w:tcBorders>
          </w:tcPr>
          <w:p>
            <w:pPr>
              <w:pStyle w:val="TableParagraph"/>
              <w:spacing w:line="315" w:lineRule="exact"/>
              <w:ind w:left="107"/>
              <w:rPr>
                <w:sz w:val="28"/>
              </w:rPr>
            </w:pPr>
            <w:r>
              <w:rPr>
                <w:sz w:val="28"/>
              </w:rPr>
              <w:t>Варикозная болезнь</w:t>
            </w:r>
          </w:p>
        </w:tc>
        <w:tc>
          <w:tcPr>
            <w:tcW w:w="3017" w:type="dxa"/>
            <w:tcBorders>
              <w:left w:val="double" w:sz="10" w:space="0" w:color="EFEFEF"/>
              <w:bottom w:val="double" w:sz="10" w:space="0" w:color="EFEFEF"/>
              <w:right w:val="double" w:sz="8" w:space="0" w:color="EFEFEF"/>
            </w:tcBorders>
          </w:tcPr>
          <w:p>
            <w:pPr>
              <w:pStyle w:val="TableParagraph"/>
              <w:spacing w:line="315" w:lineRule="exact"/>
              <w:ind w:left="754" w:right="756"/>
              <w:jc w:val="center"/>
              <w:rPr>
                <w:sz w:val="28"/>
              </w:rPr>
            </w:pPr>
            <w:r>
              <w:rPr>
                <w:sz w:val="28"/>
              </w:rPr>
              <w:t>51,6% (97)</w:t>
            </w:r>
          </w:p>
        </w:tc>
      </w:tr>
      <w:tr>
        <w:trPr>
          <w:trHeight w:val="1114" w:hRule="exact"/>
        </w:trPr>
        <w:tc>
          <w:tcPr>
            <w:tcW w:w="6008" w:type="dxa"/>
            <w:tcBorders>
              <w:top w:val="double" w:sz="10" w:space="0" w:color="EFEFEF"/>
              <w:left w:val="double" w:sz="8" w:space="0" w:color="9F9F9F"/>
              <w:bottom w:val="double" w:sz="10" w:space="0" w:color="EFEFEF"/>
              <w:right w:val="double" w:sz="10" w:space="0" w:color="EFEFEF"/>
            </w:tcBorders>
          </w:tcPr>
          <w:p>
            <w:pPr>
              <w:pStyle w:val="TableParagraph"/>
              <w:spacing w:line="313" w:lineRule="exact"/>
              <w:ind w:left="107"/>
              <w:rPr>
                <w:sz w:val="28"/>
              </w:rPr>
            </w:pPr>
            <w:r>
              <w:rPr>
                <w:sz w:val="28"/>
              </w:rPr>
              <w:t>Гипертоническая болезнь</w:t>
            </w:r>
          </w:p>
        </w:tc>
        <w:tc>
          <w:tcPr>
            <w:tcW w:w="3017" w:type="dxa"/>
            <w:tcBorders>
              <w:top w:val="double" w:sz="10" w:space="0" w:color="EFEFEF"/>
              <w:left w:val="double" w:sz="10" w:space="0" w:color="EFEFEF"/>
              <w:bottom w:val="double" w:sz="10" w:space="0" w:color="EFEFEF"/>
              <w:right w:val="double" w:sz="8" w:space="0" w:color="EFEFEF"/>
            </w:tcBorders>
          </w:tcPr>
          <w:p>
            <w:pPr>
              <w:pStyle w:val="TableParagraph"/>
              <w:spacing w:line="313" w:lineRule="exact"/>
              <w:ind w:left="754" w:right="756"/>
              <w:jc w:val="center"/>
              <w:rPr>
                <w:sz w:val="28"/>
              </w:rPr>
            </w:pPr>
            <w:r>
              <w:rPr>
                <w:sz w:val="28"/>
              </w:rPr>
              <w:t>86,7% (163)</w:t>
            </w:r>
          </w:p>
        </w:tc>
      </w:tr>
      <w:tr>
        <w:trPr>
          <w:trHeight w:val="1114" w:hRule="exact"/>
        </w:trPr>
        <w:tc>
          <w:tcPr>
            <w:tcW w:w="6008" w:type="dxa"/>
            <w:tcBorders>
              <w:top w:val="double" w:sz="10" w:space="0" w:color="EFEFEF"/>
              <w:left w:val="double" w:sz="8" w:space="0" w:color="9F9F9F"/>
              <w:bottom w:val="double" w:sz="10" w:space="0" w:color="EFEFEF"/>
              <w:right w:val="double" w:sz="10" w:space="0" w:color="EFEFEF"/>
            </w:tcBorders>
          </w:tcPr>
          <w:p>
            <w:pPr>
              <w:pStyle w:val="TableParagraph"/>
              <w:spacing w:line="315" w:lineRule="exact"/>
              <w:ind w:left="107"/>
              <w:rPr>
                <w:sz w:val="28"/>
              </w:rPr>
            </w:pPr>
            <w:r>
              <w:rPr>
                <w:sz w:val="28"/>
              </w:rPr>
              <w:t>Ишемическая болезнь сердца</w:t>
            </w:r>
          </w:p>
        </w:tc>
        <w:tc>
          <w:tcPr>
            <w:tcW w:w="3017" w:type="dxa"/>
            <w:tcBorders>
              <w:top w:val="double" w:sz="10" w:space="0" w:color="EFEFEF"/>
              <w:left w:val="double" w:sz="10" w:space="0" w:color="EFEFEF"/>
              <w:bottom w:val="double" w:sz="10" w:space="0" w:color="EFEFEF"/>
              <w:right w:val="double" w:sz="8" w:space="0" w:color="EFEFEF"/>
            </w:tcBorders>
          </w:tcPr>
          <w:p>
            <w:pPr>
              <w:pStyle w:val="TableParagraph"/>
              <w:spacing w:line="315" w:lineRule="exact"/>
              <w:ind w:left="754" w:right="756"/>
              <w:jc w:val="center"/>
              <w:rPr>
                <w:sz w:val="28"/>
              </w:rPr>
            </w:pPr>
            <w:r>
              <w:rPr>
                <w:sz w:val="28"/>
              </w:rPr>
              <w:t>43,1% (81)</w:t>
            </w:r>
          </w:p>
        </w:tc>
      </w:tr>
      <w:tr>
        <w:trPr>
          <w:trHeight w:val="1114" w:hRule="exact"/>
        </w:trPr>
        <w:tc>
          <w:tcPr>
            <w:tcW w:w="6008" w:type="dxa"/>
            <w:tcBorders>
              <w:top w:val="double" w:sz="10" w:space="0" w:color="EFEFEF"/>
              <w:left w:val="double" w:sz="8" w:space="0" w:color="9F9F9F"/>
              <w:bottom w:val="double" w:sz="10" w:space="0" w:color="EFEFEF"/>
              <w:right w:val="double" w:sz="10" w:space="0" w:color="EFEFEF"/>
            </w:tcBorders>
          </w:tcPr>
          <w:p>
            <w:pPr>
              <w:pStyle w:val="TableParagraph"/>
              <w:spacing w:line="315" w:lineRule="exact"/>
              <w:ind w:left="107"/>
              <w:rPr>
                <w:sz w:val="28"/>
              </w:rPr>
            </w:pPr>
            <w:r>
              <w:rPr>
                <w:sz w:val="28"/>
              </w:rPr>
              <w:t>Хроническая сердечная недостаточность</w:t>
            </w:r>
          </w:p>
        </w:tc>
        <w:tc>
          <w:tcPr>
            <w:tcW w:w="3017" w:type="dxa"/>
            <w:tcBorders>
              <w:top w:val="double" w:sz="10" w:space="0" w:color="EFEFEF"/>
              <w:left w:val="double" w:sz="10" w:space="0" w:color="EFEFEF"/>
              <w:bottom w:val="double" w:sz="10" w:space="0" w:color="EFEFEF"/>
              <w:right w:val="double" w:sz="8" w:space="0" w:color="EFEFEF"/>
            </w:tcBorders>
          </w:tcPr>
          <w:p>
            <w:pPr>
              <w:pStyle w:val="TableParagraph"/>
              <w:spacing w:line="315" w:lineRule="exact"/>
              <w:ind w:left="754" w:right="756"/>
              <w:jc w:val="center"/>
              <w:rPr>
                <w:sz w:val="28"/>
              </w:rPr>
            </w:pPr>
            <w:r>
              <w:rPr>
                <w:sz w:val="28"/>
              </w:rPr>
              <w:t>54,8% (103)</w:t>
            </w:r>
          </w:p>
        </w:tc>
      </w:tr>
      <w:tr>
        <w:trPr>
          <w:trHeight w:val="1115" w:hRule="exact"/>
        </w:trPr>
        <w:tc>
          <w:tcPr>
            <w:tcW w:w="6008" w:type="dxa"/>
            <w:tcBorders>
              <w:top w:val="double" w:sz="10" w:space="0" w:color="EFEFEF"/>
              <w:left w:val="double" w:sz="8" w:space="0" w:color="9F9F9F"/>
              <w:right w:val="double" w:sz="10" w:space="0" w:color="EFEFEF"/>
            </w:tcBorders>
          </w:tcPr>
          <w:p>
            <w:pPr>
              <w:pStyle w:val="TableParagraph"/>
              <w:spacing w:line="315" w:lineRule="exact"/>
              <w:ind w:left="107"/>
              <w:rPr>
                <w:sz w:val="28"/>
              </w:rPr>
            </w:pPr>
            <w:r>
              <w:rPr>
                <w:sz w:val="28"/>
              </w:rPr>
              <w:t>Сахарный диабет II типа</w:t>
            </w:r>
          </w:p>
        </w:tc>
        <w:tc>
          <w:tcPr>
            <w:tcW w:w="3017" w:type="dxa"/>
            <w:tcBorders>
              <w:top w:val="double" w:sz="10" w:space="0" w:color="EFEFEF"/>
              <w:left w:val="double" w:sz="10" w:space="0" w:color="EFEFEF"/>
              <w:right w:val="double" w:sz="8" w:space="0" w:color="EFEFEF"/>
            </w:tcBorders>
          </w:tcPr>
          <w:p>
            <w:pPr>
              <w:pStyle w:val="TableParagraph"/>
              <w:spacing w:line="315" w:lineRule="exact"/>
              <w:ind w:left="754" w:right="756"/>
              <w:jc w:val="center"/>
              <w:rPr>
                <w:sz w:val="28"/>
              </w:rPr>
            </w:pPr>
            <w:r>
              <w:rPr>
                <w:sz w:val="28"/>
              </w:rPr>
              <w:t>30,3% (57)</w:t>
            </w:r>
          </w:p>
        </w:tc>
      </w:tr>
    </w:tbl>
    <w:p>
      <w:pPr>
        <w:pStyle w:val="BodyText"/>
        <w:rPr>
          <w:sz w:val="30"/>
        </w:rPr>
      </w:pPr>
    </w:p>
    <w:p>
      <w:pPr>
        <w:pStyle w:val="BodyText"/>
        <w:spacing w:before="10"/>
      </w:pPr>
    </w:p>
    <w:p>
      <w:pPr>
        <w:pStyle w:val="BodyText"/>
        <w:spacing w:line="360" w:lineRule="auto"/>
        <w:ind w:left="122" w:right="143" w:firstLine="719"/>
        <w:jc w:val="both"/>
      </w:pPr>
      <w:r>
        <w:rPr/>
        <w:t>Кроме того, в 23% случаев имелось сочетание ожирения с миомой матки, в 17% - с опухолями яичников. В связи с большими размерами указанных новообразований у 3 больных выполнена конверсионная лапаротомия. У 21% пациенток имелись анамнестические указания на ранее выполненные лапаротомии, в большей части представленные Кесаревым сечением, операциями на придатках матки, аппендэктомиями. В одном случае выполнение конверсионной лапаротомии было связано с тотальным рубцово-спаечным процессом после операции по поводу внематочной</w:t>
      </w:r>
      <w:r>
        <w:rPr>
          <w:spacing w:val="-10"/>
        </w:rPr>
        <w:t> </w:t>
      </w:r>
      <w:r>
        <w:rPr/>
        <w:t>беременности.</w:t>
      </w:r>
    </w:p>
    <w:p>
      <w:pPr>
        <w:pStyle w:val="BodyText"/>
        <w:tabs>
          <w:tab w:pos="2392" w:val="left" w:leader="none"/>
          <w:tab w:pos="3930" w:val="left" w:leader="none"/>
          <w:tab w:pos="5256" w:val="left" w:leader="none"/>
          <w:tab w:pos="6234" w:val="left" w:leader="none"/>
          <w:tab w:pos="7897" w:val="left" w:leader="none"/>
        </w:tabs>
        <w:spacing w:line="360" w:lineRule="auto" w:before="207"/>
        <w:ind w:left="122" w:right="142" w:firstLine="859"/>
      </w:pPr>
      <w:r>
        <w:rPr/>
        <w:t>Тридцати</w:t>
        <w:tab/>
        <w:t>процентам</w:t>
        <w:tab/>
        <w:t>больным</w:t>
        <w:tab/>
        <w:t>раком</w:t>
        <w:tab/>
        <w:t>эндометрия</w:t>
        <w:tab/>
      </w:r>
      <w:r>
        <w:rPr>
          <w:spacing w:val="-1"/>
        </w:rPr>
        <w:t>выполнена </w:t>
      </w:r>
      <w:r>
        <w:rPr/>
        <w:t>экстирпация матки с придатками. Число таких операций нарастало по</w:t>
      </w:r>
      <w:r>
        <w:rPr>
          <w:spacing w:val="-21"/>
        </w:rPr>
        <w:t> </w:t>
      </w:r>
      <w:r>
        <w:rPr/>
        <w:t>мере</w:t>
      </w:r>
    </w:p>
    <w:p>
      <w:pPr>
        <w:spacing w:after="0" w:line="360" w:lineRule="auto"/>
        <w:sectPr>
          <w:pgSz w:w="11900" w:h="16850"/>
          <w:pgMar w:header="712" w:footer="0" w:top="1020" w:bottom="280" w:left="1580" w:right="980"/>
        </w:sectPr>
      </w:pPr>
    </w:p>
    <w:p>
      <w:pPr>
        <w:pStyle w:val="BodyText"/>
        <w:rPr>
          <w:sz w:val="20"/>
        </w:rPr>
      </w:pPr>
    </w:p>
    <w:p>
      <w:pPr>
        <w:pStyle w:val="BodyText"/>
        <w:rPr>
          <w:sz w:val="20"/>
        </w:rPr>
      </w:pPr>
    </w:p>
    <w:p>
      <w:pPr>
        <w:pStyle w:val="BodyText"/>
        <w:spacing w:line="360" w:lineRule="auto" w:before="224"/>
        <w:ind w:left="122" w:right="118"/>
        <w:jc w:val="both"/>
      </w:pPr>
      <w:r>
        <w:rPr/>
        <w:t>увеличения веса больных. Неправильно было объяснять отказ от лимфодиссекции только лишь техническими трудностями хирургического вмешательства у больных, страдающих ожирением. Как было показано в предыдущих разделах исследования, на долю этих больных выпадает большинство сочетаний благоприятных прогностических признаков (минимальные размеры опухоли, высоко- и умереннодифференцированные аденокарциномы, I патогенетический вариант), определяющих хороший прогноз заболевания и отсутствие показаний к расширению объема операции.</w:t>
      </w:r>
    </w:p>
    <w:p>
      <w:pPr>
        <w:pStyle w:val="BodyText"/>
        <w:spacing w:line="360" w:lineRule="auto" w:before="204"/>
        <w:ind w:left="122" w:right="119" w:firstLine="371"/>
        <w:jc w:val="both"/>
      </w:pPr>
      <w:r>
        <w:rPr/>
        <w:t>Далее мы проанализировали особенности течения лапароскопической операции по поводу рака эндометрия в сравнении с традиционным лапаротомным доступом. Прежде всего, нас интересовала длительность самой операции и наркоза, которые, как известно, во многом определяют развитие и тяжесть возможных осложнений. Распределение  больных  раком тела матки в зависимости от длительности хирургического лечения показано в таблице</w:t>
      </w:r>
      <w:r>
        <w:rPr>
          <w:spacing w:val="-6"/>
        </w:rPr>
        <w:t> </w:t>
      </w:r>
      <w:r>
        <w:rPr/>
        <w:t>3.24.</w:t>
      </w:r>
    </w:p>
    <w:p>
      <w:pPr>
        <w:pStyle w:val="BodyText"/>
        <w:spacing w:line="508" w:lineRule="auto" w:before="124" w:after="21"/>
        <w:ind w:left="1809" w:right="108" w:firstLine="5821"/>
      </w:pPr>
      <w:r>
        <w:rPr/>
        <w:t>Таблица 3.24 Длительность операций у больных раком эндометрия</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844"/>
        <w:gridCol w:w="1841"/>
        <w:gridCol w:w="1843"/>
        <w:gridCol w:w="2127"/>
      </w:tblGrid>
      <w:tr>
        <w:trPr>
          <w:trHeight w:val="2098" w:hRule="exact"/>
        </w:trPr>
        <w:tc>
          <w:tcPr>
            <w:tcW w:w="1418" w:type="dxa"/>
          </w:tcPr>
          <w:p>
            <w:pPr>
              <w:pStyle w:val="TableParagraph"/>
              <w:spacing w:line="315" w:lineRule="exact"/>
              <w:ind w:left="239"/>
              <w:rPr>
                <w:sz w:val="28"/>
              </w:rPr>
            </w:pPr>
            <w:r>
              <w:rPr>
                <w:sz w:val="28"/>
              </w:rPr>
              <w:t>Группы</w:t>
            </w:r>
          </w:p>
        </w:tc>
        <w:tc>
          <w:tcPr>
            <w:tcW w:w="1844" w:type="dxa"/>
          </w:tcPr>
          <w:p>
            <w:pPr>
              <w:pStyle w:val="TableParagraph"/>
              <w:rPr>
                <w:sz w:val="30"/>
              </w:rPr>
            </w:pPr>
          </w:p>
          <w:p>
            <w:pPr>
              <w:pStyle w:val="TableParagraph"/>
              <w:spacing w:before="5"/>
              <w:rPr>
                <w:sz w:val="37"/>
              </w:rPr>
            </w:pPr>
          </w:p>
          <w:p>
            <w:pPr>
              <w:pStyle w:val="TableParagraph"/>
              <w:ind w:left="511"/>
              <w:rPr>
                <w:sz w:val="28"/>
              </w:rPr>
            </w:pPr>
            <w:r>
              <w:rPr>
                <w:sz w:val="28"/>
              </w:rPr>
              <w:t>Общее</w:t>
            </w:r>
          </w:p>
        </w:tc>
        <w:tc>
          <w:tcPr>
            <w:tcW w:w="1841" w:type="dxa"/>
          </w:tcPr>
          <w:p>
            <w:pPr>
              <w:pStyle w:val="TableParagraph"/>
              <w:spacing w:before="5"/>
              <w:rPr>
                <w:sz w:val="39"/>
              </w:rPr>
            </w:pPr>
          </w:p>
          <w:p>
            <w:pPr>
              <w:pStyle w:val="TableParagraph"/>
              <w:spacing w:before="1"/>
              <w:ind w:left="124" w:right="122"/>
              <w:jc w:val="center"/>
              <w:rPr>
                <w:sz w:val="28"/>
              </w:rPr>
            </w:pPr>
            <w:r>
              <w:rPr>
                <w:sz w:val="28"/>
              </w:rPr>
              <w:t>Экстирпации матки с придатками</w:t>
            </w:r>
          </w:p>
        </w:tc>
        <w:tc>
          <w:tcPr>
            <w:tcW w:w="1843" w:type="dxa"/>
          </w:tcPr>
          <w:p>
            <w:pPr>
              <w:pStyle w:val="TableParagraph"/>
              <w:spacing w:before="5"/>
              <w:rPr>
                <w:sz w:val="39"/>
              </w:rPr>
            </w:pPr>
          </w:p>
          <w:p>
            <w:pPr>
              <w:pStyle w:val="TableParagraph"/>
              <w:spacing w:before="1"/>
              <w:ind w:left="276" w:right="271" w:hanging="6"/>
              <w:jc w:val="center"/>
              <w:rPr>
                <w:sz w:val="28"/>
              </w:rPr>
            </w:pPr>
            <w:r>
              <w:rPr>
                <w:sz w:val="28"/>
              </w:rPr>
              <w:t>Тазовая лимфаден- эктомия</w:t>
            </w:r>
          </w:p>
        </w:tc>
        <w:tc>
          <w:tcPr>
            <w:tcW w:w="2127" w:type="dxa"/>
          </w:tcPr>
          <w:p>
            <w:pPr>
              <w:pStyle w:val="TableParagraph"/>
              <w:rPr>
                <w:sz w:val="30"/>
              </w:rPr>
            </w:pPr>
          </w:p>
          <w:p>
            <w:pPr>
              <w:pStyle w:val="TableParagraph"/>
              <w:spacing w:before="5"/>
              <w:rPr>
                <w:sz w:val="37"/>
              </w:rPr>
            </w:pPr>
          </w:p>
          <w:p>
            <w:pPr>
              <w:pStyle w:val="TableParagraph"/>
              <w:ind w:left="182"/>
              <w:rPr>
                <w:sz w:val="28"/>
              </w:rPr>
            </w:pPr>
            <w:r>
              <w:rPr>
                <w:sz w:val="28"/>
              </w:rPr>
              <w:t>Оментэктомия</w:t>
            </w:r>
          </w:p>
        </w:tc>
      </w:tr>
      <w:tr>
        <w:trPr>
          <w:trHeight w:val="1054" w:hRule="exact"/>
        </w:trPr>
        <w:tc>
          <w:tcPr>
            <w:tcW w:w="1418" w:type="dxa"/>
          </w:tcPr>
          <w:p>
            <w:pPr>
              <w:pStyle w:val="TableParagraph"/>
              <w:spacing w:before="93"/>
              <w:ind w:left="345" w:right="205" w:hanging="123"/>
              <w:rPr>
                <w:sz w:val="28"/>
              </w:rPr>
            </w:pPr>
            <w:r>
              <w:rPr>
                <w:sz w:val="28"/>
              </w:rPr>
              <w:t>Лапаро- томия</w:t>
            </w:r>
          </w:p>
        </w:tc>
        <w:tc>
          <w:tcPr>
            <w:tcW w:w="1844" w:type="dxa"/>
          </w:tcPr>
          <w:p>
            <w:pPr>
              <w:pStyle w:val="TableParagraph"/>
              <w:spacing w:line="315" w:lineRule="exact"/>
              <w:ind w:left="453"/>
              <w:rPr>
                <w:sz w:val="28"/>
              </w:rPr>
            </w:pPr>
            <w:r>
              <w:rPr>
                <w:sz w:val="28"/>
              </w:rPr>
              <w:t>90±0,45</w:t>
            </w:r>
          </w:p>
          <w:p>
            <w:pPr>
              <w:pStyle w:val="TableParagraph"/>
              <w:spacing w:before="201"/>
              <w:ind w:left="355"/>
              <w:rPr>
                <w:sz w:val="28"/>
              </w:rPr>
            </w:pPr>
            <w:r>
              <w:rPr>
                <w:sz w:val="28"/>
              </w:rPr>
              <w:t>(55 - 190)</w:t>
            </w:r>
          </w:p>
        </w:tc>
        <w:tc>
          <w:tcPr>
            <w:tcW w:w="1841" w:type="dxa"/>
          </w:tcPr>
          <w:p>
            <w:pPr>
              <w:pStyle w:val="TableParagraph"/>
              <w:spacing w:line="315" w:lineRule="exact"/>
              <w:ind w:left="453"/>
              <w:rPr>
                <w:sz w:val="28"/>
              </w:rPr>
            </w:pPr>
            <w:r>
              <w:rPr>
                <w:sz w:val="28"/>
              </w:rPr>
              <w:t>41±0,31</w:t>
            </w:r>
          </w:p>
          <w:p>
            <w:pPr>
              <w:pStyle w:val="TableParagraph"/>
              <w:spacing w:before="201"/>
              <w:ind w:left="427"/>
              <w:rPr>
                <w:sz w:val="28"/>
              </w:rPr>
            </w:pPr>
            <w:r>
              <w:rPr>
                <w:sz w:val="28"/>
              </w:rPr>
              <w:t>(20 - 95)</w:t>
            </w:r>
          </w:p>
        </w:tc>
        <w:tc>
          <w:tcPr>
            <w:tcW w:w="1843" w:type="dxa"/>
          </w:tcPr>
          <w:p>
            <w:pPr>
              <w:pStyle w:val="TableParagraph"/>
              <w:spacing w:line="315" w:lineRule="exact"/>
              <w:ind w:left="453"/>
              <w:rPr>
                <w:sz w:val="28"/>
              </w:rPr>
            </w:pPr>
            <w:r>
              <w:rPr>
                <w:sz w:val="28"/>
              </w:rPr>
              <w:t>25±0,07</w:t>
            </w:r>
          </w:p>
          <w:p>
            <w:pPr>
              <w:pStyle w:val="TableParagraph"/>
              <w:spacing w:before="201"/>
              <w:ind w:left="427"/>
              <w:rPr>
                <w:sz w:val="28"/>
              </w:rPr>
            </w:pPr>
            <w:r>
              <w:rPr>
                <w:sz w:val="28"/>
              </w:rPr>
              <w:t>(15 - 45)</w:t>
            </w:r>
          </w:p>
        </w:tc>
        <w:tc>
          <w:tcPr>
            <w:tcW w:w="2127" w:type="dxa"/>
          </w:tcPr>
          <w:p>
            <w:pPr>
              <w:pStyle w:val="TableParagraph"/>
              <w:spacing w:line="315" w:lineRule="exact"/>
              <w:ind w:left="595"/>
              <w:rPr>
                <w:sz w:val="28"/>
              </w:rPr>
            </w:pPr>
            <w:r>
              <w:rPr>
                <w:sz w:val="28"/>
              </w:rPr>
              <w:t>19±0,28</w:t>
            </w:r>
          </w:p>
          <w:p>
            <w:pPr>
              <w:pStyle w:val="TableParagraph"/>
              <w:spacing w:before="201"/>
              <w:ind w:left="569"/>
              <w:rPr>
                <w:sz w:val="28"/>
              </w:rPr>
            </w:pPr>
            <w:r>
              <w:rPr>
                <w:sz w:val="28"/>
              </w:rPr>
              <w:t>(15 - 25)</w:t>
            </w:r>
          </w:p>
        </w:tc>
      </w:tr>
      <w:tr>
        <w:trPr>
          <w:trHeight w:val="1054" w:hRule="exact"/>
        </w:trPr>
        <w:tc>
          <w:tcPr>
            <w:tcW w:w="1418" w:type="dxa"/>
          </w:tcPr>
          <w:p>
            <w:pPr>
              <w:pStyle w:val="TableParagraph"/>
              <w:spacing w:before="93"/>
              <w:ind w:left="290" w:right="205" w:hanging="68"/>
              <w:rPr>
                <w:sz w:val="28"/>
              </w:rPr>
            </w:pPr>
            <w:r>
              <w:rPr>
                <w:sz w:val="28"/>
              </w:rPr>
              <w:t>Лапаро- скопия</w:t>
            </w:r>
          </w:p>
        </w:tc>
        <w:tc>
          <w:tcPr>
            <w:tcW w:w="1844" w:type="dxa"/>
          </w:tcPr>
          <w:p>
            <w:pPr>
              <w:pStyle w:val="TableParagraph"/>
              <w:spacing w:line="315" w:lineRule="exact"/>
              <w:ind w:left="383"/>
              <w:rPr>
                <w:sz w:val="28"/>
              </w:rPr>
            </w:pPr>
            <w:r>
              <w:rPr>
                <w:sz w:val="28"/>
              </w:rPr>
              <w:t>106±0,95</w:t>
            </w:r>
          </w:p>
          <w:p>
            <w:pPr>
              <w:pStyle w:val="TableParagraph"/>
              <w:spacing w:before="201"/>
              <w:ind w:left="355"/>
              <w:rPr>
                <w:sz w:val="28"/>
              </w:rPr>
            </w:pPr>
            <w:r>
              <w:rPr>
                <w:sz w:val="28"/>
              </w:rPr>
              <w:t>(60 - 270)</w:t>
            </w:r>
          </w:p>
        </w:tc>
        <w:tc>
          <w:tcPr>
            <w:tcW w:w="1841" w:type="dxa"/>
          </w:tcPr>
          <w:p>
            <w:pPr>
              <w:pStyle w:val="TableParagraph"/>
              <w:spacing w:line="315" w:lineRule="exact"/>
              <w:ind w:left="453"/>
              <w:rPr>
                <w:sz w:val="28"/>
              </w:rPr>
            </w:pPr>
            <w:r>
              <w:rPr>
                <w:sz w:val="28"/>
              </w:rPr>
              <w:t>58±0,65</w:t>
            </w:r>
          </w:p>
          <w:p>
            <w:pPr>
              <w:pStyle w:val="TableParagraph"/>
              <w:spacing w:before="201"/>
              <w:ind w:left="355"/>
              <w:rPr>
                <w:sz w:val="28"/>
              </w:rPr>
            </w:pPr>
            <w:r>
              <w:rPr>
                <w:sz w:val="28"/>
              </w:rPr>
              <w:t>(35 - 120)</w:t>
            </w:r>
          </w:p>
        </w:tc>
        <w:tc>
          <w:tcPr>
            <w:tcW w:w="1843" w:type="dxa"/>
          </w:tcPr>
          <w:p>
            <w:pPr>
              <w:pStyle w:val="TableParagraph"/>
              <w:spacing w:line="315" w:lineRule="exact"/>
              <w:ind w:left="453"/>
              <w:rPr>
                <w:sz w:val="28"/>
              </w:rPr>
            </w:pPr>
            <w:r>
              <w:rPr>
                <w:sz w:val="28"/>
              </w:rPr>
              <w:t>48±0,11</w:t>
            </w:r>
          </w:p>
          <w:p>
            <w:pPr>
              <w:pStyle w:val="TableParagraph"/>
              <w:spacing w:before="201"/>
              <w:ind w:left="427"/>
              <w:rPr>
                <w:sz w:val="28"/>
              </w:rPr>
            </w:pPr>
            <w:r>
              <w:rPr>
                <w:sz w:val="28"/>
              </w:rPr>
              <w:t>(30 - 70)</w:t>
            </w:r>
          </w:p>
        </w:tc>
        <w:tc>
          <w:tcPr>
            <w:tcW w:w="2127" w:type="dxa"/>
          </w:tcPr>
          <w:p>
            <w:pPr>
              <w:pStyle w:val="TableParagraph"/>
              <w:spacing w:line="315" w:lineRule="exact"/>
              <w:ind w:left="492"/>
              <w:rPr>
                <w:sz w:val="28"/>
              </w:rPr>
            </w:pPr>
            <w:r>
              <w:rPr>
                <w:sz w:val="28"/>
              </w:rPr>
              <w:t>32,5±0,17</w:t>
            </w:r>
          </w:p>
          <w:p>
            <w:pPr>
              <w:pStyle w:val="TableParagraph"/>
              <w:spacing w:before="201"/>
              <w:ind w:left="569"/>
              <w:rPr>
                <w:sz w:val="28"/>
              </w:rPr>
            </w:pPr>
            <w:r>
              <w:rPr>
                <w:sz w:val="28"/>
              </w:rPr>
              <w:t>(25 - 40)</w:t>
            </w:r>
          </w:p>
        </w:tc>
      </w:tr>
    </w:tbl>
    <w:p>
      <w:pPr>
        <w:spacing w:after="0"/>
        <w:rPr>
          <w:sz w:val="28"/>
        </w:rPr>
        <w:sectPr>
          <w:pgSz w:w="11900" w:h="16850"/>
          <w:pgMar w:header="712" w:footer="0" w:top="1020" w:bottom="280" w:left="1580" w:right="1000"/>
        </w:sectPr>
      </w:pPr>
    </w:p>
    <w:p>
      <w:pPr>
        <w:pStyle w:val="BodyText"/>
        <w:rPr>
          <w:sz w:val="20"/>
        </w:rPr>
      </w:pPr>
    </w:p>
    <w:p>
      <w:pPr>
        <w:pStyle w:val="BodyText"/>
        <w:rPr>
          <w:sz w:val="20"/>
        </w:rPr>
      </w:pPr>
    </w:p>
    <w:p>
      <w:pPr>
        <w:pStyle w:val="BodyText"/>
        <w:spacing w:line="360" w:lineRule="auto" w:before="224"/>
        <w:ind w:left="102" w:right="108" w:firstLine="719"/>
        <w:jc w:val="both"/>
      </w:pPr>
      <w:r>
        <w:rPr/>
        <w:t>Общая длительность операций оказалась несколько выше при лапароскопическом доступе. Однако, по мере накопления  опыта хирургами и появления новых современных электрохирургических инструментов, эта разница постепенно сокращается. В последние годы больше времени расходуется на выполнение тазовой лимфодиссекции лапароскопическим доступом, но оно полностью компенсируется за счет этапов вхождения и ушивания операционной раны (Рис. 3.3).</w:t>
      </w:r>
    </w:p>
    <w:p>
      <w:pPr>
        <w:pStyle w:val="BodyText"/>
        <w:rPr>
          <w:sz w:val="30"/>
        </w:rPr>
      </w:pPr>
    </w:p>
    <w:p>
      <w:pPr>
        <w:pStyle w:val="BodyText"/>
        <w:rPr>
          <w:sz w:val="30"/>
        </w:rPr>
      </w:pPr>
    </w:p>
    <w:p>
      <w:pPr>
        <w:pStyle w:val="BodyText"/>
        <w:spacing w:before="199"/>
        <w:ind w:right="101"/>
        <w:jc w:val="right"/>
      </w:pPr>
      <w:r>
        <w:rPr/>
        <w:t>Рисунок 3.3</w:t>
      </w:r>
    </w:p>
    <w:p>
      <w:pPr>
        <w:pStyle w:val="BodyText"/>
        <w:spacing w:before="5"/>
        <w:rPr>
          <w:sz w:val="31"/>
        </w:rPr>
      </w:pPr>
    </w:p>
    <w:p>
      <w:pPr>
        <w:pStyle w:val="BodyText"/>
        <w:ind w:left="2464"/>
      </w:pPr>
      <w:r>
        <w:rPr/>
        <w:t>Длительность различных этапов операции</w:t>
      </w:r>
    </w:p>
    <w:p>
      <w:pPr>
        <w:pStyle w:val="BodyText"/>
        <w:rPr>
          <w:sz w:val="20"/>
        </w:rPr>
      </w:pPr>
    </w:p>
    <w:p>
      <w:pPr>
        <w:pStyle w:val="BodyText"/>
        <w:spacing w:before="4"/>
        <w:rPr>
          <w:sz w:val="26"/>
        </w:rPr>
      </w:pPr>
    </w:p>
    <w:p>
      <w:pPr>
        <w:spacing w:before="95"/>
        <w:ind w:left="850" w:right="0" w:firstLine="0"/>
        <w:jc w:val="left"/>
        <w:rPr>
          <w:rFonts w:ascii="Arial"/>
          <w:b/>
          <w:sz w:val="16"/>
        </w:rPr>
      </w:pPr>
      <w:r>
        <w:rPr/>
        <w:pict>
          <v:group style="position:absolute;margin-left:137.860001pt;margin-top:8.973894pt;width:376.4pt;height:175.5pt;mso-position-horizontal-relative:page;mso-position-vertical-relative:paragraph;z-index:2896" coordorigin="2757,179" coordsize="7528,3510">
            <v:shape style="position:absolute;left:2767;top:189;width:7508;height:2909" coordorigin="2767,189" coordsize="7508,2909" path="m10042,3098l10274,3098m8165,3098l9415,3098m7382,3098l7538,3098m6286,3098l6756,3098m5506,3098l5662,3098m4409,3098l4879,3098m3626,3098l3785,3098m2767,3098l3002,3098m10042,2515l10274,2515m7382,2515l9415,2515m6286,2515l6756,2515m5506,2515l5662,2515m4409,2515l4879,2515m2767,2515l3785,2515m7382,1934l10274,1934m6286,1934l6756,1934m5506,1934l5662,1934m2767,1934l4879,1934m7382,1353l10274,1353m6286,1353l6756,1353m5506,1353l5662,1353m2767,1353l4879,1353m7382,770l10274,770m2767,770l6756,770m2767,189l10274,189e" filled="false" stroked="true" strokeweight=".24pt" strokecolor="#000000">
              <v:path arrowok="t"/>
              <v:stroke dashstyle="solid"/>
            </v:shape>
            <v:rect style="position:absolute;left:2767;top:189;width:7507;height:3490" filled="false" stroked="true" strokeweight=".96pt" strokecolor="#808080">
              <v:stroke dashstyle="solid"/>
            </v:rect>
            <v:rect style="position:absolute;left:3002;top:2796;width:624;height:883" filled="true" fillcolor="#ffff00" stroked="false">
              <v:fill opacity="24929f" type="solid"/>
            </v:rect>
            <v:rect style="position:absolute;left:3002;top:2796;width:624;height:883" filled="false" stroked="true" strokeweight=".96pt" strokecolor="#000000">
              <v:stroke dashstyle="solid"/>
            </v:rect>
            <v:rect style="position:absolute;left:4879;top:777;width:626;height:2902" filled="true" fillcolor="#ffff00" stroked="false">
              <v:fill opacity="24929f" type="solid"/>
            </v:rect>
            <v:rect style="position:absolute;left:4879;top:777;width:626;height:2902" filled="false" stroked="true" strokeweight=".96pt" strokecolor="#000000">
              <v:stroke dashstyle="solid"/>
            </v:rect>
            <v:rect style="position:absolute;left:6756;top:480;width:626;height:3199" filled="true" fillcolor="#ffff00" stroked="false">
              <v:fill opacity="24929f" type="solid"/>
            </v:rect>
            <v:rect style="position:absolute;left:6756;top:480;width:626;height:3199" filled="false" stroked="true" strokeweight=".96pt" strokecolor="#000000">
              <v:stroke dashstyle="solid"/>
            </v:rect>
            <v:rect style="position:absolute;left:8633;top:3237;width:626;height:442" filled="true" fillcolor="#ffff00" stroked="false">
              <v:fill opacity="24929f" type="solid"/>
            </v:rect>
            <v:rect style="position:absolute;left:8633;top:3237;width:626;height:442" filled="false" stroked="true" strokeweight=".96pt" strokecolor="#000000">
              <v:stroke dashstyle="solid"/>
            </v:rect>
            <v:rect style="position:absolute;left:3785;top:2225;width:624;height:1454" filled="true" fillcolor="#0000ff" stroked="false">
              <v:fill type="solid"/>
            </v:rect>
            <v:rect style="position:absolute;left:3785;top:2225;width:624;height:1454" filled="false" stroked="true" strokeweight=".96pt" strokecolor="#000000">
              <v:stroke dashstyle="solid"/>
            </v:rect>
            <v:rect style="position:absolute;left:5662;top:1190;width:624;height:2489" filled="true" fillcolor="#0000ff" stroked="false">
              <v:fill type="solid"/>
            </v:rect>
            <v:rect style="position:absolute;left:5662;top:1190;width:624;height:2489" filled="false" stroked="true" strokeweight=".96pt" strokecolor="#000000">
              <v:stroke dashstyle="solid"/>
            </v:rect>
            <v:rect style="position:absolute;left:7538;top:2515;width:626;height:1164" filled="true" fillcolor="#0000ff" stroked="false">
              <v:fill type="solid"/>
            </v:rect>
            <v:rect style="position:absolute;left:7538;top:2515;width:626;height:1164" filled="false" stroked="true" strokeweight=".96pt" strokecolor="#000000">
              <v:stroke dashstyle="solid"/>
            </v:rect>
            <v:rect style="position:absolute;left:9415;top:2040;width:626;height:1639" filled="true" fillcolor="#0000ff" stroked="false">
              <v:fill type="solid"/>
            </v:rect>
            <v:rect style="position:absolute;left:9415;top:2040;width:626;height:1639" filled="false" stroked="true" strokeweight=".96pt" strokecolor="#000000">
              <v:stroke dashstyle="solid"/>
            </v:rect>
            <v:line style="position:absolute" from="2767,3679" to="10274,3679" stroked="true" strokeweight=".24pt" strokecolor="#000000">
              <v:stroke dashstyle="solid"/>
            </v:line>
            <w10:wrap type="none"/>
          </v:group>
        </w:pict>
      </w:r>
      <w:r>
        <w:rPr>
          <w:rFonts w:ascii="Arial"/>
          <w:b/>
          <w:sz w:val="16"/>
        </w:rPr>
        <w:t>60</w:t>
      </w:r>
    </w:p>
    <w:p>
      <w:pPr>
        <w:pStyle w:val="BodyText"/>
        <w:spacing w:before="3"/>
        <w:rPr>
          <w:rFonts w:ascii="Arial"/>
          <w:b/>
          <w:sz w:val="26"/>
        </w:rPr>
      </w:pPr>
    </w:p>
    <w:p>
      <w:pPr>
        <w:spacing w:before="96"/>
        <w:ind w:left="850" w:right="0" w:firstLine="0"/>
        <w:jc w:val="left"/>
        <w:rPr>
          <w:rFonts w:ascii="Arial"/>
          <w:b/>
          <w:sz w:val="16"/>
        </w:rPr>
      </w:pPr>
      <w:r>
        <w:rPr>
          <w:rFonts w:ascii="Arial"/>
          <w:b/>
          <w:sz w:val="16"/>
        </w:rPr>
        <w:t>50</w:t>
      </w:r>
    </w:p>
    <w:p>
      <w:pPr>
        <w:pStyle w:val="BodyText"/>
        <w:spacing w:before="3"/>
        <w:rPr>
          <w:rFonts w:ascii="Arial"/>
          <w:b/>
          <w:sz w:val="26"/>
        </w:rPr>
      </w:pPr>
    </w:p>
    <w:p>
      <w:pPr>
        <w:spacing w:before="95"/>
        <w:ind w:left="850" w:right="0" w:firstLine="0"/>
        <w:jc w:val="left"/>
        <w:rPr>
          <w:rFonts w:ascii="Arial"/>
          <w:b/>
          <w:sz w:val="16"/>
        </w:rPr>
      </w:pPr>
      <w:r>
        <w:rPr>
          <w:rFonts w:ascii="Arial"/>
          <w:b/>
          <w:sz w:val="16"/>
        </w:rPr>
        <w:t>40</w:t>
      </w:r>
    </w:p>
    <w:p>
      <w:pPr>
        <w:pStyle w:val="BodyText"/>
        <w:spacing w:before="3"/>
        <w:rPr>
          <w:rFonts w:ascii="Arial"/>
          <w:b/>
          <w:sz w:val="26"/>
        </w:rPr>
      </w:pPr>
    </w:p>
    <w:p>
      <w:pPr>
        <w:spacing w:before="95"/>
        <w:ind w:left="850" w:right="0" w:firstLine="0"/>
        <w:jc w:val="left"/>
        <w:rPr>
          <w:rFonts w:ascii="Arial"/>
          <w:b/>
          <w:sz w:val="16"/>
        </w:rPr>
      </w:pPr>
      <w:r>
        <w:rPr>
          <w:rFonts w:ascii="Arial"/>
          <w:b/>
          <w:sz w:val="16"/>
        </w:rPr>
        <w:t>30</w:t>
      </w:r>
    </w:p>
    <w:p>
      <w:pPr>
        <w:pStyle w:val="BodyText"/>
        <w:spacing w:before="2"/>
        <w:rPr>
          <w:rFonts w:ascii="Arial"/>
          <w:b/>
          <w:sz w:val="26"/>
        </w:rPr>
      </w:pPr>
    </w:p>
    <w:p>
      <w:pPr>
        <w:spacing w:before="96"/>
        <w:ind w:left="850" w:right="0" w:firstLine="0"/>
        <w:jc w:val="left"/>
        <w:rPr>
          <w:rFonts w:ascii="Arial"/>
          <w:b/>
          <w:sz w:val="16"/>
        </w:rPr>
      </w:pPr>
      <w:r>
        <w:rPr>
          <w:rFonts w:ascii="Arial"/>
          <w:b/>
          <w:sz w:val="16"/>
        </w:rPr>
        <w:t>20</w:t>
      </w:r>
    </w:p>
    <w:p>
      <w:pPr>
        <w:pStyle w:val="BodyText"/>
        <w:spacing w:before="3"/>
        <w:rPr>
          <w:rFonts w:ascii="Arial"/>
          <w:b/>
          <w:sz w:val="26"/>
        </w:rPr>
      </w:pPr>
    </w:p>
    <w:p>
      <w:pPr>
        <w:spacing w:before="96"/>
        <w:ind w:left="850" w:right="0" w:firstLine="0"/>
        <w:jc w:val="left"/>
        <w:rPr>
          <w:rFonts w:ascii="Arial"/>
          <w:b/>
          <w:sz w:val="16"/>
        </w:rPr>
      </w:pPr>
      <w:r>
        <w:rPr>
          <w:rFonts w:ascii="Arial"/>
          <w:b/>
          <w:sz w:val="16"/>
        </w:rPr>
        <w:t>10</w:t>
      </w:r>
    </w:p>
    <w:p>
      <w:pPr>
        <w:pStyle w:val="BodyText"/>
        <w:spacing w:before="2"/>
        <w:rPr>
          <w:rFonts w:ascii="Arial"/>
          <w:b/>
          <w:sz w:val="26"/>
        </w:rPr>
      </w:pPr>
    </w:p>
    <w:p>
      <w:pPr>
        <w:spacing w:after="0"/>
        <w:rPr>
          <w:rFonts w:ascii="Arial"/>
          <w:sz w:val="26"/>
        </w:rPr>
        <w:sectPr>
          <w:pgSz w:w="11900" w:h="16850"/>
          <w:pgMar w:header="712" w:footer="0" w:top="1020" w:bottom="280" w:left="1600" w:right="1020"/>
        </w:sectPr>
      </w:pPr>
    </w:p>
    <w:p>
      <w:pPr>
        <w:spacing w:before="96"/>
        <w:ind w:left="0" w:right="409" w:firstLine="0"/>
        <w:jc w:val="center"/>
        <w:rPr>
          <w:rFonts w:ascii="Arial"/>
          <w:b/>
          <w:sz w:val="16"/>
        </w:rPr>
      </w:pPr>
      <w:r>
        <w:rPr>
          <w:rFonts w:ascii="Arial"/>
          <w:b/>
          <w:w w:val="100"/>
          <w:sz w:val="16"/>
        </w:rPr>
        <w:t>0</w:t>
      </w:r>
    </w:p>
    <w:p>
      <w:pPr>
        <w:spacing w:before="9"/>
        <w:ind w:left="0" w:right="0" w:firstLine="0"/>
        <w:jc w:val="right"/>
        <w:rPr>
          <w:rFonts w:ascii="Arial" w:hAnsi="Arial"/>
          <w:b/>
          <w:sz w:val="16"/>
        </w:rPr>
      </w:pPr>
      <w:r>
        <w:rPr>
          <w:rFonts w:ascii="Arial" w:hAnsi="Arial"/>
          <w:b/>
          <w:sz w:val="16"/>
        </w:rPr>
        <w:t>Доступ</w:t>
      </w:r>
    </w:p>
    <w:p>
      <w:pPr>
        <w:pStyle w:val="BodyText"/>
        <w:rPr>
          <w:rFonts w:ascii="Arial"/>
          <w:b/>
          <w:sz w:val="18"/>
        </w:rPr>
      </w:pPr>
      <w:r>
        <w:rPr/>
        <w:br w:type="column"/>
      </w:r>
      <w:r>
        <w:rPr>
          <w:rFonts w:ascii="Arial"/>
          <w:b/>
          <w:sz w:val="18"/>
        </w:rPr>
      </w:r>
    </w:p>
    <w:p>
      <w:pPr>
        <w:pStyle w:val="BodyText"/>
        <w:spacing w:before="7"/>
        <w:rPr>
          <w:rFonts w:ascii="Arial"/>
          <w:b/>
          <w:sz w:val="18"/>
        </w:rPr>
      </w:pPr>
    </w:p>
    <w:p>
      <w:pPr>
        <w:spacing w:before="0"/>
        <w:ind w:left="940" w:right="0" w:firstLine="0"/>
        <w:jc w:val="left"/>
        <w:rPr>
          <w:rFonts w:ascii="Cambria" w:hAnsi="Cambria"/>
          <w:b/>
          <w:sz w:val="16"/>
        </w:rPr>
      </w:pPr>
      <w:r>
        <w:rPr>
          <w:rFonts w:ascii="Cambria" w:hAnsi="Cambria"/>
          <w:b/>
          <w:sz w:val="16"/>
        </w:rPr>
        <w:t>Пангистерэктомия</w:t>
      </w:r>
    </w:p>
    <w:p>
      <w:pPr>
        <w:pStyle w:val="BodyText"/>
        <w:spacing w:before="7"/>
        <w:rPr>
          <w:rFonts w:ascii="Cambria"/>
          <w:b/>
          <w:sz w:val="24"/>
        </w:rPr>
      </w:pPr>
      <w:r>
        <w:rPr/>
        <w:br w:type="column"/>
      </w:r>
      <w:r>
        <w:rPr>
          <w:rFonts w:ascii="Cambria"/>
          <w:b/>
          <w:sz w:val="24"/>
        </w:rPr>
      </w:r>
    </w:p>
    <w:p>
      <w:pPr>
        <w:spacing w:before="1"/>
        <w:ind w:left="167" w:right="0" w:firstLine="0"/>
        <w:jc w:val="left"/>
        <w:rPr>
          <w:rFonts w:ascii="Arial" w:hAnsi="Arial"/>
          <w:b/>
          <w:sz w:val="16"/>
        </w:rPr>
      </w:pPr>
      <w:r>
        <w:rPr>
          <w:rFonts w:ascii="Arial" w:hAnsi="Arial"/>
          <w:b/>
          <w:sz w:val="16"/>
        </w:rPr>
        <w:t>л/диссекция</w:t>
      </w:r>
    </w:p>
    <w:p>
      <w:pPr>
        <w:pStyle w:val="BodyText"/>
        <w:rPr>
          <w:rFonts w:ascii="Arial"/>
          <w:b/>
          <w:sz w:val="20"/>
        </w:rPr>
      </w:pPr>
      <w:r>
        <w:rPr/>
        <w:br w:type="column"/>
      </w:r>
      <w:r>
        <w:rPr>
          <w:rFonts w:ascii="Arial"/>
          <w:b/>
          <w:sz w:val="20"/>
        </w:rPr>
      </w:r>
    </w:p>
    <w:p>
      <w:pPr>
        <w:pStyle w:val="BodyText"/>
        <w:spacing w:before="8"/>
        <w:rPr>
          <w:rFonts w:ascii="Arial"/>
          <w:b/>
          <w:sz w:val="16"/>
        </w:rPr>
      </w:pPr>
    </w:p>
    <w:p>
      <w:pPr>
        <w:spacing w:before="0"/>
        <w:ind w:left="940" w:right="0" w:firstLine="0"/>
        <w:jc w:val="left"/>
        <w:rPr>
          <w:b/>
          <w:sz w:val="18"/>
        </w:rPr>
      </w:pPr>
      <w:r>
        <w:rPr>
          <w:b/>
          <w:sz w:val="18"/>
        </w:rPr>
        <w:t>Ушивание</w:t>
      </w:r>
    </w:p>
    <w:p>
      <w:pPr>
        <w:spacing w:after="0"/>
        <w:jc w:val="left"/>
        <w:rPr>
          <w:sz w:val="18"/>
        </w:rPr>
        <w:sectPr>
          <w:type w:val="continuous"/>
          <w:pgSz w:w="11900" w:h="16850"/>
          <w:pgMar w:top="1020" w:bottom="280" w:left="1600" w:right="1020"/>
          <w:cols w:num="4" w:equalWidth="0">
            <w:col w:w="2383" w:space="363"/>
            <w:col w:w="2413" w:space="40"/>
            <w:col w:w="1156" w:space="467"/>
            <w:col w:w="2458"/>
          </w:cols>
        </w:sectPr>
      </w:pPr>
    </w:p>
    <w:p>
      <w:pPr>
        <w:pStyle w:val="BodyText"/>
        <w:spacing w:before="1"/>
        <w:rPr>
          <w:b/>
          <w:sz w:val="16"/>
        </w:rPr>
      </w:pPr>
    </w:p>
    <w:p>
      <w:pPr>
        <w:pStyle w:val="BodyText"/>
        <w:tabs>
          <w:tab w:pos="5370" w:val="left" w:leader="none"/>
        </w:tabs>
        <w:spacing w:before="89"/>
        <w:ind w:left="3150"/>
      </w:pPr>
      <w:r>
        <w:rPr/>
        <w:pict>
          <v:group style="position:absolute;margin-left:226.899994pt;margin-top:8.500307pt;width:8pt;height:8pt;mso-position-horizontal-relative:page;mso-position-vertical-relative:paragraph;z-index:2920" coordorigin="4538,170" coordsize="160,160">
            <v:rect style="position:absolute;left:4548;top:180;width:142;height:142" filled="true" fillcolor="#ffff00" stroked="false">
              <v:fill opacity="24929f" type="solid"/>
            </v:rect>
            <v:rect style="position:absolute;left:4548;top:180;width:139;height:139" filled="false" stroked="true" strokeweight=".96pt" strokecolor="#000000">
              <v:stroke dashstyle="solid"/>
            </v:rect>
            <w10:wrap type="none"/>
          </v:group>
        </w:pict>
      </w:r>
      <w:r>
        <w:rPr/>
        <w:pict>
          <v:group style="position:absolute;margin-left:337.899994pt;margin-top:8.500307pt;width:8pt;height:8pt;mso-position-horizontal-relative:page;mso-position-vertical-relative:paragraph;z-index:-339256" coordorigin="6758,170" coordsize="160,160">
            <v:rect style="position:absolute;left:6768;top:180;width:142;height:142" filled="true" fillcolor="#0000ff" stroked="false">
              <v:fill type="solid"/>
            </v:rect>
            <v:rect style="position:absolute;left:6768;top:180;width:139;height:139" filled="false" stroked="true" strokeweight=".96pt" strokecolor="#000000">
              <v:stroke dashstyle="solid"/>
            </v:rect>
            <w10:wrap type="none"/>
          </v:group>
        </w:pict>
      </w:r>
      <w:r>
        <w:rPr/>
        <w:t>Лапароскопия</w:t>
        <w:tab/>
        <w:t>Лапаротомия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pStyle w:val="BodyText"/>
        <w:spacing w:line="360" w:lineRule="auto" w:before="89"/>
        <w:ind w:left="102" w:right="106" w:firstLine="789"/>
        <w:jc w:val="both"/>
      </w:pPr>
      <w:r>
        <w:rPr/>
        <w:t>О радикальности выполненных расширенных хирургических вмешательств принято судить по количеству удаленных лимфатических узлов. Возможно, эта цифра, действительно является единственной</w:t>
      </w:r>
    </w:p>
    <w:p>
      <w:pPr>
        <w:spacing w:after="0" w:line="360" w:lineRule="auto"/>
        <w:jc w:val="both"/>
        <w:sectPr>
          <w:type w:val="continuous"/>
          <w:pgSz w:w="11900" w:h="16850"/>
          <w:pgMar w:top="1020" w:bottom="280" w:left="1600" w:right="1020"/>
        </w:sectPr>
      </w:pPr>
    </w:p>
    <w:p>
      <w:pPr>
        <w:pStyle w:val="BodyText"/>
        <w:rPr>
          <w:sz w:val="20"/>
        </w:rPr>
      </w:pPr>
    </w:p>
    <w:p>
      <w:pPr>
        <w:pStyle w:val="BodyText"/>
        <w:rPr>
          <w:sz w:val="20"/>
        </w:rPr>
      </w:pPr>
    </w:p>
    <w:p>
      <w:pPr>
        <w:pStyle w:val="BodyText"/>
        <w:spacing w:line="360" w:lineRule="auto" w:before="224"/>
        <w:ind w:left="122" w:right="126"/>
        <w:jc w:val="both"/>
      </w:pPr>
      <w:r>
        <w:rPr/>
        <w:t>объективной характеристикой полноты лимфодиссекции, а все рассуждения об одноблочном удалении всех тканей параметриев и о невнимательности гистологов остаются лишь словами (Табл. 3.25).</w:t>
      </w:r>
    </w:p>
    <w:p>
      <w:pPr>
        <w:pStyle w:val="BodyText"/>
        <w:rPr>
          <w:sz w:val="30"/>
        </w:rPr>
      </w:pPr>
    </w:p>
    <w:p>
      <w:pPr>
        <w:pStyle w:val="BodyText"/>
        <w:spacing w:line="680" w:lineRule="atLeast" w:before="185"/>
        <w:ind w:left="1701" w:right="105" w:firstLine="5932"/>
      </w:pPr>
      <w:r>
        <w:rPr/>
        <w:t>Таблица 3.25 Число удаленных лимфатических узлов при различных</w:t>
      </w:r>
    </w:p>
    <w:p>
      <w:pPr>
        <w:pStyle w:val="BodyText"/>
        <w:spacing w:before="159"/>
        <w:ind w:left="921" w:right="925"/>
        <w:jc w:val="center"/>
      </w:pPr>
      <w:r>
        <w:rPr/>
        <w:t>хирургических доступах</w:t>
      </w:r>
    </w:p>
    <w:p>
      <w:pPr>
        <w:pStyle w:val="BodyText"/>
        <w:rPr>
          <w:sz w:val="20"/>
        </w:rPr>
      </w:pPr>
    </w:p>
    <w:p>
      <w:pPr>
        <w:pStyle w:val="BodyText"/>
        <w:rPr>
          <w:sz w:val="1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3262"/>
        <w:gridCol w:w="3260"/>
      </w:tblGrid>
      <w:tr>
        <w:trPr>
          <w:trHeight w:val="1150" w:hRule="exact"/>
        </w:trPr>
        <w:tc>
          <w:tcPr>
            <w:tcW w:w="2552" w:type="dxa"/>
          </w:tcPr>
          <w:p>
            <w:pPr>
              <w:pStyle w:val="TableParagraph"/>
              <w:rPr>
                <w:sz w:val="30"/>
              </w:rPr>
            </w:pPr>
          </w:p>
          <w:p>
            <w:pPr>
              <w:pStyle w:val="TableParagraph"/>
              <w:spacing w:before="217"/>
              <w:ind w:left="523"/>
              <w:rPr>
                <w:sz w:val="28"/>
              </w:rPr>
            </w:pPr>
            <w:r>
              <w:rPr>
                <w:sz w:val="28"/>
              </w:rPr>
              <w:t>Вид доступа</w:t>
            </w:r>
          </w:p>
        </w:tc>
        <w:tc>
          <w:tcPr>
            <w:tcW w:w="3262" w:type="dxa"/>
          </w:tcPr>
          <w:p>
            <w:pPr>
              <w:pStyle w:val="TableParagraph"/>
              <w:spacing w:line="424" w:lineRule="auto"/>
              <w:ind w:left="103" w:right="224"/>
              <w:rPr>
                <w:sz w:val="28"/>
              </w:rPr>
            </w:pPr>
            <w:r>
              <w:rPr>
                <w:sz w:val="28"/>
              </w:rPr>
              <w:t>Тазовые лимфатические узлы справа</w:t>
            </w:r>
          </w:p>
        </w:tc>
        <w:tc>
          <w:tcPr>
            <w:tcW w:w="3260" w:type="dxa"/>
          </w:tcPr>
          <w:p>
            <w:pPr>
              <w:pStyle w:val="TableParagraph"/>
              <w:spacing w:line="424" w:lineRule="auto"/>
              <w:ind w:left="100" w:right="225"/>
              <w:rPr>
                <w:sz w:val="28"/>
              </w:rPr>
            </w:pPr>
            <w:r>
              <w:rPr>
                <w:sz w:val="28"/>
              </w:rPr>
              <w:t>Тазовые лимфатические узлы слева</w:t>
            </w:r>
          </w:p>
        </w:tc>
      </w:tr>
      <w:tr>
        <w:trPr>
          <w:trHeight w:val="581" w:hRule="exact"/>
        </w:trPr>
        <w:tc>
          <w:tcPr>
            <w:tcW w:w="2552" w:type="dxa"/>
          </w:tcPr>
          <w:p>
            <w:pPr>
              <w:pStyle w:val="TableParagraph"/>
              <w:spacing w:line="315" w:lineRule="exact"/>
              <w:ind w:left="103"/>
              <w:rPr>
                <w:sz w:val="28"/>
              </w:rPr>
            </w:pPr>
            <w:r>
              <w:rPr>
                <w:sz w:val="28"/>
              </w:rPr>
              <w:t>Лапароскопия</w:t>
            </w:r>
          </w:p>
        </w:tc>
        <w:tc>
          <w:tcPr>
            <w:tcW w:w="3262" w:type="dxa"/>
          </w:tcPr>
          <w:p>
            <w:pPr>
              <w:pStyle w:val="TableParagraph"/>
              <w:spacing w:line="315" w:lineRule="exact"/>
              <w:ind w:left="882" w:right="883"/>
              <w:jc w:val="center"/>
              <w:rPr>
                <w:sz w:val="28"/>
              </w:rPr>
            </w:pPr>
            <w:r>
              <w:rPr>
                <w:sz w:val="28"/>
              </w:rPr>
              <w:t>9,75 (3 – 22)</w:t>
            </w:r>
          </w:p>
        </w:tc>
        <w:tc>
          <w:tcPr>
            <w:tcW w:w="3260" w:type="dxa"/>
          </w:tcPr>
          <w:p>
            <w:pPr>
              <w:pStyle w:val="TableParagraph"/>
              <w:spacing w:line="315" w:lineRule="exact"/>
              <w:ind w:left="810" w:right="813"/>
              <w:jc w:val="center"/>
              <w:rPr>
                <w:sz w:val="28"/>
              </w:rPr>
            </w:pPr>
            <w:r>
              <w:rPr>
                <w:sz w:val="28"/>
              </w:rPr>
              <w:t>10,15 (3 – 18)</w:t>
            </w:r>
          </w:p>
        </w:tc>
      </w:tr>
      <w:tr>
        <w:trPr>
          <w:trHeight w:val="581" w:hRule="exact"/>
        </w:trPr>
        <w:tc>
          <w:tcPr>
            <w:tcW w:w="2552" w:type="dxa"/>
          </w:tcPr>
          <w:p>
            <w:pPr>
              <w:pStyle w:val="TableParagraph"/>
              <w:spacing w:line="315" w:lineRule="exact"/>
              <w:ind w:left="103"/>
              <w:rPr>
                <w:sz w:val="28"/>
              </w:rPr>
            </w:pPr>
            <w:r>
              <w:rPr>
                <w:sz w:val="28"/>
              </w:rPr>
              <w:t>Лапаротомия</w:t>
            </w:r>
          </w:p>
        </w:tc>
        <w:tc>
          <w:tcPr>
            <w:tcW w:w="3262" w:type="dxa"/>
          </w:tcPr>
          <w:p>
            <w:pPr>
              <w:pStyle w:val="TableParagraph"/>
              <w:spacing w:line="315" w:lineRule="exact"/>
              <w:ind w:left="882" w:right="883"/>
              <w:jc w:val="center"/>
              <w:rPr>
                <w:sz w:val="28"/>
              </w:rPr>
            </w:pPr>
            <w:r>
              <w:rPr>
                <w:sz w:val="28"/>
              </w:rPr>
              <w:t>7,97 (3 – 16)</w:t>
            </w:r>
          </w:p>
        </w:tc>
        <w:tc>
          <w:tcPr>
            <w:tcW w:w="3260" w:type="dxa"/>
          </w:tcPr>
          <w:p>
            <w:pPr>
              <w:pStyle w:val="TableParagraph"/>
              <w:spacing w:line="315" w:lineRule="exact"/>
              <w:ind w:left="810" w:right="813"/>
              <w:jc w:val="center"/>
              <w:rPr>
                <w:sz w:val="28"/>
              </w:rPr>
            </w:pPr>
            <w:r>
              <w:rPr>
                <w:sz w:val="28"/>
              </w:rPr>
              <w:t>9,04 (3 – 17)</w:t>
            </w:r>
          </w:p>
        </w:tc>
      </w:tr>
    </w:tbl>
    <w:p>
      <w:pPr>
        <w:pStyle w:val="BodyText"/>
        <w:rPr>
          <w:sz w:val="30"/>
        </w:rPr>
      </w:pPr>
    </w:p>
    <w:p>
      <w:pPr>
        <w:pStyle w:val="BodyText"/>
        <w:spacing w:before="8"/>
      </w:pPr>
    </w:p>
    <w:p>
      <w:pPr>
        <w:pStyle w:val="BodyText"/>
        <w:spacing w:line="360" w:lineRule="auto"/>
        <w:ind w:left="122" w:right="122" w:firstLine="719"/>
        <w:jc w:val="both"/>
      </w:pPr>
      <w:r>
        <w:rPr/>
        <w:t>По количеству удаленных лимфатических узлов из обеих хирургических доступов статистически значимых различий не выявлено. Лапароскопический доступ характеризуется более тщательным и бескровным проведением лимфодиссекции. Об этом свидетельствует и значительно реже встречающиеся лимфореи и лимфатические кисты после лапароскопических операций.</w:t>
      </w:r>
    </w:p>
    <w:p>
      <w:pPr>
        <w:pStyle w:val="BodyText"/>
        <w:spacing w:line="360" w:lineRule="auto" w:before="205"/>
        <w:ind w:left="122" w:right="121" w:firstLine="719"/>
        <w:jc w:val="both"/>
      </w:pPr>
      <w:r>
        <w:rPr/>
        <w:t>Следующим объективным показателем качества выполненных операций является объем интраоперационной кровопотери. В ходе выполнения лапароскопических операций он оказался минимальным и не превысил  30-50  мл.  Только  в одном случае  объем  кровопотери составил</w:t>
      </w:r>
    </w:p>
    <w:p>
      <w:pPr>
        <w:pStyle w:val="BodyText"/>
        <w:spacing w:line="360" w:lineRule="auto" w:before="5"/>
        <w:ind w:left="122" w:right="121"/>
        <w:jc w:val="both"/>
      </w:pPr>
      <w:r>
        <w:rPr/>
        <w:t>200 мл и оказался связанным с большими техническими трудностями, обусловленными варикозным расширением вен малого таза. При</w:t>
      </w:r>
    </w:p>
    <w:p>
      <w:pPr>
        <w:spacing w:after="0" w:line="360" w:lineRule="auto"/>
        <w:jc w:val="both"/>
        <w:sectPr>
          <w:pgSz w:w="11900" w:h="16850"/>
          <w:pgMar w:header="712" w:footer="0" w:top="1020" w:bottom="280" w:left="1580" w:right="1000"/>
        </w:sectPr>
      </w:pPr>
    </w:p>
    <w:p>
      <w:pPr>
        <w:pStyle w:val="BodyText"/>
        <w:rPr>
          <w:sz w:val="20"/>
        </w:rPr>
      </w:pPr>
    </w:p>
    <w:p>
      <w:pPr>
        <w:pStyle w:val="BodyText"/>
        <w:rPr>
          <w:sz w:val="20"/>
        </w:rPr>
      </w:pPr>
    </w:p>
    <w:p>
      <w:pPr>
        <w:pStyle w:val="BodyText"/>
        <w:spacing w:line="360" w:lineRule="auto" w:before="224"/>
        <w:ind w:left="122" w:right="123"/>
        <w:jc w:val="both"/>
      </w:pPr>
      <w:r>
        <w:rPr/>
        <w:t>лапаротомии такой объем кровопотери считается стандартным. В некоторых анализируемых случаях кровопотеря достигала 500-800 мл. и требовала замещения путем гемо- и плазмотрансфузий. В целом, можно отметить, что лапароскопические операции отличаются более тщательной и аккуратной работой с тканями (Табл.</w:t>
      </w:r>
      <w:r>
        <w:rPr>
          <w:spacing w:val="-12"/>
        </w:rPr>
        <w:t> </w:t>
      </w:r>
      <w:r>
        <w:rPr/>
        <w:t>3.26).</w:t>
      </w:r>
    </w:p>
    <w:p>
      <w:pPr>
        <w:pStyle w:val="BodyText"/>
        <w:rPr>
          <w:sz w:val="30"/>
        </w:rPr>
      </w:pPr>
    </w:p>
    <w:p>
      <w:pPr>
        <w:pStyle w:val="BodyText"/>
        <w:spacing w:line="680" w:lineRule="atLeast" w:before="186"/>
        <w:ind w:left="1547" w:right="108" w:firstLine="6083"/>
      </w:pPr>
      <w:r>
        <w:rPr/>
        <w:t>Таблица 3.26 Объем интраоперационной кровопотери у больных раком</w:t>
      </w:r>
    </w:p>
    <w:p>
      <w:pPr>
        <w:pStyle w:val="BodyText"/>
        <w:spacing w:before="162"/>
        <w:ind w:left="921" w:right="921"/>
        <w:jc w:val="center"/>
      </w:pPr>
      <w:r>
        <w:rPr/>
        <w:t>эндометрия</w:t>
      </w:r>
    </w:p>
    <w:p>
      <w:pPr>
        <w:pStyle w:val="BodyText"/>
        <w:rPr>
          <w:sz w:val="20"/>
        </w:rPr>
      </w:pPr>
    </w:p>
    <w:p>
      <w:pPr>
        <w:pStyle w:val="BodyText"/>
        <w:spacing w:before="9"/>
        <w:rPr>
          <w:sz w:val="11"/>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2127"/>
        <w:gridCol w:w="2552"/>
        <w:gridCol w:w="2410"/>
      </w:tblGrid>
      <w:tr>
        <w:trPr>
          <w:trHeight w:val="2098" w:hRule="exact"/>
        </w:trPr>
        <w:tc>
          <w:tcPr>
            <w:tcW w:w="1985" w:type="dxa"/>
          </w:tcPr>
          <w:p>
            <w:pPr>
              <w:pStyle w:val="TableParagraph"/>
              <w:spacing w:line="315" w:lineRule="exact"/>
              <w:ind w:left="14" w:right="14"/>
              <w:jc w:val="center"/>
              <w:rPr>
                <w:sz w:val="28"/>
              </w:rPr>
            </w:pPr>
            <w:r>
              <w:rPr>
                <w:sz w:val="28"/>
              </w:rPr>
              <w:t>Группы</w:t>
            </w:r>
          </w:p>
        </w:tc>
        <w:tc>
          <w:tcPr>
            <w:tcW w:w="2127" w:type="dxa"/>
          </w:tcPr>
          <w:p>
            <w:pPr>
              <w:pStyle w:val="TableParagraph"/>
              <w:rPr>
                <w:sz w:val="30"/>
              </w:rPr>
            </w:pPr>
          </w:p>
          <w:p>
            <w:pPr>
              <w:pStyle w:val="TableParagraph"/>
              <w:spacing w:line="242" w:lineRule="auto" w:before="269"/>
              <w:ind w:left="300" w:right="119" w:hanging="164"/>
              <w:rPr>
                <w:sz w:val="28"/>
              </w:rPr>
            </w:pPr>
            <w:r>
              <w:rPr>
                <w:sz w:val="28"/>
              </w:rPr>
              <w:t>Средний объем кровопотери</w:t>
            </w:r>
          </w:p>
        </w:tc>
        <w:tc>
          <w:tcPr>
            <w:tcW w:w="2552" w:type="dxa"/>
          </w:tcPr>
          <w:p>
            <w:pPr>
              <w:pStyle w:val="TableParagraph"/>
              <w:rPr>
                <w:sz w:val="30"/>
              </w:rPr>
            </w:pPr>
          </w:p>
          <w:p>
            <w:pPr>
              <w:pStyle w:val="TableParagraph"/>
              <w:spacing w:before="7"/>
              <w:rPr>
                <w:sz w:val="37"/>
              </w:rPr>
            </w:pPr>
          </w:p>
          <w:p>
            <w:pPr>
              <w:pStyle w:val="TableParagraph"/>
              <w:ind w:left="155"/>
              <w:rPr>
                <w:sz w:val="28"/>
              </w:rPr>
            </w:pPr>
            <w:r>
              <w:rPr>
                <w:sz w:val="28"/>
              </w:rPr>
              <w:t>Пангистерэктомия</w:t>
            </w:r>
          </w:p>
        </w:tc>
        <w:tc>
          <w:tcPr>
            <w:tcW w:w="2410" w:type="dxa"/>
          </w:tcPr>
          <w:p>
            <w:pPr>
              <w:pStyle w:val="TableParagraph"/>
              <w:rPr>
                <w:sz w:val="30"/>
              </w:rPr>
            </w:pPr>
          </w:p>
          <w:p>
            <w:pPr>
              <w:pStyle w:val="TableParagraph"/>
              <w:spacing w:before="7"/>
              <w:rPr>
                <w:sz w:val="37"/>
              </w:rPr>
            </w:pPr>
          </w:p>
          <w:p>
            <w:pPr>
              <w:pStyle w:val="TableParagraph"/>
              <w:ind w:left="163"/>
              <w:rPr>
                <w:sz w:val="28"/>
              </w:rPr>
            </w:pPr>
            <w:r>
              <w:rPr>
                <w:sz w:val="28"/>
              </w:rPr>
              <w:t>Лимфодиссекция</w:t>
            </w:r>
          </w:p>
        </w:tc>
      </w:tr>
      <w:tr>
        <w:trPr>
          <w:trHeight w:val="1577" w:hRule="exact"/>
        </w:trPr>
        <w:tc>
          <w:tcPr>
            <w:tcW w:w="1985" w:type="dxa"/>
          </w:tcPr>
          <w:p>
            <w:pPr>
              <w:pStyle w:val="TableParagraph"/>
              <w:spacing w:before="10"/>
              <w:rPr>
                <w:sz w:val="44"/>
              </w:rPr>
            </w:pPr>
          </w:p>
          <w:p>
            <w:pPr>
              <w:pStyle w:val="TableParagraph"/>
              <w:ind w:left="14" w:right="14"/>
              <w:jc w:val="center"/>
              <w:rPr>
                <w:sz w:val="28"/>
              </w:rPr>
            </w:pPr>
            <w:r>
              <w:rPr>
                <w:sz w:val="28"/>
              </w:rPr>
              <w:t>Лапаротомия</w:t>
            </w:r>
          </w:p>
        </w:tc>
        <w:tc>
          <w:tcPr>
            <w:tcW w:w="2127" w:type="dxa"/>
          </w:tcPr>
          <w:p>
            <w:pPr>
              <w:pStyle w:val="TableParagraph"/>
              <w:spacing w:line="315" w:lineRule="exact"/>
              <w:ind w:left="526"/>
              <w:rPr>
                <w:sz w:val="28"/>
              </w:rPr>
            </w:pPr>
            <w:r>
              <w:rPr>
                <w:sz w:val="28"/>
              </w:rPr>
              <w:t>106±0,95</w:t>
            </w:r>
          </w:p>
          <w:p>
            <w:pPr>
              <w:pStyle w:val="TableParagraph"/>
              <w:spacing w:before="201"/>
              <w:ind w:left="497"/>
              <w:rPr>
                <w:sz w:val="28"/>
              </w:rPr>
            </w:pPr>
            <w:r>
              <w:rPr>
                <w:sz w:val="28"/>
              </w:rPr>
              <w:t>(60 - 270)</w:t>
            </w:r>
          </w:p>
        </w:tc>
        <w:tc>
          <w:tcPr>
            <w:tcW w:w="2552" w:type="dxa"/>
          </w:tcPr>
          <w:p>
            <w:pPr>
              <w:pStyle w:val="TableParagraph"/>
              <w:spacing w:line="315" w:lineRule="exact"/>
              <w:ind w:left="809"/>
              <w:rPr>
                <w:sz w:val="28"/>
              </w:rPr>
            </w:pPr>
            <w:r>
              <w:rPr>
                <w:sz w:val="28"/>
              </w:rPr>
              <w:t>58±0,65</w:t>
            </w:r>
          </w:p>
          <w:p>
            <w:pPr>
              <w:pStyle w:val="TableParagraph"/>
              <w:spacing w:before="201"/>
              <w:ind w:left="710"/>
              <w:rPr>
                <w:sz w:val="28"/>
              </w:rPr>
            </w:pPr>
            <w:r>
              <w:rPr>
                <w:sz w:val="28"/>
              </w:rPr>
              <w:t>(35 - 120)</w:t>
            </w:r>
          </w:p>
        </w:tc>
        <w:tc>
          <w:tcPr>
            <w:tcW w:w="2410" w:type="dxa"/>
          </w:tcPr>
          <w:p>
            <w:pPr>
              <w:pStyle w:val="TableParagraph"/>
              <w:spacing w:line="315" w:lineRule="exact"/>
              <w:ind w:left="737"/>
              <w:rPr>
                <w:sz w:val="28"/>
              </w:rPr>
            </w:pPr>
            <w:r>
              <w:rPr>
                <w:sz w:val="28"/>
              </w:rPr>
              <w:t>48±0,11</w:t>
            </w:r>
          </w:p>
          <w:p>
            <w:pPr>
              <w:pStyle w:val="TableParagraph"/>
              <w:spacing w:before="201"/>
              <w:ind w:left="711"/>
              <w:rPr>
                <w:sz w:val="28"/>
              </w:rPr>
            </w:pPr>
            <w:r>
              <w:rPr>
                <w:sz w:val="28"/>
              </w:rPr>
              <w:t>(30 - 70)</w:t>
            </w:r>
          </w:p>
        </w:tc>
      </w:tr>
      <w:tr>
        <w:trPr>
          <w:trHeight w:val="1054" w:hRule="exact"/>
        </w:trPr>
        <w:tc>
          <w:tcPr>
            <w:tcW w:w="1985" w:type="dxa"/>
          </w:tcPr>
          <w:p>
            <w:pPr>
              <w:pStyle w:val="TableParagraph"/>
              <w:spacing w:before="254"/>
              <w:ind w:left="14" w:right="14"/>
              <w:jc w:val="center"/>
              <w:rPr>
                <w:sz w:val="28"/>
              </w:rPr>
            </w:pPr>
            <w:r>
              <w:rPr>
                <w:sz w:val="28"/>
              </w:rPr>
              <w:t>Лапароскопия</w:t>
            </w:r>
          </w:p>
        </w:tc>
        <w:tc>
          <w:tcPr>
            <w:tcW w:w="2127" w:type="dxa"/>
          </w:tcPr>
          <w:p>
            <w:pPr>
              <w:pStyle w:val="TableParagraph"/>
              <w:spacing w:line="315" w:lineRule="exact"/>
              <w:ind w:left="595"/>
              <w:rPr>
                <w:sz w:val="28"/>
              </w:rPr>
            </w:pPr>
            <w:r>
              <w:rPr>
                <w:sz w:val="28"/>
              </w:rPr>
              <w:t>75±0,45</w:t>
            </w:r>
          </w:p>
          <w:p>
            <w:pPr>
              <w:pStyle w:val="TableParagraph"/>
              <w:spacing w:before="201"/>
              <w:ind w:left="497"/>
              <w:rPr>
                <w:sz w:val="28"/>
              </w:rPr>
            </w:pPr>
            <w:r>
              <w:rPr>
                <w:sz w:val="28"/>
              </w:rPr>
              <w:t>(25 - 190)</w:t>
            </w:r>
          </w:p>
        </w:tc>
        <w:tc>
          <w:tcPr>
            <w:tcW w:w="2552" w:type="dxa"/>
          </w:tcPr>
          <w:p>
            <w:pPr>
              <w:pStyle w:val="TableParagraph"/>
              <w:spacing w:line="315" w:lineRule="exact"/>
              <w:ind w:left="809"/>
              <w:rPr>
                <w:sz w:val="28"/>
              </w:rPr>
            </w:pPr>
            <w:r>
              <w:rPr>
                <w:sz w:val="28"/>
              </w:rPr>
              <w:t>31±0,31</w:t>
            </w:r>
          </w:p>
          <w:p>
            <w:pPr>
              <w:pStyle w:val="TableParagraph"/>
              <w:spacing w:before="201"/>
              <w:ind w:left="780"/>
              <w:rPr>
                <w:sz w:val="28"/>
              </w:rPr>
            </w:pPr>
            <w:r>
              <w:rPr>
                <w:sz w:val="28"/>
              </w:rPr>
              <w:t>(20 - 65)</w:t>
            </w:r>
          </w:p>
        </w:tc>
        <w:tc>
          <w:tcPr>
            <w:tcW w:w="2410" w:type="dxa"/>
          </w:tcPr>
          <w:p>
            <w:pPr>
              <w:pStyle w:val="TableParagraph"/>
              <w:spacing w:line="315" w:lineRule="exact"/>
              <w:ind w:left="737"/>
              <w:rPr>
                <w:sz w:val="28"/>
              </w:rPr>
            </w:pPr>
            <w:r>
              <w:rPr>
                <w:sz w:val="28"/>
              </w:rPr>
              <w:t>25±0,07</w:t>
            </w:r>
          </w:p>
          <w:p>
            <w:pPr>
              <w:pStyle w:val="TableParagraph"/>
              <w:spacing w:before="201"/>
              <w:ind w:left="711"/>
              <w:rPr>
                <w:sz w:val="28"/>
              </w:rPr>
            </w:pPr>
            <w:r>
              <w:rPr>
                <w:sz w:val="28"/>
              </w:rPr>
              <w:t>(15 - 45)</w:t>
            </w:r>
          </w:p>
        </w:tc>
      </w:tr>
    </w:tbl>
    <w:p>
      <w:pPr>
        <w:pStyle w:val="BodyText"/>
        <w:rPr>
          <w:sz w:val="30"/>
        </w:rPr>
      </w:pPr>
    </w:p>
    <w:p>
      <w:pPr>
        <w:pStyle w:val="BodyText"/>
        <w:rPr>
          <w:sz w:val="30"/>
        </w:rPr>
      </w:pPr>
    </w:p>
    <w:p>
      <w:pPr>
        <w:pStyle w:val="BodyText"/>
        <w:rPr>
          <w:sz w:val="30"/>
        </w:rPr>
      </w:pPr>
    </w:p>
    <w:p>
      <w:pPr>
        <w:pStyle w:val="BodyText"/>
        <w:spacing w:before="1"/>
      </w:pPr>
    </w:p>
    <w:p>
      <w:pPr>
        <w:pStyle w:val="BodyText"/>
        <w:spacing w:line="360" w:lineRule="auto"/>
        <w:ind w:left="122" w:right="127" w:firstLine="719"/>
        <w:jc w:val="both"/>
      </w:pPr>
      <w:r>
        <w:rPr/>
        <w:t>Минимальная кровопотеря не приводит к изменению показателей красной крови и в совокупности с незначительной травматичностью лапароскопического доступа значительно сокращает сроки реабилитации больных.</w:t>
      </w:r>
    </w:p>
    <w:p>
      <w:pPr>
        <w:spacing w:after="0" w:line="360" w:lineRule="auto"/>
        <w:jc w:val="both"/>
        <w:sectPr>
          <w:headerReference w:type="default" r:id="rId61"/>
          <w:pgSz w:w="11900" w:h="16850"/>
          <w:pgMar w:header="712" w:footer="0" w:top="1020" w:bottom="280" w:left="1580" w:right="1000"/>
          <w:pgNumType w:start="140"/>
        </w:sectPr>
      </w:pPr>
    </w:p>
    <w:p>
      <w:pPr>
        <w:pStyle w:val="BodyText"/>
        <w:rPr>
          <w:sz w:val="20"/>
        </w:rPr>
      </w:pPr>
    </w:p>
    <w:p>
      <w:pPr>
        <w:pStyle w:val="BodyText"/>
        <w:rPr>
          <w:sz w:val="20"/>
        </w:rPr>
      </w:pPr>
    </w:p>
    <w:p>
      <w:pPr>
        <w:pStyle w:val="BodyText"/>
        <w:spacing w:line="360" w:lineRule="auto" w:before="224"/>
        <w:ind w:left="102" w:right="122" w:firstLine="719"/>
        <w:jc w:val="both"/>
      </w:pPr>
      <w:r>
        <w:rPr/>
        <w:t>Какие-либо серьезные интраоперационные осложнения (массивное кровотечение, ранение смежных органов и пр.) не зарегистрированы ни в одном случае из 2-х групп больных.</w:t>
      </w:r>
    </w:p>
    <w:p>
      <w:pPr>
        <w:pStyle w:val="BodyText"/>
        <w:spacing w:line="360" w:lineRule="auto" w:before="207"/>
        <w:ind w:left="102" w:right="121" w:firstLine="719"/>
        <w:jc w:val="both"/>
      </w:pPr>
      <w:r>
        <w:rPr/>
        <w:t>В настоящее время некоторыми исследователями обсуждается возможный риск местных рецидивов, связанных с опухолевой диссеминацией при установке маточного манипулятора (Homesley et al., 2004; Magrina et al., 2004). Существование такого риска подтвердилось и в нашем исследовании.</w:t>
      </w:r>
    </w:p>
    <w:p>
      <w:pPr>
        <w:pStyle w:val="BodyText"/>
        <w:spacing w:line="360" w:lineRule="auto" w:before="204"/>
        <w:ind w:left="102" w:right="116" w:firstLine="719"/>
        <w:jc w:val="both"/>
      </w:pPr>
      <w:r>
        <w:rPr/>
        <w:t>При цитологическом контроле мазков – отпечатков с поверхности брюшины малого таза до введения манипулятора и после удаления препарата у 21-й больной раком эндометрия (у 1-й  пациентки  с  тотальным опухолевым поражением полости матки и глубокой инвазией) обнаружены клетки железистого рака. Подтверждают возможность существования такого риска и рецидивы заболевания, неожиданно развившиеся у двух больных раком эндометрия Iа стадии в течение первых шести месяцев наблюдения. С целью предупреждения в дальнейшем этого, вполне возможного пути распространения опухоли, перед началом каких- либо манипуляций с препаратом мы, в обязательном порядке, коагулируем трубные</w:t>
      </w:r>
      <w:r>
        <w:rPr>
          <w:spacing w:val="-6"/>
        </w:rPr>
        <w:t> </w:t>
      </w:r>
      <w:r>
        <w:rPr/>
        <w:t>углы.</w:t>
      </w:r>
    </w:p>
    <w:p>
      <w:pPr>
        <w:pStyle w:val="BodyText"/>
        <w:spacing w:line="360" w:lineRule="auto" w:before="204"/>
        <w:ind w:left="102" w:right="119" w:firstLine="719"/>
        <w:jc w:val="both"/>
      </w:pPr>
      <w:r>
        <w:rPr/>
        <w:t>Завершая этот раздел исследования, остановимся на характеристике течения ближайшего послеоперационного периода, анализе встретившихся осложнений и прогнозе у больных раком эндометрия, подвергшихся хирургическому лечению по поводу данного заболевания тем или иным доступом. Те или иные осложнения встретились более чем у 16% больных, подвергшихся лапаротомии и только у 7% больных после лапароскопических вмешательств (р&lt;0,001).</w:t>
      </w:r>
    </w:p>
    <w:p>
      <w:pPr>
        <w:spacing w:after="0" w:line="360" w:lineRule="auto"/>
        <w:jc w:val="both"/>
        <w:sectPr>
          <w:pgSz w:w="11900" w:h="16850"/>
          <w:pgMar w:header="712" w:footer="0" w:top="1020" w:bottom="280" w:left="1600" w:right="1000"/>
        </w:sectPr>
      </w:pPr>
    </w:p>
    <w:p>
      <w:pPr>
        <w:pStyle w:val="BodyText"/>
        <w:rPr>
          <w:sz w:val="20"/>
        </w:rPr>
      </w:pPr>
    </w:p>
    <w:p>
      <w:pPr>
        <w:pStyle w:val="BodyText"/>
        <w:rPr>
          <w:sz w:val="20"/>
        </w:rPr>
      </w:pPr>
    </w:p>
    <w:p>
      <w:pPr>
        <w:pStyle w:val="BodyText"/>
        <w:spacing w:line="360" w:lineRule="auto" w:before="224"/>
        <w:ind w:left="282" w:right="142" w:firstLine="719"/>
        <w:jc w:val="both"/>
      </w:pPr>
      <w:r>
        <w:rPr/>
        <w:t>Прежде всего, рассмотрим частоту наиболее тяжелых послеоперационных осложнений, развившихся в исследуемых группах больных раком эндометрия (Табл. 3.27).</w:t>
      </w:r>
    </w:p>
    <w:p>
      <w:pPr>
        <w:pStyle w:val="BodyText"/>
        <w:spacing w:line="508" w:lineRule="auto" w:before="207" w:after="22"/>
        <w:ind w:left="1438" w:right="128" w:firstLine="6352"/>
      </w:pPr>
      <w:r>
        <w:rPr/>
        <w:t>Таблица 3.27 Виды и частота тяжелых послеоперационных осложнений (%)</w:t>
      </w:r>
    </w:p>
    <w:tbl>
      <w:tblPr>
        <w:tblW w:w="0" w:type="auto"/>
        <w:jc w:val="left"/>
        <w:tblInd w:w="111" w:type="dxa"/>
        <w:tblBorders>
          <w:top w:val="double" w:sz="9" w:space="0" w:color="EFEFEF"/>
          <w:left w:val="double" w:sz="9" w:space="0" w:color="EFEFEF"/>
          <w:bottom w:val="double" w:sz="9" w:space="0" w:color="EFEFEF"/>
          <w:right w:val="double" w:sz="9" w:space="0" w:color="EFEFEF"/>
          <w:insideH w:val="double" w:sz="9" w:space="0" w:color="EFEFEF"/>
          <w:insideV w:val="double" w:sz="9" w:space="0" w:color="EFEFEF"/>
        </w:tblBorders>
        <w:tblLayout w:type="fixed"/>
        <w:tblCellMar>
          <w:top w:w="0" w:type="dxa"/>
          <w:left w:w="0" w:type="dxa"/>
          <w:bottom w:w="0" w:type="dxa"/>
          <w:right w:w="0" w:type="dxa"/>
        </w:tblCellMar>
        <w:tblLook w:val="01E0"/>
      </w:tblPr>
      <w:tblGrid>
        <w:gridCol w:w="4280"/>
        <w:gridCol w:w="2382"/>
        <w:gridCol w:w="2527"/>
      </w:tblGrid>
      <w:tr>
        <w:trPr>
          <w:trHeight w:val="1437" w:hRule="exact"/>
        </w:trPr>
        <w:tc>
          <w:tcPr>
            <w:tcW w:w="4280" w:type="dxa"/>
            <w:tcBorders>
              <w:left w:val="double" w:sz="8" w:space="0" w:color="9F9F9F"/>
              <w:bottom w:val="double" w:sz="10" w:space="0" w:color="EFEFEF"/>
              <w:right w:val="double" w:sz="10" w:space="0" w:color="EFEFEF"/>
            </w:tcBorders>
          </w:tcPr>
          <w:p>
            <w:pPr/>
          </w:p>
        </w:tc>
        <w:tc>
          <w:tcPr>
            <w:tcW w:w="2382" w:type="dxa"/>
            <w:tcBorders>
              <w:left w:val="double" w:sz="10" w:space="0" w:color="EFEFEF"/>
              <w:bottom w:val="double" w:sz="10" w:space="0" w:color="EFEFEF"/>
            </w:tcBorders>
          </w:tcPr>
          <w:p>
            <w:pPr>
              <w:pStyle w:val="TableParagraph"/>
              <w:spacing w:line="508" w:lineRule="auto"/>
              <w:ind w:left="701" w:right="292" w:hanging="399"/>
              <w:rPr>
                <w:sz w:val="28"/>
              </w:rPr>
            </w:pPr>
            <w:r>
              <w:rPr>
                <w:sz w:val="28"/>
              </w:rPr>
              <w:t>Лапароскопия (n=756)</w:t>
            </w:r>
          </w:p>
        </w:tc>
        <w:tc>
          <w:tcPr>
            <w:tcW w:w="2527" w:type="dxa"/>
            <w:tcBorders>
              <w:bottom w:val="double" w:sz="10" w:space="0" w:color="EFEFEF"/>
              <w:right w:val="double" w:sz="8" w:space="0" w:color="EFEFEF"/>
            </w:tcBorders>
          </w:tcPr>
          <w:p>
            <w:pPr>
              <w:pStyle w:val="TableParagraph"/>
              <w:spacing w:line="508" w:lineRule="auto"/>
              <w:ind w:left="706" w:right="423" w:hanging="275"/>
              <w:rPr>
                <w:sz w:val="28"/>
              </w:rPr>
            </w:pPr>
            <w:r>
              <w:rPr>
                <w:sz w:val="28"/>
              </w:rPr>
              <w:t>Лапаротомия (n=1289)</w:t>
            </w:r>
          </w:p>
        </w:tc>
      </w:tr>
      <w:tr>
        <w:trPr>
          <w:trHeight w:val="754" w:hRule="exact"/>
        </w:trPr>
        <w:tc>
          <w:tcPr>
            <w:tcW w:w="4280" w:type="dxa"/>
            <w:tcBorders>
              <w:top w:val="double" w:sz="10" w:space="0" w:color="EFEFEF"/>
              <w:left w:val="double" w:sz="8" w:space="0" w:color="9F9F9F"/>
              <w:bottom w:val="double" w:sz="10" w:space="0" w:color="EFEFEF"/>
              <w:right w:val="double" w:sz="10" w:space="0" w:color="EFEFEF"/>
            </w:tcBorders>
          </w:tcPr>
          <w:p>
            <w:pPr>
              <w:pStyle w:val="TableParagraph"/>
              <w:spacing w:line="313" w:lineRule="exact"/>
              <w:ind w:left="107"/>
              <w:rPr>
                <w:sz w:val="28"/>
              </w:rPr>
            </w:pPr>
            <w:r>
              <w:rPr>
                <w:sz w:val="28"/>
              </w:rPr>
              <w:t>Эвентрация</w:t>
            </w:r>
          </w:p>
        </w:tc>
        <w:tc>
          <w:tcPr>
            <w:tcW w:w="2382" w:type="dxa"/>
            <w:tcBorders>
              <w:top w:val="double" w:sz="10" w:space="0" w:color="EFEFEF"/>
              <w:left w:val="double" w:sz="10" w:space="0" w:color="EFEFEF"/>
              <w:bottom w:val="double" w:sz="10" w:space="0" w:color="EFEFEF"/>
            </w:tcBorders>
          </w:tcPr>
          <w:p>
            <w:pPr>
              <w:pStyle w:val="TableParagraph"/>
              <w:spacing w:line="313" w:lineRule="exact"/>
              <w:ind w:right="2"/>
              <w:jc w:val="center"/>
              <w:rPr>
                <w:sz w:val="28"/>
              </w:rPr>
            </w:pPr>
            <w:r>
              <w:rPr>
                <w:w w:val="100"/>
                <w:sz w:val="28"/>
              </w:rPr>
              <w:t>-</w:t>
            </w:r>
          </w:p>
        </w:tc>
        <w:tc>
          <w:tcPr>
            <w:tcW w:w="2527" w:type="dxa"/>
            <w:tcBorders>
              <w:top w:val="double" w:sz="10" w:space="0" w:color="EFEFEF"/>
              <w:bottom w:val="double" w:sz="10" w:space="0" w:color="EFEFEF"/>
              <w:right w:val="double" w:sz="8" w:space="0" w:color="EFEFEF"/>
            </w:tcBorders>
          </w:tcPr>
          <w:p>
            <w:pPr>
              <w:pStyle w:val="TableParagraph"/>
              <w:spacing w:line="313" w:lineRule="exact"/>
              <w:ind w:left="916" w:right="920"/>
              <w:jc w:val="center"/>
              <w:rPr>
                <w:sz w:val="28"/>
              </w:rPr>
            </w:pPr>
            <w:r>
              <w:rPr>
                <w:sz w:val="28"/>
              </w:rPr>
              <w:t>3,8%</w:t>
            </w:r>
          </w:p>
        </w:tc>
      </w:tr>
      <w:tr>
        <w:trPr>
          <w:trHeight w:val="751" w:hRule="exact"/>
        </w:trPr>
        <w:tc>
          <w:tcPr>
            <w:tcW w:w="4280" w:type="dxa"/>
            <w:tcBorders>
              <w:top w:val="double" w:sz="10" w:space="0" w:color="EFEFEF"/>
              <w:left w:val="double" w:sz="8" w:space="0" w:color="9F9F9F"/>
              <w:bottom w:val="double" w:sz="10" w:space="0" w:color="EFEFEF"/>
              <w:right w:val="double" w:sz="10" w:space="0" w:color="EFEFEF"/>
            </w:tcBorders>
          </w:tcPr>
          <w:p>
            <w:pPr>
              <w:pStyle w:val="TableParagraph"/>
              <w:spacing w:line="313" w:lineRule="exact"/>
              <w:ind w:left="107"/>
              <w:rPr>
                <w:sz w:val="28"/>
              </w:rPr>
            </w:pPr>
            <w:r>
              <w:rPr>
                <w:sz w:val="28"/>
              </w:rPr>
              <w:t>Перитонит</w:t>
            </w:r>
          </w:p>
        </w:tc>
        <w:tc>
          <w:tcPr>
            <w:tcW w:w="2382" w:type="dxa"/>
            <w:tcBorders>
              <w:top w:val="double" w:sz="10" w:space="0" w:color="EFEFEF"/>
              <w:left w:val="double" w:sz="10" w:space="0" w:color="EFEFEF"/>
              <w:bottom w:val="double" w:sz="10" w:space="0" w:color="EFEFEF"/>
            </w:tcBorders>
          </w:tcPr>
          <w:p>
            <w:pPr>
              <w:pStyle w:val="TableParagraph"/>
              <w:spacing w:line="313" w:lineRule="exact"/>
              <w:ind w:right="2"/>
              <w:jc w:val="center"/>
              <w:rPr>
                <w:sz w:val="28"/>
              </w:rPr>
            </w:pPr>
            <w:r>
              <w:rPr>
                <w:w w:val="100"/>
                <w:sz w:val="28"/>
              </w:rPr>
              <w:t>-</w:t>
            </w:r>
          </w:p>
        </w:tc>
        <w:tc>
          <w:tcPr>
            <w:tcW w:w="2527" w:type="dxa"/>
            <w:tcBorders>
              <w:top w:val="double" w:sz="10" w:space="0" w:color="EFEFEF"/>
              <w:bottom w:val="double" w:sz="10" w:space="0" w:color="EFEFEF"/>
              <w:right w:val="double" w:sz="8" w:space="0" w:color="EFEFEF"/>
            </w:tcBorders>
          </w:tcPr>
          <w:p>
            <w:pPr>
              <w:pStyle w:val="TableParagraph"/>
              <w:spacing w:line="313" w:lineRule="exact"/>
              <w:ind w:left="916" w:right="920"/>
              <w:jc w:val="center"/>
              <w:rPr>
                <w:sz w:val="28"/>
              </w:rPr>
            </w:pPr>
            <w:r>
              <w:rPr>
                <w:sz w:val="28"/>
              </w:rPr>
              <w:t>1,9%</w:t>
            </w:r>
          </w:p>
        </w:tc>
      </w:tr>
      <w:tr>
        <w:trPr>
          <w:trHeight w:val="754" w:hRule="exact"/>
        </w:trPr>
        <w:tc>
          <w:tcPr>
            <w:tcW w:w="4280" w:type="dxa"/>
            <w:tcBorders>
              <w:top w:val="double" w:sz="10" w:space="0" w:color="EFEFEF"/>
              <w:left w:val="double" w:sz="8" w:space="0" w:color="9F9F9F"/>
              <w:bottom w:val="double" w:sz="10" w:space="0" w:color="EFEFEF"/>
              <w:right w:val="double" w:sz="10" w:space="0" w:color="EFEFEF"/>
            </w:tcBorders>
          </w:tcPr>
          <w:p>
            <w:pPr>
              <w:pStyle w:val="TableParagraph"/>
              <w:spacing w:line="315" w:lineRule="exact"/>
              <w:ind w:left="107"/>
              <w:rPr>
                <w:sz w:val="28"/>
              </w:rPr>
            </w:pPr>
            <w:r>
              <w:rPr>
                <w:sz w:val="28"/>
              </w:rPr>
              <w:t>Кишечная непроходимость</w:t>
            </w:r>
          </w:p>
        </w:tc>
        <w:tc>
          <w:tcPr>
            <w:tcW w:w="2382" w:type="dxa"/>
            <w:tcBorders>
              <w:top w:val="double" w:sz="10" w:space="0" w:color="EFEFEF"/>
              <w:left w:val="double" w:sz="10" w:space="0" w:color="EFEFEF"/>
              <w:bottom w:val="double" w:sz="10" w:space="0" w:color="EFEFEF"/>
            </w:tcBorders>
          </w:tcPr>
          <w:p>
            <w:pPr/>
          </w:p>
        </w:tc>
        <w:tc>
          <w:tcPr>
            <w:tcW w:w="2527" w:type="dxa"/>
            <w:tcBorders>
              <w:top w:val="double" w:sz="10" w:space="0" w:color="EFEFEF"/>
              <w:bottom w:val="double" w:sz="10" w:space="0" w:color="EFEFEF"/>
              <w:right w:val="double" w:sz="8" w:space="0" w:color="EFEFEF"/>
            </w:tcBorders>
          </w:tcPr>
          <w:p>
            <w:pPr/>
          </w:p>
        </w:tc>
      </w:tr>
      <w:tr>
        <w:trPr>
          <w:trHeight w:val="1236" w:hRule="exact"/>
        </w:trPr>
        <w:tc>
          <w:tcPr>
            <w:tcW w:w="4280" w:type="dxa"/>
            <w:tcBorders>
              <w:top w:val="double" w:sz="10" w:space="0" w:color="EFEFEF"/>
              <w:left w:val="double" w:sz="8" w:space="0" w:color="9F9F9F"/>
              <w:bottom w:val="double" w:sz="10" w:space="0" w:color="EFEFEF"/>
              <w:right w:val="double" w:sz="10" w:space="0" w:color="EFEFEF"/>
            </w:tcBorders>
          </w:tcPr>
          <w:p>
            <w:pPr>
              <w:pStyle w:val="TableParagraph"/>
              <w:tabs>
                <w:tab w:pos="3002" w:val="left" w:leader="none"/>
              </w:tabs>
              <w:spacing w:line="360" w:lineRule="auto"/>
              <w:ind w:left="107" w:right="107"/>
              <w:rPr>
                <w:sz w:val="28"/>
              </w:rPr>
            </w:pPr>
            <w:r>
              <w:rPr>
                <w:sz w:val="28"/>
              </w:rPr>
              <w:t>Тромбоэмболия</w:t>
              <w:tab/>
            </w:r>
            <w:r>
              <w:rPr>
                <w:spacing w:val="-1"/>
                <w:sz w:val="28"/>
              </w:rPr>
              <w:t>легочной </w:t>
            </w:r>
            <w:r>
              <w:rPr>
                <w:sz w:val="28"/>
              </w:rPr>
              <w:t>артерии</w:t>
            </w:r>
          </w:p>
        </w:tc>
        <w:tc>
          <w:tcPr>
            <w:tcW w:w="2382" w:type="dxa"/>
            <w:tcBorders>
              <w:top w:val="double" w:sz="10" w:space="0" w:color="EFEFEF"/>
              <w:left w:val="double" w:sz="10" w:space="0" w:color="EFEFEF"/>
              <w:bottom w:val="double" w:sz="10" w:space="0" w:color="EFEFEF"/>
            </w:tcBorders>
          </w:tcPr>
          <w:p>
            <w:pPr>
              <w:pStyle w:val="TableParagraph"/>
              <w:spacing w:line="315" w:lineRule="exact"/>
              <w:ind w:left="843" w:right="844"/>
              <w:jc w:val="center"/>
              <w:rPr>
                <w:sz w:val="28"/>
              </w:rPr>
            </w:pPr>
            <w:r>
              <w:rPr>
                <w:sz w:val="28"/>
              </w:rPr>
              <w:t>0,1%</w:t>
            </w:r>
          </w:p>
        </w:tc>
        <w:tc>
          <w:tcPr>
            <w:tcW w:w="2527" w:type="dxa"/>
            <w:tcBorders>
              <w:top w:val="double" w:sz="10" w:space="0" w:color="EFEFEF"/>
              <w:bottom w:val="double" w:sz="10" w:space="0" w:color="EFEFEF"/>
              <w:right w:val="double" w:sz="8" w:space="0" w:color="EFEFEF"/>
            </w:tcBorders>
          </w:tcPr>
          <w:p>
            <w:pPr>
              <w:pStyle w:val="TableParagraph"/>
              <w:spacing w:line="315" w:lineRule="exact"/>
              <w:ind w:left="916" w:right="920"/>
              <w:jc w:val="center"/>
              <w:rPr>
                <w:sz w:val="28"/>
              </w:rPr>
            </w:pPr>
            <w:r>
              <w:rPr>
                <w:sz w:val="28"/>
              </w:rPr>
              <w:t>7,5%</w:t>
            </w:r>
          </w:p>
        </w:tc>
      </w:tr>
      <w:tr>
        <w:trPr>
          <w:trHeight w:val="752" w:hRule="exact"/>
        </w:trPr>
        <w:tc>
          <w:tcPr>
            <w:tcW w:w="4280" w:type="dxa"/>
            <w:tcBorders>
              <w:top w:val="double" w:sz="10" w:space="0" w:color="EFEFEF"/>
              <w:left w:val="double" w:sz="8" w:space="0" w:color="9F9F9F"/>
              <w:right w:val="double" w:sz="10" w:space="0" w:color="EFEFEF"/>
            </w:tcBorders>
          </w:tcPr>
          <w:p>
            <w:pPr>
              <w:pStyle w:val="TableParagraph"/>
              <w:spacing w:line="315" w:lineRule="exact"/>
              <w:ind w:left="107"/>
              <w:rPr>
                <w:sz w:val="28"/>
              </w:rPr>
            </w:pPr>
            <w:r>
              <w:rPr>
                <w:sz w:val="28"/>
              </w:rPr>
              <w:t>Пневмония</w:t>
            </w:r>
          </w:p>
        </w:tc>
        <w:tc>
          <w:tcPr>
            <w:tcW w:w="2382" w:type="dxa"/>
            <w:tcBorders>
              <w:top w:val="double" w:sz="10" w:space="0" w:color="EFEFEF"/>
              <w:left w:val="double" w:sz="10" w:space="0" w:color="EFEFEF"/>
            </w:tcBorders>
          </w:tcPr>
          <w:p>
            <w:pPr>
              <w:pStyle w:val="TableParagraph"/>
              <w:spacing w:line="315" w:lineRule="exact"/>
              <w:ind w:right="2"/>
              <w:jc w:val="center"/>
              <w:rPr>
                <w:sz w:val="28"/>
              </w:rPr>
            </w:pPr>
            <w:r>
              <w:rPr>
                <w:w w:val="100"/>
                <w:sz w:val="28"/>
              </w:rPr>
              <w:t>-</w:t>
            </w:r>
          </w:p>
        </w:tc>
        <w:tc>
          <w:tcPr>
            <w:tcW w:w="2527" w:type="dxa"/>
            <w:tcBorders>
              <w:top w:val="double" w:sz="10" w:space="0" w:color="EFEFEF"/>
              <w:right w:val="double" w:sz="8" w:space="0" w:color="EFEFEF"/>
            </w:tcBorders>
          </w:tcPr>
          <w:p>
            <w:pPr>
              <w:pStyle w:val="TableParagraph"/>
              <w:spacing w:line="315" w:lineRule="exact"/>
              <w:ind w:left="916" w:right="920"/>
              <w:jc w:val="center"/>
              <w:rPr>
                <w:sz w:val="28"/>
              </w:rPr>
            </w:pPr>
            <w:r>
              <w:rPr>
                <w:sz w:val="28"/>
              </w:rPr>
              <w:t>3,8%</w:t>
            </w:r>
          </w:p>
        </w:tc>
      </w:tr>
    </w:tbl>
    <w:p>
      <w:pPr>
        <w:pStyle w:val="BodyText"/>
        <w:rPr>
          <w:sz w:val="30"/>
        </w:rPr>
      </w:pPr>
    </w:p>
    <w:p>
      <w:pPr>
        <w:pStyle w:val="BodyText"/>
        <w:spacing w:before="10"/>
      </w:pPr>
    </w:p>
    <w:p>
      <w:pPr>
        <w:pStyle w:val="BodyText"/>
        <w:spacing w:line="360" w:lineRule="auto"/>
        <w:ind w:left="282" w:right="147" w:firstLine="719"/>
        <w:jc w:val="both"/>
      </w:pPr>
      <w:r>
        <w:rPr/>
        <w:t>В группе лапароскопических операций не встретилось тяжелых осложнений со стороны органов брюшной полости, которых, к сожалению, не удается избежать при выполнении лапаротомии. Только у одной пациентки в ближайшем послеоперационном периоде развилась тромбоэмболия легочной артерии, послужившая причиной летального исхода на 11 сутки благополучно протекавшего послеоперационного периода.</w:t>
      </w:r>
    </w:p>
    <w:p>
      <w:pPr>
        <w:pStyle w:val="BodyText"/>
        <w:spacing w:line="360" w:lineRule="auto" w:before="207"/>
        <w:ind w:left="282" w:right="147" w:firstLine="628"/>
        <w:jc w:val="both"/>
      </w:pPr>
      <w:r>
        <w:rPr/>
        <w:t>К серьезным послеоперационным осложнениям следует отнести перитонит, кишечную непроходимость, сепсис, полиорганную</w:t>
      </w:r>
    </w:p>
    <w:p>
      <w:pPr>
        <w:spacing w:after="0" w:line="360" w:lineRule="auto"/>
        <w:jc w:val="both"/>
        <w:sectPr>
          <w:pgSz w:w="11900" w:h="16850"/>
          <w:pgMar w:header="712" w:footer="0" w:top="1020" w:bottom="280" w:left="1420" w:right="980"/>
        </w:sectPr>
      </w:pPr>
    </w:p>
    <w:p>
      <w:pPr>
        <w:pStyle w:val="BodyText"/>
        <w:rPr>
          <w:sz w:val="20"/>
        </w:rPr>
      </w:pPr>
    </w:p>
    <w:p>
      <w:pPr>
        <w:pStyle w:val="BodyText"/>
        <w:spacing w:line="360" w:lineRule="auto" w:before="252"/>
        <w:ind w:left="282" w:right="143"/>
        <w:jc w:val="both"/>
      </w:pPr>
      <w:r>
        <w:rPr/>
        <w:t>недостаточность. Всего возникло 204 подобных осложнений у 16% больных после выполненных лапаротомий.  Необходимо подчеркнуть, что в этом разделе мы анализируем осложнения за 10-летний период работы (Табл. 3.28).</w:t>
      </w:r>
    </w:p>
    <w:p>
      <w:pPr>
        <w:pStyle w:val="BodyText"/>
        <w:spacing w:line="508" w:lineRule="auto" w:before="5" w:after="19"/>
        <w:ind w:left="1001" w:right="129" w:firstLine="6788"/>
      </w:pPr>
      <w:r>
        <w:rPr/>
        <w:t>Таблица 3.28 Послеоперационные осложнения у больных раком эндометрия (%)</w:t>
      </w:r>
    </w:p>
    <w:tbl>
      <w:tblPr>
        <w:tblW w:w="0" w:type="auto"/>
        <w:jc w:val="left"/>
        <w:tblInd w:w="111" w:type="dxa"/>
        <w:tblBorders>
          <w:top w:val="double" w:sz="9" w:space="0" w:color="EFEFEF"/>
          <w:left w:val="double" w:sz="9" w:space="0" w:color="EFEFEF"/>
          <w:bottom w:val="double" w:sz="9" w:space="0" w:color="EFEFEF"/>
          <w:right w:val="double" w:sz="9" w:space="0" w:color="EFEFEF"/>
          <w:insideH w:val="double" w:sz="9" w:space="0" w:color="EFEFEF"/>
          <w:insideV w:val="double" w:sz="9" w:space="0" w:color="EFEFEF"/>
        </w:tblBorders>
        <w:tblLayout w:type="fixed"/>
        <w:tblCellMar>
          <w:top w:w="0" w:type="dxa"/>
          <w:left w:w="0" w:type="dxa"/>
          <w:bottom w:w="0" w:type="dxa"/>
          <w:right w:w="0" w:type="dxa"/>
        </w:tblCellMar>
        <w:tblLook w:val="01E0"/>
      </w:tblPr>
      <w:tblGrid>
        <w:gridCol w:w="4280"/>
        <w:gridCol w:w="1672"/>
        <w:gridCol w:w="1844"/>
        <w:gridCol w:w="1393"/>
      </w:tblGrid>
      <w:tr>
        <w:trPr>
          <w:trHeight w:val="1922" w:hRule="exact"/>
        </w:trPr>
        <w:tc>
          <w:tcPr>
            <w:tcW w:w="4280" w:type="dxa"/>
            <w:tcBorders>
              <w:left w:val="double" w:sz="8" w:space="0" w:color="9F9F9F"/>
              <w:bottom w:val="double" w:sz="10" w:space="0" w:color="EFEFEF"/>
              <w:right w:val="double" w:sz="10" w:space="0" w:color="EFEFEF"/>
            </w:tcBorders>
          </w:tcPr>
          <w:p>
            <w:pPr/>
          </w:p>
        </w:tc>
        <w:tc>
          <w:tcPr>
            <w:tcW w:w="1672" w:type="dxa"/>
            <w:tcBorders>
              <w:left w:val="double" w:sz="10" w:space="0" w:color="EFEFEF"/>
              <w:bottom w:val="double" w:sz="10" w:space="0" w:color="EFEFEF"/>
            </w:tcBorders>
          </w:tcPr>
          <w:p>
            <w:pPr>
              <w:pStyle w:val="TableParagraph"/>
              <w:spacing w:line="360" w:lineRule="auto"/>
              <w:ind w:left="187" w:right="185"/>
              <w:jc w:val="center"/>
              <w:rPr>
                <w:sz w:val="28"/>
              </w:rPr>
            </w:pPr>
            <w:r>
              <w:rPr>
                <w:sz w:val="28"/>
              </w:rPr>
              <w:t>Лапарото- мия</w:t>
            </w:r>
          </w:p>
          <w:p>
            <w:pPr>
              <w:pStyle w:val="TableParagraph"/>
              <w:spacing w:before="208"/>
              <w:ind w:left="184" w:right="185"/>
              <w:jc w:val="center"/>
              <w:rPr>
                <w:sz w:val="28"/>
              </w:rPr>
            </w:pPr>
            <w:r>
              <w:rPr>
                <w:sz w:val="28"/>
              </w:rPr>
              <w:t>(n=1289)</w:t>
            </w:r>
          </w:p>
        </w:tc>
        <w:tc>
          <w:tcPr>
            <w:tcW w:w="1844" w:type="dxa"/>
            <w:tcBorders>
              <w:bottom w:val="double" w:sz="10" w:space="0" w:color="EFEFEF"/>
            </w:tcBorders>
          </w:tcPr>
          <w:p>
            <w:pPr>
              <w:pStyle w:val="TableParagraph"/>
              <w:spacing w:line="360" w:lineRule="auto"/>
              <w:ind w:left="206" w:right="202"/>
              <w:jc w:val="center"/>
              <w:rPr>
                <w:sz w:val="28"/>
              </w:rPr>
            </w:pPr>
            <w:r>
              <w:rPr>
                <w:sz w:val="28"/>
              </w:rPr>
              <w:t>Лапароско- пия</w:t>
            </w:r>
          </w:p>
          <w:p>
            <w:pPr>
              <w:pStyle w:val="TableParagraph"/>
              <w:spacing w:before="208"/>
              <w:ind w:left="202" w:right="202"/>
              <w:jc w:val="center"/>
              <w:rPr>
                <w:sz w:val="28"/>
              </w:rPr>
            </w:pPr>
            <w:r>
              <w:rPr>
                <w:sz w:val="28"/>
              </w:rPr>
              <w:t>(n=756)</w:t>
            </w:r>
          </w:p>
        </w:tc>
        <w:tc>
          <w:tcPr>
            <w:tcW w:w="1393" w:type="dxa"/>
            <w:tcBorders>
              <w:bottom w:val="double" w:sz="10" w:space="0" w:color="EFEFEF"/>
              <w:right w:val="double" w:sz="8" w:space="0" w:color="EFEFEF"/>
            </w:tcBorders>
          </w:tcPr>
          <w:p>
            <w:pPr>
              <w:pStyle w:val="TableParagraph"/>
              <w:spacing w:line="318" w:lineRule="exact"/>
              <w:ind w:left="139"/>
              <w:jc w:val="center"/>
              <w:rPr>
                <w:sz w:val="28"/>
              </w:rPr>
            </w:pPr>
            <w:r>
              <w:rPr>
                <w:w w:val="100"/>
                <w:sz w:val="28"/>
              </w:rPr>
              <w:t>Р</w:t>
            </w:r>
          </w:p>
        </w:tc>
      </w:tr>
      <w:tr>
        <w:trPr>
          <w:trHeight w:val="1719" w:hRule="exact"/>
        </w:trPr>
        <w:tc>
          <w:tcPr>
            <w:tcW w:w="4280" w:type="dxa"/>
            <w:tcBorders>
              <w:top w:val="double" w:sz="10" w:space="0" w:color="EFEFEF"/>
              <w:left w:val="double" w:sz="8" w:space="0" w:color="9F9F9F"/>
              <w:bottom w:val="double" w:sz="10" w:space="0" w:color="EFEFEF"/>
              <w:right w:val="double" w:sz="10" w:space="0" w:color="EFEFEF"/>
            </w:tcBorders>
          </w:tcPr>
          <w:p>
            <w:pPr>
              <w:pStyle w:val="TableParagraph"/>
              <w:spacing w:line="360" w:lineRule="auto"/>
              <w:ind w:left="107"/>
              <w:rPr>
                <w:sz w:val="28"/>
              </w:rPr>
            </w:pPr>
            <w:r>
              <w:rPr>
                <w:sz w:val="28"/>
              </w:rPr>
              <w:t>Инфекционно-воспалительные осложнения послеоперационной раны</w:t>
            </w:r>
          </w:p>
        </w:tc>
        <w:tc>
          <w:tcPr>
            <w:tcW w:w="1672" w:type="dxa"/>
            <w:tcBorders>
              <w:top w:val="double" w:sz="10" w:space="0" w:color="EFEFEF"/>
              <w:left w:val="double" w:sz="10" w:space="0" w:color="EFEFEF"/>
              <w:bottom w:val="double" w:sz="10" w:space="0" w:color="EFEFEF"/>
            </w:tcBorders>
          </w:tcPr>
          <w:p>
            <w:pPr>
              <w:pStyle w:val="TableParagraph"/>
              <w:spacing w:line="313" w:lineRule="exact"/>
              <w:ind w:left="185" w:right="185"/>
              <w:jc w:val="center"/>
              <w:rPr>
                <w:sz w:val="28"/>
              </w:rPr>
            </w:pPr>
            <w:r>
              <w:rPr>
                <w:sz w:val="28"/>
              </w:rPr>
              <w:t>11,5%</w:t>
            </w:r>
          </w:p>
        </w:tc>
        <w:tc>
          <w:tcPr>
            <w:tcW w:w="1844" w:type="dxa"/>
            <w:tcBorders>
              <w:top w:val="double" w:sz="10" w:space="0" w:color="EFEFEF"/>
              <w:bottom w:val="double" w:sz="10" w:space="0" w:color="EFEFEF"/>
            </w:tcBorders>
          </w:tcPr>
          <w:p>
            <w:pPr>
              <w:pStyle w:val="TableParagraph"/>
              <w:spacing w:line="313" w:lineRule="exact"/>
              <w:jc w:val="center"/>
              <w:rPr>
                <w:sz w:val="28"/>
              </w:rPr>
            </w:pPr>
            <w:r>
              <w:rPr>
                <w:w w:val="100"/>
                <w:sz w:val="28"/>
              </w:rPr>
              <w:t>-</w:t>
            </w:r>
          </w:p>
        </w:tc>
        <w:tc>
          <w:tcPr>
            <w:tcW w:w="1393" w:type="dxa"/>
            <w:tcBorders>
              <w:top w:val="double" w:sz="10" w:space="0" w:color="EFEFEF"/>
              <w:bottom w:val="double" w:sz="10" w:space="0" w:color="EFEFEF"/>
              <w:right w:val="double" w:sz="8" w:space="0" w:color="EFEFEF"/>
            </w:tcBorders>
          </w:tcPr>
          <w:p>
            <w:pPr/>
          </w:p>
        </w:tc>
      </w:tr>
      <w:tr>
        <w:trPr>
          <w:trHeight w:val="751" w:hRule="exact"/>
        </w:trPr>
        <w:tc>
          <w:tcPr>
            <w:tcW w:w="4280" w:type="dxa"/>
            <w:tcBorders>
              <w:top w:val="double" w:sz="10" w:space="0" w:color="EFEFEF"/>
              <w:left w:val="double" w:sz="8" w:space="0" w:color="9F9F9F"/>
              <w:bottom w:val="double" w:sz="10" w:space="0" w:color="EFEFEF"/>
              <w:right w:val="double" w:sz="10" w:space="0" w:color="EFEFEF"/>
            </w:tcBorders>
          </w:tcPr>
          <w:p>
            <w:pPr>
              <w:pStyle w:val="TableParagraph"/>
              <w:spacing w:line="313" w:lineRule="exact"/>
              <w:ind w:left="107"/>
              <w:rPr>
                <w:sz w:val="28"/>
              </w:rPr>
            </w:pPr>
            <w:r>
              <w:rPr>
                <w:sz w:val="28"/>
              </w:rPr>
              <w:t>Гипертермия ≥ 38ºС</w:t>
            </w:r>
          </w:p>
        </w:tc>
        <w:tc>
          <w:tcPr>
            <w:tcW w:w="1672" w:type="dxa"/>
            <w:tcBorders>
              <w:top w:val="double" w:sz="10" w:space="0" w:color="EFEFEF"/>
              <w:left w:val="double" w:sz="10" w:space="0" w:color="EFEFEF"/>
              <w:bottom w:val="double" w:sz="10" w:space="0" w:color="EFEFEF"/>
            </w:tcBorders>
          </w:tcPr>
          <w:p>
            <w:pPr>
              <w:pStyle w:val="TableParagraph"/>
              <w:spacing w:line="313" w:lineRule="exact"/>
              <w:ind w:left="185" w:right="185"/>
              <w:jc w:val="center"/>
              <w:rPr>
                <w:sz w:val="28"/>
              </w:rPr>
            </w:pPr>
            <w:r>
              <w:rPr>
                <w:sz w:val="28"/>
              </w:rPr>
              <w:t>15,1%</w:t>
            </w:r>
          </w:p>
        </w:tc>
        <w:tc>
          <w:tcPr>
            <w:tcW w:w="1844" w:type="dxa"/>
            <w:tcBorders>
              <w:top w:val="double" w:sz="10" w:space="0" w:color="EFEFEF"/>
              <w:bottom w:val="double" w:sz="10" w:space="0" w:color="EFEFEF"/>
            </w:tcBorders>
          </w:tcPr>
          <w:p>
            <w:pPr>
              <w:pStyle w:val="TableParagraph"/>
              <w:spacing w:line="313" w:lineRule="exact"/>
              <w:ind w:left="202" w:right="202"/>
              <w:jc w:val="center"/>
              <w:rPr>
                <w:sz w:val="28"/>
              </w:rPr>
            </w:pPr>
            <w:r>
              <w:rPr>
                <w:sz w:val="28"/>
              </w:rPr>
              <w:t>2,6%</w:t>
            </w:r>
          </w:p>
        </w:tc>
        <w:tc>
          <w:tcPr>
            <w:tcW w:w="1393" w:type="dxa"/>
            <w:tcBorders>
              <w:top w:val="double" w:sz="10" w:space="0" w:color="EFEFEF"/>
              <w:bottom w:val="double" w:sz="10" w:space="0" w:color="EFEFEF"/>
              <w:right w:val="double" w:sz="8" w:space="0" w:color="EFEFEF"/>
            </w:tcBorders>
          </w:tcPr>
          <w:p>
            <w:pPr>
              <w:pStyle w:val="TableParagraph"/>
              <w:spacing w:line="313" w:lineRule="exact"/>
              <w:ind w:right="197"/>
              <w:jc w:val="right"/>
              <w:rPr>
                <w:sz w:val="28"/>
              </w:rPr>
            </w:pPr>
            <w:r>
              <w:rPr>
                <w:sz w:val="28"/>
              </w:rPr>
              <w:t>р &lt; 0,05</w:t>
            </w:r>
          </w:p>
        </w:tc>
      </w:tr>
      <w:tr>
        <w:trPr>
          <w:trHeight w:val="1236" w:hRule="exact"/>
        </w:trPr>
        <w:tc>
          <w:tcPr>
            <w:tcW w:w="4280" w:type="dxa"/>
            <w:tcBorders>
              <w:top w:val="double" w:sz="10" w:space="0" w:color="EFEFEF"/>
              <w:left w:val="double" w:sz="8" w:space="0" w:color="9F9F9F"/>
              <w:bottom w:val="double" w:sz="10" w:space="0" w:color="EFEFEF"/>
              <w:right w:val="double" w:sz="10" w:space="0" w:color="EFEFEF"/>
            </w:tcBorders>
          </w:tcPr>
          <w:p>
            <w:pPr>
              <w:pStyle w:val="TableParagraph"/>
              <w:spacing w:line="360" w:lineRule="auto"/>
              <w:ind w:left="107"/>
              <w:rPr>
                <w:sz w:val="28"/>
              </w:rPr>
            </w:pPr>
            <w:r>
              <w:rPr>
                <w:sz w:val="28"/>
              </w:rPr>
              <w:t>Послеоперационная анемия ≥ II степеней</w:t>
            </w:r>
          </w:p>
        </w:tc>
        <w:tc>
          <w:tcPr>
            <w:tcW w:w="1672" w:type="dxa"/>
            <w:tcBorders>
              <w:top w:val="double" w:sz="10" w:space="0" w:color="EFEFEF"/>
              <w:left w:val="double" w:sz="10" w:space="0" w:color="EFEFEF"/>
              <w:bottom w:val="double" w:sz="10" w:space="0" w:color="EFEFEF"/>
            </w:tcBorders>
          </w:tcPr>
          <w:p>
            <w:pPr>
              <w:pStyle w:val="TableParagraph"/>
              <w:spacing w:line="315" w:lineRule="exact"/>
              <w:ind w:left="185" w:right="185"/>
              <w:jc w:val="center"/>
              <w:rPr>
                <w:sz w:val="28"/>
              </w:rPr>
            </w:pPr>
            <w:r>
              <w:rPr>
                <w:sz w:val="28"/>
              </w:rPr>
              <w:t>12,7%</w:t>
            </w:r>
          </w:p>
        </w:tc>
        <w:tc>
          <w:tcPr>
            <w:tcW w:w="1844" w:type="dxa"/>
            <w:tcBorders>
              <w:top w:val="double" w:sz="10" w:space="0" w:color="EFEFEF"/>
              <w:bottom w:val="double" w:sz="10" w:space="0" w:color="EFEFEF"/>
            </w:tcBorders>
          </w:tcPr>
          <w:p>
            <w:pPr>
              <w:pStyle w:val="TableParagraph"/>
              <w:spacing w:line="315" w:lineRule="exact"/>
              <w:ind w:left="202" w:right="202"/>
              <w:jc w:val="center"/>
              <w:rPr>
                <w:sz w:val="28"/>
              </w:rPr>
            </w:pPr>
            <w:r>
              <w:rPr>
                <w:sz w:val="28"/>
              </w:rPr>
              <w:t>9,6%</w:t>
            </w:r>
          </w:p>
        </w:tc>
        <w:tc>
          <w:tcPr>
            <w:tcW w:w="1393" w:type="dxa"/>
            <w:tcBorders>
              <w:top w:val="double" w:sz="10" w:space="0" w:color="EFEFEF"/>
              <w:bottom w:val="double" w:sz="10" w:space="0" w:color="EFEFEF"/>
              <w:right w:val="double" w:sz="8" w:space="0" w:color="EFEFEF"/>
            </w:tcBorders>
          </w:tcPr>
          <w:p>
            <w:pPr/>
          </w:p>
        </w:tc>
      </w:tr>
      <w:tr>
        <w:trPr>
          <w:trHeight w:val="1237" w:hRule="exact"/>
        </w:trPr>
        <w:tc>
          <w:tcPr>
            <w:tcW w:w="4280" w:type="dxa"/>
            <w:tcBorders>
              <w:top w:val="double" w:sz="10" w:space="0" w:color="EFEFEF"/>
              <w:left w:val="double" w:sz="8" w:space="0" w:color="9F9F9F"/>
              <w:bottom w:val="double" w:sz="10" w:space="0" w:color="EFEFEF"/>
              <w:right w:val="double" w:sz="10" w:space="0" w:color="EFEFEF"/>
            </w:tcBorders>
          </w:tcPr>
          <w:p>
            <w:pPr>
              <w:pStyle w:val="TableParagraph"/>
              <w:tabs>
                <w:tab w:pos="3314" w:val="left" w:leader="none"/>
              </w:tabs>
              <w:spacing w:line="360" w:lineRule="auto"/>
              <w:ind w:left="107" w:right="103"/>
              <w:rPr>
                <w:sz w:val="28"/>
              </w:rPr>
            </w:pPr>
            <w:r>
              <w:rPr>
                <w:sz w:val="28"/>
              </w:rPr>
              <w:t>Лимфатические</w:t>
              <w:tab/>
              <w:t>кисты, лимфорея</w:t>
            </w:r>
          </w:p>
        </w:tc>
        <w:tc>
          <w:tcPr>
            <w:tcW w:w="1672" w:type="dxa"/>
            <w:tcBorders>
              <w:top w:val="double" w:sz="10" w:space="0" w:color="EFEFEF"/>
              <w:left w:val="double" w:sz="10" w:space="0" w:color="EFEFEF"/>
              <w:bottom w:val="double" w:sz="10" w:space="0" w:color="EFEFEF"/>
            </w:tcBorders>
          </w:tcPr>
          <w:p>
            <w:pPr>
              <w:pStyle w:val="TableParagraph"/>
              <w:spacing w:line="315" w:lineRule="exact"/>
              <w:ind w:left="185" w:right="185"/>
              <w:jc w:val="center"/>
              <w:rPr>
                <w:sz w:val="28"/>
              </w:rPr>
            </w:pPr>
            <w:r>
              <w:rPr>
                <w:sz w:val="28"/>
              </w:rPr>
              <w:t>8,7%</w:t>
            </w:r>
          </w:p>
        </w:tc>
        <w:tc>
          <w:tcPr>
            <w:tcW w:w="1844" w:type="dxa"/>
            <w:tcBorders>
              <w:top w:val="double" w:sz="10" w:space="0" w:color="EFEFEF"/>
              <w:bottom w:val="double" w:sz="10" w:space="0" w:color="EFEFEF"/>
            </w:tcBorders>
          </w:tcPr>
          <w:p>
            <w:pPr>
              <w:pStyle w:val="TableParagraph"/>
              <w:spacing w:line="315" w:lineRule="exact"/>
              <w:ind w:left="203" w:right="202"/>
              <w:jc w:val="center"/>
              <w:rPr>
                <w:sz w:val="28"/>
              </w:rPr>
            </w:pPr>
            <w:r>
              <w:rPr>
                <w:sz w:val="28"/>
              </w:rPr>
              <w:t>2,7%</w:t>
            </w:r>
          </w:p>
        </w:tc>
        <w:tc>
          <w:tcPr>
            <w:tcW w:w="1393" w:type="dxa"/>
            <w:tcBorders>
              <w:top w:val="double" w:sz="10" w:space="0" w:color="EFEFEF"/>
              <w:bottom w:val="double" w:sz="10" w:space="0" w:color="EFEFEF"/>
              <w:right w:val="double" w:sz="8" w:space="0" w:color="EFEFEF"/>
            </w:tcBorders>
          </w:tcPr>
          <w:p>
            <w:pPr>
              <w:pStyle w:val="TableParagraph"/>
              <w:spacing w:line="315" w:lineRule="exact"/>
              <w:ind w:right="197"/>
              <w:jc w:val="right"/>
              <w:rPr>
                <w:sz w:val="28"/>
              </w:rPr>
            </w:pPr>
            <w:r>
              <w:rPr>
                <w:sz w:val="28"/>
              </w:rPr>
              <w:t>р &lt; 0,05</w:t>
            </w:r>
          </w:p>
        </w:tc>
      </w:tr>
      <w:tr>
        <w:trPr>
          <w:trHeight w:val="754" w:hRule="exact"/>
        </w:trPr>
        <w:tc>
          <w:tcPr>
            <w:tcW w:w="4280" w:type="dxa"/>
            <w:tcBorders>
              <w:top w:val="double" w:sz="10" w:space="0" w:color="EFEFEF"/>
              <w:left w:val="double" w:sz="8" w:space="0" w:color="9F9F9F"/>
              <w:bottom w:val="double" w:sz="10" w:space="0" w:color="EFEFEF"/>
              <w:right w:val="double" w:sz="10" w:space="0" w:color="EFEFEF"/>
            </w:tcBorders>
          </w:tcPr>
          <w:p>
            <w:pPr>
              <w:pStyle w:val="TableParagraph"/>
              <w:spacing w:line="315" w:lineRule="exact"/>
              <w:ind w:left="107"/>
              <w:rPr>
                <w:sz w:val="28"/>
              </w:rPr>
            </w:pPr>
            <w:r>
              <w:rPr>
                <w:sz w:val="28"/>
              </w:rPr>
              <w:t>Парез кишечника</w:t>
            </w:r>
          </w:p>
        </w:tc>
        <w:tc>
          <w:tcPr>
            <w:tcW w:w="1672" w:type="dxa"/>
            <w:tcBorders>
              <w:top w:val="double" w:sz="10" w:space="0" w:color="EFEFEF"/>
              <w:left w:val="double" w:sz="10" w:space="0" w:color="EFEFEF"/>
              <w:bottom w:val="double" w:sz="10" w:space="0" w:color="EFEFEF"/>
            </w:tcBorders>
          </w:tcPr>
          <w:p>
            <w:pPr>
              <w:pStyle w:val="TableParagraph"/>
              <w:spacing w:line="315" w:lineRule="exact"/>
              <w:ind w:left="185" w:right="185"/>
              <w:jc w:val="center"/>
              <w:rPr>
                <w:sz w:val="28"/>
              </w:rPr>
            </w:pPr>
            <w:r>
              <w:rPr>
                <w:sz w:val="28"/>
              </w:rPr>
              <w:t>9,8%</w:t>
            </w:r>
          </w:p>
        </w:tc>
        <w:tc>
          <w:tcPr>
            <w:tcW w:w="1844" w:type="dxa"/>
            <w:tcBorders>
              <w:top w:val="double" w:sz="10" w:space="0" w:color="EFEFEF"/>
              <w:bottom w:val="double" w:sz="10" w:space="0" w:color="EFEFEF"/>
            </w:tcBorders>
          </w:tcPr>
          <w:p>
            <w:pPr>
              <w:pStyle w:val="TableParagraph"/>
              <w:spacing w:line="315" w:lineRule="exact"/>
              <w:jc w:val="center"/>
              <w:rPr>
                <w:sz w:val="28"/>
              </w:rPr>
            </w:pPr>
            <w:r>
              <w:rPr>
                <w:w w:val="100"/>
                <w:sz w:val="28"/>
              </w:rPr>
              <w:t>-</w:t>
            </w:r>
          </w:p>
        </w:tc>
        <w:tc>
          <w:tcPr>
            <w:tcW w:w="1393" w:type="dxa"/>
            <w:tcBorders>
              <w:top w:val="double" w:sz="10" w:space="0" w:color="EFEFEF"/>
              <w:bottom w:val="double" w:sz="10" w:space="0" w:color="EFEFEF"/>
              <w:right w:val="double" w:sz="8" w:space="0" w:color="EFEFEF"/>
            </w:tcBorders>
          </w:tcPr>
          <w:p>
            <w:pPr/>
          </w:p>
        </w:tc>
      </w:tr>
      <w:tr>
        <w:trPr>
          <w:trHeight w:val="752" w:hRule="exact"/>
        </w:trPr>
        <w:tc>
          <w:tcPr>
            <w:tcW w:w="4280" w:type="dxa"/>
            <w:tcBorders>
              <w:top w:val="double" w:sz="10" w:space="0" w:color="EFEFEF"/>
              <w:left w:val="double" w:sz="8" w:space="0" w:color="9F9F9F"/>
              <w:right w:val="double" w:sz="10" w:space="0" w:color="EFEFEF"/>
            </w:tcBorders>
          </w:tcPr>
          <w:p>
            <w:pPr>
              <w:pStyle w:val="TableParagraph"/>
              <w:spacing w:line="315" w:lineRule="exact"/>
              <w:ind w:left="107"/>
              <w:rPr>
                <w:sz w:val="28"/>
              </w:rPr>
            </w:pPr>
            <w:r>
              <w:rPr>
                <w:sz w:val="28"/>
              </w:rPr>
              <w:t>Прикультевая гематома</w:t>
            </w:r>
          </w:p>
        </w:tc>
        <w:tc>
          <w:tcPr>
            <w:tcW w:w="1672" w:type="dxa"/>
            <w:tcBorders>
              <w:top w:val="double" w:sz="10" w:space="0" w:color="EFEFEF"/>
              <w:left w:val="double" w:sz="10" w:space="0" w:color="EFEFEF"/>
            </w:tcBorders>
          </w:tcPr>
          <w:p>
            <w:pPr>
              <w:pStyle w:val="TableParagraph"/>
              <w:spacing w:line="315" w:lineRule="exact"/>
              <w:ind w:left="185" w:right="185"/>
              <w:jc w:val="center"/>
              <w:rPr>
                <w:sz w:val="28"/>
              </w:rPr>
            </w:pPr>
            <w:r>
              <w:rPr>
                <w:sz w:val="28"/>
              </w:rPr>
              <w:t>6,4%</w:t>
            </w:r>
          </w:p>
        </w:tc>
        <w:tc>
          <w:tcPr>
            <w:tcW w:w="1844" w:type="dxa"/>
            <w:tcBorders>
              <w:top w:val="double" w:sz="10" w:space="0" w:color="EFEFEF"/>
            </w:tcBorders>
          </w:tcPr>
          <w:p>
            <w:pPr>
              <w:pStyle w:val="TableParagraph"/>
              <w:spacing w:line="315" w:lineRule="exact"/>
              <w:ind w:left="203" w:right="202"/>
              <w:jc w:val="center"/>
              <w:rPr>
                <w:sz w:val="28"/>
              </w:rPr>
            </w:pPr>
            <w:r>
              <w:rPr>
                <w:sz w:val="28"/>
              </w:rPr>
              <w:t>4,1%</w:t>
            </w:r>
          </w:p>
        </w:tc>
        <w:tc>
          <w:tcPr>
            <w:tcW w:w="1393" w:type="dxa"/>
            <w:tcBorders>
              <w:top w:val="double" w:sz="10" w:space="0" w:color="EFEFEF"/>
              <w:right w:val="double" w:sz="8" w:space="0" w:color="EFEFEF"/>
            </w:tcBorders>
          </w:tcPr>
          <w:p>
            <w:pPr/>
          </w:p>
        </w:tc>
      </w:tr>
    </w:tbl>
    <w:p>
      <w:pPr>
        <w:pStyle w:val="BodyText"/>
        <w:spacing w:before="6"/>
        <w:rPr>
          <w:sz w:val="41"/>
        </w:rPr>
      </w:pPr>
    </w:p>
    <w:p>
      <w:pPr>
        <w:pStyle w:val="BodyText"/>
        <w:spacing w:line="360" w:lineRule="auto"/>
        <w:ind w:left="282" w:right="147" w:firstLine="789"/>
        <w:jc w:val="both"/>
      </w:pPr>
      <w:r>
        <w:rPr/>
        <w:t>На первый взгляд, процент осложнений кажется необычайно высоким, особенно у больных, подвергшихся лапаротомиям, и требует внимательного изучения и оценки. Наиболее частым среди них оказались лимфатические кисты (85 случаев в обеих группах). Лимфатические кисты</w:t>
      </w:r>
    </w:p>
    <w:p>
      <w:pPr>
        <w:spacing w:after="0" w:line="360" w:lineRule="auto"/>
        <w:jc w:val="both"/>
        <w:sectPr>
          <w:pgSz w:w="11900" w:h="16850"/>
          <w:pgMar w:header="712" w:footer="0" w:top="1020" w:bottom="280" w:left="1420" w:right="980"/>
        </w:sectPr>
      </w:pPr>
    </w:p>
    <w:p>
      <w:pPr>
        <w:pStyle w:val="BodyText"/>
        <w:rPr>
          <w:sz w:val="20"/>
        </w:rPr>
      </w:pPr>
    </w:p>
    <w:p>
      <w:pPr>
        <w:pStyle w:val="BodyText"/>
        <w:rPr>
          <w:sz w:val="20"/>
        </w:rPr>
      </w:pPr>
    </w:p>
    <w:p>
      <w:pPr>
        <w:pStyle w:val="BodyText"/>
        <w:spacing w:line="360" w:lineRule="auto" w:before="224"/>
        <w:ind w:left="222" w:right="120"/>
        <w:jc w:val="both"/>
      </w:pPr>
      <w:r>
        <w:rPr/>
        <w:t>достоверно реже развиваются после лапароскопических расширенных операций, лимфореи встретились с одинаковой частотой в обеих группах. Как правило, лимфореи отмечались у больных, которым не выполнялась перитонизация или, как в случае лапаротомий, производилась перитонизация культи влагалища и воронко-тазовых связок  с оставлением</w:t>
      </w:r>
    </w:p>
    <w:p>
      <w:pPr>
        <w:pStyle w:val="BodyText"/>
        <w:spacing w:before="5"/>
        <w:ind w:left="222"/>
        <w:jc w:val="both"/>
      </w:pPr>
      <w:r>
        <w:rPr/>
        <w:t>«окошек» (Табл. 3.29).</w:t>
      </w:r>
    </w:p>
    <w:p>
      <w:pPr>
        <w:pStyle w:val="BodyText"/>
        <w:rPr>
          <w:sz w:val="30"/>
        </w:rPr>
      </w:pPr>
    </w:p>
    <w:p>
      <w:pPr>
        <w:pStyle w:val="BodyText"/>
        <w:spacing w:before="7"/>
        <w:rPr>
          <w:sz w:val="29"/>
        </w:rPr>
      </w:pPr>
    </w:p>
    <w:p>
      <w:pPr>
        <w:pStyle w:val="BodyText"/>
        <w:spacing w:line="680" w:lineRule="atLeast"/>
        <w:ind w:left="1246" w:right="106" w:firstLine="6486"/>
      </w:pPr>
      <w:r>
        <w:rPr/>
        <w:t>Таблица 3.29 Лимфатические кисты и лимфореи у больных раком эндометрия</w:t>
      </w:r>
    </w:p>
    <w:p>
      <w:pPr>
        <w:pStyle w:val="BodyText"/>
        <w:spacing w:before="160"/>
        <w:ind w:left="2961"/>
      </w:pPr>
      <w:r>
        <w:rPr/>
        <w:t>после расширенных операций</w:t>
      </w:r>
    </w:p>
    <w:p>
      <w:pPr>
        <w:pStyle w:val="BodyText"/>
        <w:rPr>
          <w:sz w:val="20"/>
        </w:rPr>
      </w:pPr>
    </w:p>
    <w:p>
      <w:pPr>
        <w:pStyle w:val="BodyText"/>
        <w:spacing w:before="10"/>
        <w:rPr>
          <w:sz w:val="1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5"/>
        <w:gridCol w:w="1438"/>
        <w:gridCol w:w="1291"/>
        <w:gridCol w:w="1880"/>
        <w:gridCol w:w="2665"/>
      </w:tblGrid>
      <w:tr>
        <w:trPr>
          <w:trHeight w:val="1301" w:hRule="exact"/>
        </w:trPr>
        <w:tc>
          <w:tcPr>
            <w:tcW w:w="1915" w:type="dxa"/>
            <w:vMerge w:val="restart"/>
          </w:tcPr>
          <w:p>
            <w:pPr>
              <w:pStyle w:val="TableParagraph"/>
              <w:rPr>
                <w:sz w:val="30"/>
              </w:rPr>
            </w:pPr>
          </w:p>
          <w:p>
            <w:pPr>
              <w:pStyle w:val="TableParagraph"/>
              <w:rPr>
                <w:sz w:val="30"/>
              </w:rPr>
            </w:pPr>
          </w:p>
          <w:p>
            <w:pPr>
              <w:pStyle w:val="TableParagraph"/>
              <w:rPr>
                <w:sz w:val="30"/>
              </w:rPr>
            </w:pPr>
          </w:p>
          <w:p>
            <w:pPr>
              <w:pStyle w:val="TableParagraph"/>
              <w:spacing w:before="5"/>
              <w:rPr>
                <w:sz w:val="25"/>
              </w:rPr>
            </w:pPr>
          </w:p>
          <w:p>
            <w:pPr>
              <w:pStyle w:val="TableParagraph"/>
              <w:ind w:left="518"/>
              <w:rPr>
                <w:sz w:val="28"/>
              </w:rPr>
            </w:pPr>
            <w:r>
              <w:rPr>
                <w:sz w:val="28"/>
              </w:rPr>
              <w:t>Доступ</w:t>
            </w:r>
          </w:p>
        </w:tc>
        <w:tc>
          <w:tcPr>
            <w:tcW w:w="2729" w:type="dxa"/>
            <w:gridSpan w:val="2"/>
          </w:tcPr>
          <w:p>
            <w:pPr>
              <w:pStyle w:val="TableParagraph"/>
              <w:spacing w:line="360" w:lineRule="auto" w:before="55"/>
              <w:ind w:left="1027" w:right="409" w:hanging="610"/>
              <w:rPr>
                <w:sz w:val="28"/>
              </w:rPr>
            </w:pPr>
            <w:r>
              <w:rPr>
                <w:sz w:val="28"/>
              </w:rPr>
              <w:t>Лимфатическая киста</w:t>
            </w:r>
          </w:p>
        </w:tc>
        <w:tc>
          <w:tcPr>
            <w:tcW w:w="1880" w:type="dxa"/>
            <w:vMerge w:val="restart"/>
          </w:tcPr>
          <w:p>
            <w:pPr>
              <w:pStyle w:val="TableParagraph"/>
              <w:rPr>
                <w:sz w:val="30"/>
              </w:rPr>
            </w:pPr>
          </w:p>
          <w:p>
            <w:pPr>
              <w:pStyle w:val="TableParagraph"/>
              <w:spacing w:before="10"/>
              <w:rPr>
                <w:sz w:val="25"/>
              </w:rPr>
            </w:pPr>
          </w:p>
          <w:p>
            <w:pPr>
              <w:pStyle w:val="TableParagraph"/>
              <w:spacing w:line="511" w:lineRule="auto" w:before="1"/>
              <w:ind w:left="124" w:right="112" w:firstLine="192"/>
              <w:rPr>
                <w:sz w:val="28"/>
              </w:rPr>
            </w:pPr>
            <w:r>
              <w:rPr>
                <w:sz w:val="28"/>
              </w:rPr>
              <w:t>Лимфорея более 3 суток</w:t>
            </w:r>
          </w:p>
        </w:tc>
        <w:tc>
          <w:tcPr>
            <w:tcW w:w="2665" w:type="dxa"/>
            <w:vMerge w:val="restart"/>
          </w:tcPr>
          <w:p>
            <w:pPr>
              <w:pStyle w:val="TableParagraph"/>
              <w:rPr>
                <w:sz w:val="30"/>
              </w:rPr>
            </w:pPr>
          </w:p>
          <w:p>
            <w:pPr>
              <w:pStyle w:val="TableParagraph"/>
              <w:rPr>
                <w:sz w:val="30"/>
              </w:rPr>
            </w:pPr>
          </w:p>
          <w:p>
            <w:pPr>
              <w:pStyle w:val="TableParagraph"/>
              <w:rPr>
                <w:sz w:val="30"/>
              </w:rPr>
            </w:pPr>
          </w:p>
          <w:p>
            <w:pPr>
              <w:pStyle w:val="TableParagraph"/>
              <w:spacing w:before="5"/>
              <w:rPr>
                <w:sz w:val="25"/>
              </w:rPr>
            </w:pPr>
          </w:p>
          <w:p>
            <w:pPr>
              <w:pStyle w:val="TableParagraph"/>
              <w:ind w:left="747" w:right="746"/>
              <w:jc w:val="center"/>
              <w:rPr>
                <w:sz w:val="28"/>
              </w:rPr>
            </w:pPr>
            <w:r>
              <w:rPr>
                <w:sz w:val="28"/>
              </w:rPr>
              <w:t>Всего</w:t>
            </w:r>
          </w:p>
        </w:tc>
      </w:tr>
      <w:tr>
        <w:trPr>
          <w:trHeight w:val="2057" w:hRule="exact"/>
        </w:trPr>
        <w:tc>
          <w:tcPr>
            <w:tcW w:w="1915" w:type="dxa"/>
            <w:vMerge/>
          </w:tcPr>
          <w:p>
            <w:pPr/>
          </w:p>
        </w:tc>
        <w:tc>
          <w:tcPr>
            <w:tcW w:w="1438" w:type="dxa"/>
          </w:tcPr>
          <w:p>
            <w:pPr>
              <w:pStyle w:val="TableParagraph"/>
              <w:spacing w:line="508" w:lineRule="auto"/>
              <w:ind w:left="351" w:right="336" w:firstLine="196"/>
              <w:rPr>
                <w:sz w:val="28"/>
              </w:rPr>
            </w:pPr>
            <w:r>
              <w:rPr>
                <w:sz w:val="28"/>
              </w:rPr>
              <w:t>До 8,0 см</w:t>
            </w:r>
          </w:p>
        </w:tc>
        <w:tc>
          <w:tcPr>
            <w:tcW w:w="1291" w:type="dxa"/>
          </w:tcPr>
          <w:p>
            <w:pPr>
              <w:pStyle w:val="TableParagraph"/>
              <w:spacing w:line="508" w:lineRule="auto"/>
              <w:ind w:left="278" w:right="262" w:firstLine="16"/>
              <w:rPr>
                <w:sz w:val="28"/>
              </w:rPr>
            </w:pPr>
            <w:r>
              <w:rPr>
                <w:sz w:val="28"/>
              </w:rPr>
              <w:t>Более 8,0 см</w:t>
            </w:r>
          </w:p>
        </w:tc>
        <w:tc>
          <w:tcPr>
            <w:tcW w:w="1880" w:type="dxa"/>
            <w:vMerge/>
          </w:tcPr>
          <w:p>
            <w:pPr/>
          </w:p>
        </w:tc>
        <w:tc>
          <w:tcPr>
            <w:tcW w:w="2665" w:type="dxa"/>
            <w:vMerge/>
          </w:tcPr>
          <w:p>
            <w:pPr/>
          </w:p>
        </w:tc>
      </w:tr>
      <w:tr>
        <w:trPr>
          <w:trHeight w:val="1378" w:hRule="exact"/>
        </w:trPr>
        <w:tc>
          <w:tcPr>
            <w:tcW w:w="1915" w:type="dxa"/>
          </w:tcPr>
          <w:p>
            <w:pPr>
              <w:pStyle w:val="TableParagraph"/>
              <w:spacing w:line="508" w:lineRule="auto"/>
              <w:ind w:left="499" w:right="141" w:hanging="341"/>
              <w:rPr>
                <w:sz w:val="28"/>
              </w:rPr>
            </w:pPr>
            <w:r>
              <w:rPr>
                <w:sz w:val="28"/>
              </w:rPr>
              <w:t>Лапаротомия (n=888)</w:t>
            </w:r>
          </w:p>
        </w:tc>
        <w:tc>
          <w:tcPr>
            <w:tcW w:w="1438" w:type="dxa"/>
          </w:tcPr>
          <w:p>
            <w:pPr>
              <w:pStyle w:val="TableParagraph"/>
              <w:spacing w:line="317" w:lineRule="exact"/>
              <w:ind w:left="308" w:right="309"/>
              <w:jc w:val="center"/>
              <w:rPr>
                <w:sz w:val="28"/>
              </w:rPr>
            </w:pPr>
            <w:r>
              <w:rPr>
                <w:sz w:val="28"/>
              </w:rPr>
              <w:t>41</w:t>
            </w:r>
          </w:p>
          <w:p>
            <w:pPr>
              <w:pStyle w:val="TableParagraph"/>
              <w:spacing w:before="3"/>
              <w:rPr>
                <w:sz w:val="31"/>
              </w:rPr>
            </w:pPr>
          </w:p>
          <w:p>
            <w:pPr>
              <w:pStyle w:val="TableParagraph"/>
              <w:ind w:left="308" w:right="309"/>
              <w:jc w:val="center"/>
              <w:rPr>
                <w:sz w:val="28"/>
              </w:rPr>
            </w:pPr>
            <w:r>
              <w:rPr>
                <w:sz w:val="28"/>
              </w:rPr>
              <w:t>(4,6%)</w:t>
            </w:r>
          </w:p>
        </w:tc>
        <w:tc>
          <w:tcPr>
            <w:tcW w:w="1291" w:type="dxa"/>
          </w:tcPr>
          <w:p>
            <w:pPr>
              <w:pStyle w:val="TableParagraph"/>
              <w:spacing w:line="317" w:lineRule="exact"/>
              <w:ind w:left="235" w:right="235"/>
              <w:jc w:val="center"/>
              <w:rPr>
                <w:sz w:val="28"/>
              </w:rPr>
            </w:pPr>
            <w:r>
              <w:rPr>
                <w:sz w:val="28"/>
              </w:rPr>
              <w:t>13</w:t>
            </w:r>
          </w:p>
          <w:p>
            <w:pPr>
              <w:pStyle w:val="TableParagraph"/>
              <w:spacing w:before="3"/>
              <w:rPr>
                <w:sz w:val="31"/>
              </w:rPr>
            </w:pPr>
          </w:p>
          <w:p>
            <w:pPr>
              <w:pStyle w:val="TableParagraph"/>
              <w:ind w:left="235" w:right="235"/>
              <w:jc w:val="center"/>
              <w:rPr>
                <w:sz w:val="28"/>
              </w:rPr>
            </w:pPr>
            <w:r>
              <w:rPr>
                <w:sz w:val="28"/>
              </w:rPr>
              <w:t>(1,5%)</w:t>
            </w:r>
          </w:p>
        </w:tc>
        <w:tc>
          <w:tcPr>
            <w:tcW w:w="1880" w:type="dxa"/>
          </w:tcPr>
          <w:p>
            <w:pPr>
              <w:pStyle w:val="TableParagraph"/>
              <w:spacing w:line="317" w:lineRule="exact"/>
              <w:ind w:left="529" w:right="529"/>
              <w:jc w:val="center"/>
              <w:rPr>
                <w:sz w:val="28"/>
              </w:rPr>
            </w:pPr>
            <w:r>
              <w:rPr>
                <w:sz w:val="28"/>
              </w:rPr>
              <w:t>17</w:t>
            </w:r>
          </w:p>
          <w:p>
            <w:pPr>
              <w:pStyle w:val="TableParagraph"/>
              <w:spacing w:before="3"/>
              <w:rPr>
                <w:sz w:val="31"/>
              </w:rPr>
            </w:pPr>
          </w:p>
          <w:p>
            <w:pPr>
              <w:pStyle w:val="TableParagraph"/>
              <w:ind w:left="529" w:right="530"/>
              <w:jc w:val="center"/>
              <w:rPr>
                <w:sz w:val="28"/>
              </w:rPr>
            </w:pPr>
            <w:r>
              <w:rPr>
                <w:sz w:val="28"/>
              </w:rPr>
              <w:t>(1,9%)</w:t>
            </w:r>
          </w:p>
        </w:tc>
        <w:tc>
          <w:tcPr>
            <w:tcW w:w="2665" w:type="dxa"/>
          </w:tcPr>
          <w:p>
            <w:pPr>
              <w:pStyle w:val="TableParagraph"/>
              <w:spacing w:before="2"/>
              <w:rPr>
                <w:sz w:val="29"/>
              </w:rPr>
            </w:pPr>
          </w:p>
          <w:p>
            <w:pPr>
              <w:pStyle w:val="TableParagraph"/>
              <w:ind w:left="747" w:right="748"/>
              <w:jc w:val="center"/>
              <w:rPr>
                <w:sz w:val="28"/>
              </w:rPr>
            </w:pPr>
            <w:r>
              <w:rPr>
                <w:sz w:val="28"/>
              </w:rPr>
              <w:t>71 (8,0%)</w:t>
            </w:r>
          </w:p>
        </w:tc>
      </w:tr>
      <w:tr>
        <w:trPr>
          <w:trHeight w:val="1375" w:hRule="exact"/>
        </w:trPr>
        <w:tc>
          <w:tcPr>
            <w:tcW w:w="1915" w:type="dxa"/>
          </w:tcPr>
          <w:p>
            <w:pPr>
              <w:pStyle w:val="TableParagraph"/>
              <w:spacing w:line="508" w:lineRule="auto"/>
              <w:ind w:left="499" w:right="85" w:hanging="396"/>
              <w:rPr>
                <w:sz w:val="28"/>
              </w:rPr>
            </w:pPr>
            <w:r>
              <w:rPr>
                <w:sz w:val="28"/>
              </w:rPr>
              <w:t>Лапароскопия (n=529)</w:t>
            </w:r>
          </w:p>
        </w:tc>
        <w:tc>
          <w:tcPr>
            <w:tcW w:w="1438" w:type="dxa"/>
          </w:tcPr>
          <w:p>
            <w:pPr>
              <w:pStyle w:val="TableParagraph"/>
              <w:spacing w:line="315" w:lineRule="exact"/>
              <w:jc w:val="center"/>
              <w:rPr>
                <w:sz w:val="28"/>
              </w:rPr>
            </w:pPr>
            <w:r>
              <w:rPr>
                <w:w w:val="100"/>
                <w:sz w:val="28"/>
              </w:rPr>
              <w:t>4</w:t>
            </w:r>
          </w:p>
          <w:p>
            <w:pPr>
              <w:pStyle w:val="TableParagraph"/>
              <w:spacing w:before="5"/>
              <w:rPr>
                <w:sz w:val="31"/>
              </w:rPr>
            </w:pPr>
          </w:p>
          <w:p>
            <w:pPr>
              <w:pStyle w:val="TableParagraph"/>
              <w:ind w:left="308" w:right="309"/>
              <w:jc w:val="center"/>
              <w:rPr>
                <w:sz w:val="28"/>
              </w:rPr>
            </w:pPr>
            <w:r>
              <w:rPr>
                <w:sz w:val="28"/>
              </w:rPr>
              <w:t>(0,8%)</w:t>
            </w:r>
          </w:p>
        </w:tc>
        <w:tc>
          <w:tcPr>
            <w:tcW w:w="1291" w:type="dxa"/>
          </w:tcPr>
          <w:p>
            <w:pPr>
              <w:pStyle w:val="TableParagraph"/>
              <w:spacing w:line="315" w:lineRule="exact"/>
              <w:ind w:right="1"/>
              <w:jc w:val="center"/>
              <w:rPr>
                <w:sz w:val="28"/>
              </w:rPr>
            </w:pPr>
            <w:r>
              <w:rPr>
                <w:w w:val="100"/>
                <w:sz w:val="28"/>
              </w:rPr>
              <w:t>1</w:t>
            </w:r>
          </w:p>
          <w:p>
            <w:pPr>
              <w:pStyle w:val="TableParagraph"/>
              <w:spacing w:before="5"/>
              <w:rPr>
                <w:sz w:val="31"/>
              </w:rPr>
            </w:pPr>
          </w:p>
          <w:p>
            <w:pPr>
              <w:pStyle w:val="TableParagraph"/>
              <w:ind w:left="235" w:right="235"/>
              <w:jc w:val="center"/>
              <w:rPr>
                <w:sz w:val="28"/>
              </w:rPr>
            </w:pPr>
            <w:r>
              <w:rPr>
                <w:sz w:val="28"/>
              </w:rPr>
              <w:t>(0,2%)</w:t>
            </w:r>
          </w:p>
        </w:tc>
        <w:tc>
          <w:tcPr>
            <w:tcW w:w="1880" w:type="dxa"/>
          </w:tcPr>
          <w:p>
            <w:pPr>
              <w:pStyle w:val="TableParagraph"/>
              <w:spacing w:line="315" w:lineRule="exact"/>
              <w:ind w:right="3"/>
              <w:jc w:val="center"/>
              <w:rPr>
                <w:sz w:val="28"/>
              </w:rPr>
            </w:pPr>
            <w:r>
              <w:rPr>
                <w:w w:val="100"/>
                <w:sz w:val="28"/>
              </w:rPr>
              <w:t>9</w:t>
            </w:r>
          </w:p>
          <w:p>
            <w:pPr>
              <w:pStyle w:val="TableParagraph"/>
              <w:spacing w:before="5"/>
              <w:rPr>
                <w:sz w:val="31"/>
              </w:rPr>
            </w:pPr>
          </w:p>
          <w:p>
            <w:pPr>
              <w:pStyle w:val="TableParagraph"/>
              <w:ind w:left="529" w:right="530"/>
              <w:jc w:val="center"/>
              <w:rPr>
                <w:sz w:val="28"/>
              </w:rPr>
            </w:pPr>
            <w:r>
              <w:rPr>
                <w:sz w:val="28"/>
              </w:rPr>
              <w:t>(1,7%)</w:t>
            </w:r>
          </w:p>
        </w:tc>
        <w:tc>
          <w:tcPr>
            <w:tcW w:w="2665" w:type="dxa"/>
          </w:tcPr>
          <w:p>
            <w:pPr>
              <w:pStyle w:val="TableParagraph"/>
              <w:spacing w:line="315" w:lineRule="exact"/>
              <w:ind w:left="747" w:right="748"/>
              <w:jc w:val="center"/>
              <w:rPr>
                <w:sz w:val="28"/>
              </w:rPr>
            </w:pPr>
            <w:r>
              <w:rPr>
                <w:sz w:val="28"/>
              </w:rPr>
              <w:t>14 (2,7%)</w:t>
            </w:r>
          </w:p>
        </w:tc>
      </w:tr>
      <w:tr>
        <w:trPr>
          <w:trHeight w:val="1301" w:hRule="exact"/>
        </w:trPr>
        <w:tc>
          <w:tcPr>
            <w:tcW w:w="1915" w:type="dxa"/>
          </w:tcPr>
          <w:p>
            <w:pPr>
              <w:pStyle w:val="TableParagraph"/>
              <w:spacing w:before="10"/>
              <w:rPr>
                <w:sz w:val="25"/>
              </w:rPr>
            </w:pPr>
          </w:p>
          <w:p>
            <w:pPr>
              <w:pStyle w:val="TableParagraph"/>
              <w:ind w:right="1"/>
              <w:jc w:val="center"/>
              <w:rPr>
                <w:sz w:val="28"/>
              </w:rPr>
            </w:pPr>
            <w:r>
              <w:rPr>
                <w:w w:val="100"/>
                <w:sz w:val="28"/>
              </w:rPr>
              <w:t>р</w:t>
            </w:r>
          </w:p>
        </w:tc>
        <w:tc>
          <w:tcPr>
            <w:tcW w:w="1438" w:type="dxa"/>
          </w:tcPr>
          <w:p>
            <w:pPr>
              <w:pStyle w:val="TableParagraph"/>
              <w:spacing w:before="10"/>
              <w:rPr>
                <w:sz w:val="25"/>
              </w:rPr>
            </w:pPr>
          </w:p>
          <w:p>
            <w:pPr>
              <w:pStyle w:val="TableParagraph"/>
              <w:ind w:left="240"/>
              <w:rPr>
                <w:sz w:val="28"/>
              </w:rPr>
            </w:pPr>
            <w:r>
              <w:rPr>
                <w:sz w:val="28"/>
              </w:rPr>
              <w:t>Р&lt;0,001</w:t>
            </w:r>
          </w:p>
        </w:tc>
        <w:tc>
          <w:tcPr>
            <w:tcW w:w="1291" w:type="dxa"/>
          </w:tcPr>
          <w:p>
            <w:pPr>
              <w:pStyle w:val="TableParagraph"/>
              <w:spacing w:before="10"/>
              <w:rPr>
                <w:sz w:val="25"/>
              </w:rPr>
            </w:pPr>
          </w:p>
          <w:p>
            <w:pPr>
              <w:pStyle w:val="TableParagraph"/>
              <w:ind w:left="167"/>
              <w:rPr>
                <w:sz w:val="28"/>
              </w:rPr>
            </w:pPr>
            <w:r>
              <w:rPr>
                <w:sz w:val="28"/>
              </w:rPr>
              <w:t>Р&lt;0,001</w:t>
            </w:r>
          </w:p>
        </w:tc>
        <w:tc>
          <w:tcPr>
            <w:tcW w:w="1880" w:type="dxa"/>
          </w:tcPr>
          <w:p>
            <w:pPr/>
          </w:p>
        </w:tc>
        <w:tc>
          <w:tcPr>
            <w:tcW w:w="2665" w:type="dxa"/>
          </w:tcPr>
          <w:p>
            <w:pPr>
              <w:pStyle w:val="TableParagraph"/>
              <w:spacing w:before="10"/>
              <w:rPr>
                <w:sz w:val="25"/>
              </w:rPr>
            </w:pPr>
          </w:p>
          <w:p>
            <w:pPr>
              <w:pStyle w:val="TableParagraph"/>
              <w:ind w:left="747" w:right="713"/>
              <w:jc w:val="center"/>
              <w:rPr>
                <w:sz w:val="28"/>
              </w:rPr>
            </w:pPr>
            <w:r>
              <w:rPr>
                <w:sz w:val="28"/>
              </w:rPr>
              <w:t>Р&lt;0,05</w:t>
            </w:r>
          </w:p>
        </w:tc>
      </w:tr>
    </w:tbl>
    <w:p>
      <w:pPr>
        <w:spacing w:after="0"/>
        <w:jc w:val="center"/>
        <w:rPr>
          <w:sz w:val="28"/>
        </w:rPr>
        <w:sectPr>
          <w:pgSz w:w="11900" w:h="16850"/>
          <w:pgMar w:header="712" w:footer="0" w:top="1020" w:bottom="280" w:left="1480" w:right="1000"/>
        </w:sectPr>
      </w:pPr>
    </w:p>
    <w:p>
      <w:pPr>
        <w:pStyle w:val="BodyText"/>
        <w:rPr>
          <w:sz w:val="20"/>
        </w:rPr>
      </w:pPr>
    </w:p>
    <w:p>
      <w:pPr>
        <w:pStyle w:val="BodyText"/>
        <w:rPr>
          <w:sz w:val="20"/>
        </w:rPr>
      </w:pPr>
    </w:p>
    <w:p>
      <w:pPr>
        <w:pStyle w:val="BodyText"/>
        <w:spacing w:line="360" w:lineRule="auto" w:before="224"/>
        <w:ind w:left="102" w:right="105" w:firstLine="719"/>
        <w:jc w:val="both"/>
      </w:pPr>
      <w:r>
        <w:rPr/>
        <w:t>Вскрытие и дренирование лимфатических кист потребовалось 7 пациенткам после лапаротомий и только одной больной после лапароскопической тазовой лимфодиссекции. В остальных случаях проведена консервативная терапия.</w:t>
      </w:r>
    </w:p>
    <w:p>
      <w:pPr>
        <w:pStyle w:val="BodyText"/>
        <w:spacing w:line="360" w:lineRule="auto" w:before="207"/>
        <w:ind w:left="102" w:right="101" w:firstLine="719"/>
        <w:jc w:val="both"/>
      </w:pPr>
      <w:r>
        <w:rPr/>
        <w:t>Развитие лимфатических кист — закономерный исход тазовой лимфаденэктомии, к которой все чаще приходится прибегать в связи со значительным увеличением числа больных распространенными формами гинекологического рака. По данным литературы, частота развития лимфатических кист после расширенных операций в разных клиниках достигает 35% и не зависит от техники выполнения лимфаденэктомии, и, тем более, не связана с хирургическими погрешностями. Вопрос об отнесении лимфатических кист к хирургическим осложнениям представляется дискуссионным. Скорее всего, речь может идти о закономерных и прогнозируемых последствиях лимфаденэктомии.</w:t>
      </w:r>
    </w:p>
    <w:p>
      <w:pPr>
        <w:pStyle w:val="BodyText"/>
        <w:spacing w:line="360" w:lineRule="auto" w:before="207"/>
        <w:ind w:left="102" w:right="99" w:firstLine="789"/>
        <w:jc w:val="both"/>
      </w:pPr>
      <w:r>
        <w:rPr/>
        <w:t>Формирование гематом наблюдалось в 6% и 4% случаев соответственно и купировалось в течение нескольких дней консервативными методами лечения. Большая доля осложнений приходится на анемии, связанные с основным процессом, обусловившим выраженные маточные кровотечения  (12,7% и 9,6%) (Рис. 3.4).</w:t>
      </w:r>
    </w:p>
    <w:p>
      <w:pPr>
        <w:pStyle w:val="BodyText"/>
        <w:spacing w:line="508" w:lineRule="auto" w:before="205"/>
        <w:ind w:left="1916" w:right="88" w:firstLine="5840"/>
      </w:pPr>
      <w:r>
        <w:rPr/>
        <w:t>Рисунок 3.4 Уровень гемоглобина у больных раком эндометрия</w:t>
      </w:r>
    </w:p>
    <w:p>
      <w:pPr>
        <w:pStyle w:val="BodyText"/>
        <w:spacing w:before="6"/>
        <w:rPr>
          <w:sz w:val="16"/>
        </w:rPr>
      </w:pPr>
    </w:p>
    <w:p>
      <w:pPr>
        <w:spacing w:before="91"/>
        <w:ind w:left="298" w:right="7793" w:firstLine="0"/>
        <w:jc w:val="center"/>
        <w:rPr>
          <w:sz w:val="20"/>
        </w:rPr>
      </w:pPr>
      <w:r>
        <w:rPr/>
        <w:pict>
          <v:group style="position:absolute;margin-left:140.145004pt;margin-top:10.170937pt;width:284.55pt;height:132.15pt;mso-position-horizontal-relative:page;mso-position-vertical-relative:paragraph;z-index:2968" coordorigin="2803,203" coordsize="5691,2643">
            <v:shape style="position:absolute;left:2810;top:2551;width:5676;height:2" coordorigin="2810,2551" coordsize="5676,0" path="m7541,2551l8486,2551m5650,2551l7001,2551m2810,2551l5107,2551e" filled="false" stroked="true" strokeweight=".72pt" strokecolor="#858585">
              <v:path arrowok="t"/>
              <v:stroke dashstyle="solid"/>
            </v:shape>
            <v:rect style="position:absolute;left:5107;top:2421;width:542;height:389" filled="true" fillcolor="#4f81bc" stroked="false">
              <v:fill type="solid"/>
            </v:rect>
            <v:shape style="position:absolute;left:2810;top:732;width:5676;height:1560" coordorigin="2810,732" coordsize="5676,1560" path="m7541,2292l8486,2292m2810,2292l7001,2292m7541,2030l8486,2030m2810,2030l7001,2030m7541,1771l8486,1771m2810,1771l7001,1771m7541,1512l8486,1512m2810,1512l7001,1512m7541,1250l8486,1250m2810,1250l7001,1250m7541,991l8486,991m2810,991l7001,991m7541,732l8486,732m2810,732l7001,732e" filled="false" stroked="true" strokeweight=".72pt" strokecolor="#858585">
              <v:path arrowok="t"/>
              <v:stroke dashstyle="solid"/>
            </v:shape>
            <v:rect style="position:absolute;left:7001;top:653;width:540;height:2158" filled="true" fillcolor="#4f81bc" stroked="false">
              <v:fill type="solid"/>
            </v:rect>
            <v:line style="position:absolute" from="3216,2785" to="3756,2785" stroked="true" strokeweight="2.52pt" strokecolor="#4f81bc">
              <v:stroke dashstyle="solid"/>
            </v:line>
            <v:shape style="position:absolute;left:3757;top:1122;width:4325;height:1690" coordorigin="3757,1122" coordsize="4325,1690" path="m3757,2811l4297,2811,4297,2499,3757,2499,3757,2811xm5648,2811l6188,2811,6188,2214,5648,2214,5648,2811xm7542,2811l8082,2811,8082,1122,7542,1122,7542,2811xe" filled="false" stroked="true" strokeweight="3.48pt" strokecolor="#ff0000">
              <v:path arrowok="t"/>
              <v:stroke dashstyle="solid"/>
            </v:shape>
            <v:shape style="position:absolute;left:2810;top:211;width:5676;height:2600" coordorigin="2810,211" coordsize="5676,2600" path="m2810,470l8486,470m2810,211l8486,211m2810,2810l2810,211m2810,2810l8486,2810e" filled="false" stroked="true" strokeweight=".72pt" strokecolor="#858585">
              <v:path arrowok="t"/>
              <v:stroke dashstyle="solid"/>
            </v:shape>
            <w10:wrap type="none"/>
          </v:group>
        </w:pict>
      </w:r>
      <w:r>
        <w:rPr>
          <w:sz w:val="20"/>
        </w:rPr>
        <w:t>100</w:t>
      </w:r>
    </w:p>
    <w:p>
      <w:pPr>
        <w:spacing w:before="30"/>
        <w:ind w:left="397" w:right="7793" w:firstLine="0"/>
        <w:jc w:val="center"/>
        <w:rPr>
          <w:sz w:val="20"/>
        </w:rPr>
      </w:pPr>
      <w:r>
        <w:rPr>
          <w:sz w:val="20"/>
        </w:rPr>
        <w:t>90</w:t>
      </w:r>
    </w:p>
    <w:p>
      <w:pPr>
        <w:spacing w:before="30"/>
        <w:ind w:left="397" w:right="7793" w:firstLine="0"/>
        <w:jc w:val="center"/>
        <w:rPr>
          <w:sz w:val="20"/>
        </w:rPr>
      </w:pPr>
      <w:r>
        <w:rPr>
          <w:sz w:val="20"/>
        </w:rPr>
        <w:t>80</w:t>
      </w:r>
    </w:p>
    <w:p>
      <w:pPr>
        <w:spacing w:before="30"/>
        <w:ind w:left="397" w:right="7793" w:firstLine="0"/>
        <w:jc w:val="center"/>
        <w:rPr>
          <w:sz w:val="20"/>
        </w:rPr>
      </w:pPr>
      <w:r>
        <w:rPr>
          <w:sz w:val="20"/>
        </w:rPr>
        <w:t>70</w:t>
      </w:r>
    </w:p>
    <w:p>
      <w:pPr>
        <w:spacing w:before="29"/>
        <w:ind w:left="397" w:right="7793" w:firstLine="0"/>
        <w:jc w:val="center"/>
        <w:rPr>
          <w:sz w:val="20"/>
        </w:rPr>
      </w:pPr>
      <w:r>
        <w:rPr>
          <w:sz w:val="20"/>
        </w:rPr>
        <w:t>60</w:t>
      </w:r>
    </w:p>
    <w:p>
      <w:pPr>
        <w:spacing w:before="29"/>
        <w:ind w:left="397" w:right="7793" w:firstLine="0"/>
        <w:jc w:val="center"/>
        <w:rPr>
          <w:sz w:val="20"/>
        </w:rPr>
      </w:pPr>
      <w:r>
        <w:rPr>
          <w:sz w:val="20"/>
        </w:rPr>
        <w:t>50</w:t>
      </w:r>
    </w:p>
    <w:p>
      <w:pPr>
        <w:spacing w:before="29"/>
        <w:ind w:left="397" w:right="7793" w:firstLine="0"/>
        <w:jc w:val="center"/>
        <w:rPr>
          <w:sz w:val="20"/>
        </w:rPr>
      </w:pPr>
      <w:r>
        <w:rPr/>
        <w:pict>
          <v:shape style="position:absolute;margin-left:100.814514pt;margin-top:1.010699pt;width:13.05pt;height:18.650pt;mso-position-horizontal-relative:page;mso-position-vertical-relative:paragraph;z-index:2992" type="#_x0000_t202" filled="false" stroked="false">
            <v:textbox inset="0,0,0,0" style="layout-flow:vertical;mso-layout-flow-alt:bottom-to-top">
              <w:txbxContent>
                <w:p>
                  <w:pPr>
                    <w:spacing w:before="10"/>
                    <w:ind w:left="20" w:right="0" w:firstLine="0"/>
                    <w:jc w:val="left"/>
                    <w:rPr>
                      <w:b/>
                      <w:sz w:val="20"/>
                    </w:rPr>
                  </w:pPr>
                  <w:r>
                    <w:rPr>
                      <w:b/>
                      <w:w w:val="99"/>
                      <w:sz w:val="20"/>
                    </w:rPr>
                    <w:t>(%)</w:t>
                  </w:r>
                </w:p>
              </w:txbxContent>
            </v:textbox>
            <w10:wrap type="none"/>
          </v:shape>
        </w:pict>
      </w:r>
      <w:r>
        <w:rPr>
          <w:sz w:val="20"/>
        </w:rPr>
        <w:t>40</w:t>
      </w:r>
    </w:p>
    <w:p>
      <w:pPr>
        <w:spacing w:before="29"/>
        <w:ind w:left="397" w:right="7793" w:firstLine="0"/>
        <w:jc w:val="center"/>
        <w:rPr>
          <w:sz w:val="20"/>
        </w:rPr>
      </w:pPr>
      <w:r>
        <w:rPr>
          <w:sz w:val="20"/>
        </w:rPr>
        <w:t>30</w:t>
      </w:r>
    </w:p>
    <w:p>
      <w:pPr>
        <w:spacing w:before="29"/>
        <w:ind w:left="397" w:right="7793" w:firstLine="0"/>
        <w:jc w:val="center"/>
        <w:rPr>
          <w:sz w:val="20"/>
        </w:rPr>
      </w:pPr>
      <w:r>
        <w:rPr>
          <w:sz w:val="20"/>
        </w:rPr>
        <w:t>20</w:t>
      </w:r>
    </w:p>
    <w:p>
      <w:pPr>
        <w:spacing w:before="29"/>
        <w:ind w:left="397" w:right="7793" w:firstLine="0"/>
        <w:jc w:val="center"/>
        <w:rPr>
          <w:sz w:val="20"/>
        </w:rPr>
      </w:pPr>
      <w:r>
        <w:rPr>
          <w:sz w:val="20"/>
        </w:rPr>
        <w:t>10</w:t>
      </w:r>
    </w:p>
    <w:p>
      <w:pPr>
        <w:spacing w:before="30"/>
        <w:ind w:left="0" w:right="7297" w:firstLine="0"/>
        <w:jc w:val="center"/>
        <w:rPr>
          <w:sz w:val="20"/>
        </w:rPr>
      </w:pPr>
      <w:r>
        <w:rPr>
          <w:w w:val="99"/>
          <w:sz w:val="20"/>
        </w:rPr>
        <w:t>0</w:t>
      </w:r>
    </w:p>
    <w:p>
      <w:pPr>
        <w:tabs>
          <w:tab w:pos="3521" w:val="left" w:leader="none"/>
          <w:tab w:pos="5414" w:val="left" w:leader="none"/>
        </w:tabs>
        <w:spacing w:before="9"/>
        <w:ind w:left="1679" w:right="0" w:firstLine="0"/>
        <w:jc w:val="left"/>
        <w:rPr>
          <w:sz w:val="20"/>
        </w:rPr>
      </w:pPr>
      <w:r>
        <w:rPr>
          <w:sz w:val="20"/>
        </w:rPr>
        <w:t>г/л 80</w:t>
      </w:r>
      <w:r>
        <w:rPr>
          <w:spacing w:val="-3"/>
          <w:sz w:val="20"/>
        </w:rPr>
        <w:t> </w:t>
      </w:r>
      <w:r>
        <w:rPr>
          <w:sz w:val="20"/>
        </w:rPr>
        <w:t>-</w:t>
      </w:r>
      <w:r>
        <w:rPr>
          <w:spacing w:val="-3"/>
          <w:sz w:val="20"/>
        </w:rPr>
        <w:t> </w:t>
      </w:r>
      <w:r>
        <w:rPr>
          <w:sz w:val="20"/>
        </w:rPr>
        <w:t>100</w:t>
        <w:tab/>
        <w:t>г/л 101</w:t>
      </w:r>
      <w:r>
        <w:rPr>
          <w:spacing w:val="-1"/>
          <w:sz w:val="20"/>
        </w:rPr>
        <w:t> </w:t>
      </w:r>
      <w:r>
        <w:rPr>
          <w:sz w:val="20"/>
        </w:rPr>
        <w:t>-</w:t>
      </w:r>
      <w:r>
        <w:rPr>
          <w:spacing w:val="-2"/>
          <w:sz w:val="20"/>
        </w:rPr>
        <w:t> </w:t>
      </w:r>
      <w:r>
        <w:rPr>
          <w:sz w:val="20"/>
        </w:rPr>
        <w:t>119</w:t>
        <w:tab/>
        <w:t>г/л 120 -</w:t>
      </w:r>
      <w:r>
        <w:rPr>
          <w:spacing w:val="-2"/>
          <w:sz w:val="20"/>
        </w:rPr>
        <w:t> </w:t>
      </w:r>
      <w:r>
        <w:rPr>
          <w:sz w:val="20"/>
        </w:rPr>
        <w:t>140</w:t>
      </w:r>
    </w:p>
    <w:p>
      <w:pPr>
        <w:spacing w:after="0"/>
        <w:jc w:val="left"/>
        <w:rPr>
          <w:sz w:val="20"/>
        </w:rPr>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4" w:firstLine="719"/>
        <w:jc w:val="both"/>
      </w:pPr>
      <w:r>
        <w:rPr/>
        <w:t>Лапароскопические вмешательства не усугубляли показатели красной крови в связи с отсутствием интраоперационной кровопотери.</w:t>
      </w:r>
    </w:p>
    <w:p>
      <w:pPr>
        <w:pStyle w:val="BodyText"/>
        <w:tabs>
          <w:tab w:pos="3315" w:val="left" w:leader="none"/>
        </w:tabs>
        <w:spacing w:line="355" w:lineRule="auto" w:before="207"/>
        <w:ind w:left="102" w:right="100" w:firstLine="719"/>
        <w:jc w:val="both"/>
      </w:pPr>
      <w:r>
        <w:rPr/>
        <w:t>Можно констатировать отсутствие лихорадки в послеоперационном периоде у больных после лапароскопических операций. В то же время после </w:t>
      </w:r>
      <w:r>
        <w:rPr>
          <w:spacing w:val="51"/>
        </w:rPr>
        <w:t> </w:t>
      </w:r>
      <w:r>
        <w:rPr/>
        <w:t>лапаротомий</w:t>
        <w:tab/>
        <w:t>повышение   температуры   тела   более</w:t>
      </w:r>
      <w:r>
        <w:rPr>
          <w:spacing w:val="65"/>
        </w:rPr>
        <w:t> </w:t>
      </w:r>
      <w:r>
        <w:rPr/>
        <w:t>38,0 </w:t>
      </w:r>
      <w:r>
        <w:rPr>
          <w:spacing w:val="64"/>
        </w:rPr>
        <w:t> </w:t>
      </w:r>
      <w:r>
        <w:rPr>
          <w:position w:val="13"/>
          <w:sz w:val="18"/>
        </w:rPr>
        <w:t>0</w:t>
      </w:r>
      <w:r>
        <w:rPr/>
        <w:t>С</w:t>
      </w:r>
      <w:r>
        <w:rPr>
          <w:w w:val="100"/>
        </w:rPr>
        <w:t> </w:t>
      </w:r>
      <w:r>
        <w:rPr/>
        <w:t>зафиксировано в 11% случаев. Объясняется это развитием таких послеоперационных осложнений, как пневмонии, серомы, гематомы и т.д. (Рис.</w:t>
      </w:r>
      <w:r>
        <w:rPr>
          <w:spacing w:val="-2"/>
        </w:rPr>
        <w:t> </w:t>
      </w:r>
      <w:r>
        <w:rPr/>
        <w:t>3.5)</w:t>
      </w:r>
    </w:p>
    <w:p>
      <w:pPr>
        <w:pStyle w:val="BodyText"/>
        <w:rPr>
          <w:sz w:val="30"/>
        </w:rPr>
      </w:pPr>
    </w:p>
    <w:p>
      <w:pPr>
        <w:pStyle w:val="BodyText"/>
        <w:rPr>
          <w:sz w:val="30"/>
        </w:rPr>
      </w:pPr>
    </w:p>
    <w:p>
      <w:pPr>
        <w:pStyle w:val="BodyText"/>
        <w:spacing w:line="508" w:lineRule="auto" w:before="204"/>
        <w:ind w:left="2074" w:right="86" w:firstLine="5684"/>
      </w:pPr>
      <w:r>
        <w:rPr/>
        <w:t>Рисунок 3.5 Температура тела в послеоперационном периоде</w:t>
      </w:r>
    </w:p>
    <w:p>
      <w:pPr>
        <w:pStyle w:val="BodyText"/>
        <w:rPr>
          <w:sz w:val="20"/>
        </w:rPr>
      </w:pPr>
    </w:p>
    <w:p>
      <w:pPr>
        <w:pStyle w:val="BodyText"/>
        <w:spacing w:before="4"/>
        <w:rPr>
          <w:sz w:val="17"/>
        </w:rPr>
      </w:pPr>
    </w:p>
    <w:p>
      <w:pPr>
        <w:spacing w:line="222" w:lineRule="exact" w:before="91"/>
        <w:ind w:left="722" w:right="7369" w:firstLine="0"/>
        <w:jc w:val="center"/>
        <w:rPr>
          <w:sz w:val="20"/>
        </w:rPr>
      </w:pPr>
      <w:r>
        <w:rPr/>
        <w:pict>
          <v:group style="position:absolute;margin-left:161.505005pt;margin-top:10.100952pt;width:258.6500pt;height:108.9pt;mso-position-horizontal-relative:page;mso-position-vertical-relative:paragraph;z-index:3016" coordorigin="3230,202" coordsize="5173,2178">
            <v:shape style="position:absolute;left:3238;top:1930;width:5158;height:214" coordorigin="3238,1930" coordsize="5158,214" path="m7536,2144l8395,2144m5815,2144l7044,2144m3238,2144l5326,2144m3238,1930l7044,1930e" filled="false" stroked="true" strokeweight=".72pt" strokecolor="#858585">
              <v:path arrowok="t"/>
              <v:stroke dashstyle="solid"/>
            </v:shape>
            <v:rect style="position:absolute;left:5326;top:1995;width:490;height:365" filled="true" fillcolor="#4f81bc" stroked="false">
              <v:fill type="solid"/>
            </v:rect>
            <v:shape style="position:absolute;left:3238;top:639;width:5158;height:1292" coordorigin="3238,639" coordsize="5158,1292" path="m7536,1930l8395,1930m7536,1714l8395,1714m3238,1714l7044,1714m7536,1501l8395,1501m3238,1501l7044,1501m7536,1285l8395,1285m3238,1285l7044,1285m7536,1071l8395,1071m3238,1071l7044,1071m7536,855l8395,855m3238,855l7044,855m3238,639l8395,639e" filled="false" stroked="true" strokeweight=".72pt" strokecolor="#858585">
              <v:path arrowok="t"/>
              <v:stroke dashstyle="solid"/>
            </v:shape>
            <v:rect style="position:absolute;left:7044;top:639;width:492;height:1721" filled="true" fillcolor="#4f81bc" stroked="false">
              <v:fill type="solid"/>
            </v:rect>
            <v:line style="position:absolute" from="3605,2328" to="4097,2328" stroked="true" strokeweight="3.24pt" strokecolor="#4f81bc">
              <v:stroke dashstyle="solid"/>
            </v:line>
            <v:rect style="position:absolute;left:4097;top:2125;width:492;height:235" filled="false" stroked="true" strokeweight="1.92pt" strokecolor="#ff0000">
              <v:stroke dashstyle="solid"/>
            </v:rect>
            <v:shape style="position:absolute;left:5815;top:1220;width:2211;height:1140" coordorigin="5815,1220" coordsize="2211,1140" path="m5815,2360l6307,2360,6307,1587,5815,1587,5815,2360xm7536,2360l8026,2360,8026,1220,7536,1220,7536,2360xe" filled="false" stroked="true" strokeweight="1.92pt" strokecolor="#ff0000">
              <v:path arrowok="t"/>
              <v:stroke dashstyle="solid"/>
            </v:shape>
            <v:shape style="position:absolute;left:3238;top:210;width:5158;height:2151" coordorigin="3238,210" coordsize="5158,2151" path="m3238,426l8395,426m3238,210l8395,210m3238,2360l3238,210m3238,2360l8395,2360e" filled="false" stroked="true" strokeweight=".72pt" strokecolor="#858585">
              <v:path arrowok="t"/>
              <v:stroke dashstyle="solid"/>
            </v:shape>
            <w10:wrap type="none"/>
          </v:group>
        </w:pict>
      </w:r>
      <w:r>
        <w:rPr>
          <w:sz w:val="20"/>
        </w:rPr>
        <w:t>100</w:t>
      </w:r>
    </w:p>
    <w:p>
      <w:pPr>
        <w:spacing w:line="215" w:lineRule="exact" w:before="0"/>
        <w:ind w:left="722" w:right="7269" w:firstLine="0"/>
        <w:jc w:val="center"/>
        <w:rPr>
          <w:sz w:val="20"/>
        </w:rPr>
      </w:pPr>
      <w:r>
        <w:rPr>
          <w:sz w:val="20"/>
        </w:rPr>
        <w:t>90</w:t>
      </w:r>
    </w:p>
    <w:p>
      <w:pPr>
        <w:spacing w:line="215" w:lineRule="exact" w:before="0"/>
        <w:ind w:left="722" w:right="7269" w:firstLine="0"/>
        <w:jc w:val="center"/>
        <w:rPr>
          <w:sz w:val="20"/>
        </w:rPr>
      </w:pPr>
      <w:r>
        <w:rPr>
          <w:sz w:val="20"/>
        </w:rPr>
        <w:t>80</w:t>
      </w:r>
    </w:p>
    <w:p>
      <w:pPr>
        <w:spacing w:line="215" w:lineRule="exact" w:before="0"/>
        <w:ind w:left="722" w:right="7269" w:firstLine="0"/>
        <w:jc w:val="center"/>
        <w:rPr>
          <w:sz w:val="20"/>
        </w:rPr>
      </w:pPr>
      <w:r>
        <w:rPr>
          <w:sz w:val="20"/>
        </w:rPr>
        <w:t>70</w:t>
      </w:r>
    </w:p>
    <w:p>
      <w:pPr>
        <w:spacing w:line="215" w:lineRule="exact" w:before="0"/>
        <w:ind w:left="722" w:right="7269" w:firstLine="0"/>
        <w:jc w:val="center"/>
        <w:rPr>
          <w:sz w:val="20"/>
        </w:rPr>
      </w:pPr>
      <w:r>
        <w:rPr>
          <w:sz w:val="20"/>
        </w:rPr>
        <w:t>60</w:t>
      </w:r>
    </w:p>
    <w:p>
      <w:pPr>
        <w:spacing w:line="215" w:lineRule="exact" w:before="0"/>
        <w:ind w:left="722" w:right="7269" w:firstLine="0"/>
        <w:jc w:val="center"/>
        <w:rPr>
          <w:sz w:val="20"/>
        </w:rPr>
      </w:pPr>
      <w:r>
        <w:rPr/>
        <w:pict>
          <v:shape style="position:absolute;margin-left:128.894516pt;margin-top:4.578180pt;width:13.05pt;height:18.650pt;mso-position-horizontal-relative:page;mso-position-vertical-relative:paragraph;z-index:3040" type="#_x0000_t202" filled="false" stroked="false">
            <v:textbox inset="0,0,0,0" style="layout-flow:vertical;mso-layout-flow-alt:bottom-to-top">
              <w:txbxContent>
                <w:p>
                  <w:pPr>
                    <w:spacing w:before="10"/>
                    <w:ind w:left="20" w:right="0" w:firstLine="0"/>
                    <w:jc w:val="left"/>
                    <w:rPr>
                      <w:b/>
                      <w:sz w:val="20"/>
                    </w:rPr>
                  </w:pPr>
                  <w:r>
                    <w:rPr>
                      <w:b/>
                      <w:w w:val="99"/>
                      <w:sz w:val="20"/>
                    </w:rPr>
                    <w:t>(%)</w:t>
                  </w:r>
                </w:p>
              </w:txbxContent>
            </v:textbox>
            <w10:wrap type="none"/>
          </v:shape>
        </w:pict>
      </w:r>
      <w:r>
        <w:rPr>
          <w:sz w:val="20"/>
        </w:rPr>
        <w:t>50</w:t>
      </w:r>
    </w:p>
    <w:p>
      <w:pPr>
        <w:spacing w:line="215" w:lineRule="exact" w:before="0"/>
        <w:ind w:left="722" w:right="7269" w:firstLine="0"/>
        <w:jc w:val="center"/>
        <w:rPr>
          <w:sz w:val="20"/>
        </w:rPr>
      </w:pPr>
      <w:r>
        <w:rPr>
          <w:sz w:val="20"/>
        </w:rPr>
        <w:t>40</w:t>
      </w:r>
    </w:p>
    <w:p>
      <w:pPr>
        <w:spacing w:line="215" w:lineRule="exact" w:before="0"/>
        <w:ind w:left="722" w:right="7269" w:firstLine="0"/>
        <w:jc w:val="center"/>
        <w:rPr>
          <w:sz w:val="20"/>
        </w:rPr>
      </w:pPr>
      <w:r>
        <w:rPr>
          <w:sz w:val="20"/>
        </w:rPr>
        <w:t>30</w:t>
      </w:r>
    </w:p>
    <w:p>
      <w:pPr>
        <w:spacing w:line="215" w:lineRule="exact" w:before="0"/>
        <w:ind w:left="722" w:right="7269" w:firstLine="0"/>
        <w:jc w:val="center"/>
        <w:rPr>
          <w:sz w:val="20"/>
        </w:rPr>
      </w:pPr>
      <w:r>
        <w:rPr>
          <w:sz w:val="20"/>
        </w:rPr>
        <w:t>20</w:t>
      </w:r>
    </w:p>
    <w:p>
      <w:pPr>
        <w:spacing w:line="215" w:lineRule="exact" w:before="0"/>
        <w:ind w:left="722" w:right="7269" w:firstLine="0"/>
        <w:jc w:val="center"/>
        <w:rPr>
          <w:sz w:val="20"/>
        </w:rPr>
      </w:pPr>
      <w:r>
        <w:rPr>
          <w:sz w:val="20"/>
        </w:rPr>
        <w:t>10</w:t>
      </w:r>
    </w:p>
    <w:p>
      <w:pPr>
        <w:spacing w:line="222" w:lineRule="exact" w:before="0"/>
        <w:ind w:left="0" w:right="6447" w:firstLine="0"/>
        <w:jc w:val="center"/>
        <w:rPr>
          <w:sz w:val="20"/>
        </w:rPr>
      </w:pPr>
      <w:r>
        <w:rPr>
          <w:w w:val="99"/>
          <w:sz w:val="20"/>
        </w:rPr>
        <w:t>0</w:t>
      </w:r>
    </w:p>
    <w:p>
      <w:pPr>
        <w:tabs>
          <w:tab w:pos="3639" w:val="left" w:leader="none"/>
          <w:tab w:pos="5491" w:val="left" w:leader="none"/>
        </w:tabs>
        <w:spacing w:before="9"/>
        <w:ind w:left="1920" w:right="0" w:firstLine="0"/>
        <w:jc w:val="left"/>
        <w:rPr>
          <w:sz w:val="20"/>
        </w:rPr>
      </w:pPr>
      <w:r>
        <w:rPr>
          <w:sz w:val="20"/>
        </w:rPr>
        <w:t>оС 38,0</w:t>
      </w:r>
      <w:r>
        <w:rPr>
          <w:spacing w:val="-4"/>
          <w:sz w:val="20"/>
        </w:rPr>
        <w:t> </w:t>
      </w:r>
      <w:r>
        <w:rPr>
          <w:sz w:val="20"/>
        </w:rPr>
        <w:t>-</w:t>
      </w:r>
      <w:r>
        <w:rPr>
          <w:spacing w:val="-2"/>
          <w:sz w:val="20"/>
        </w:rPr>
        <w:t> </w:t>
      </w:r>
      <w:r>
        <w:rPr>
          <w:sz w:val="20"/>
        </w:rPr>
        <w:t>38,9</w:t>
        <w:tab/>
        <w:t>оС 37,1</w:t>
      </w:r>
      <w:r>
        <w:rPr>
          <w:spacing w:val="-4"/>
          <w:sz w:val="20"/>
        </w:rPr>
        <w:t> </w:t>
      </w:r>
      <w:r>
        <w:rPr>
          <w:sz w:val="20"/>
        </w:rPr>
        <w:t>-</w:t>
      </w:r>
      <w:r>
        <w:rPr>
          <w:spacing w:val="-2"/>
          <w:sz w:val="20"/>
        </w:rPr>
        <w:t> </w:t>
      </w:r>
      <w:r>
        <w:rPr>
          <w:sz w:val="20"/>
        </w:rPr>
        <w:t>37,9</w:t>
        <w:tab/>
        <w:t>оС до</w:t>
      </w:r>
      <w:r>
        <w:rPr>
          <w:spacing w:val="-4"/>
          <w:sz w:val="20"/>
        </w:rPr>
        <w:t> </w:t>
      </w:r>
      <w:r>
        <w:rPr>
          <w:sz w:val="20"/>
        </w:rPr>
        <w:t>37,0</w:t>
      </w:r>
    </w:p>
    <w:p>
      <w:pPr>
        <w:pStyle w:val="BodyText"/>
        <w:rPr>
          <w:sz w:val="20"/>
        </w:rPr>
      </w:pPr>
    </w:p>
    <w:p>
      <w:pPr>
        <w:pStyle w:val="BodyText"/>
        <w:spacing w:before="7"/>
        <w:rPr>
          <w:sz w:val="20"/>
        </w:rPr>
      </w:pPr>
    </w:p>
    <w:p>
      <w:pPr>
        <w:pStyle w:val="BodyText"/>
        <w:spacing w:line="360" w:lineRule="auto" w:before="89"/>
        <w:ind w:left="102" w:right="100" w:firstLine="719"/>
        <w:jc w:val="both"/>
      </w:pPr>
      <w:r>
        <w:rPr/>
        <w:t>Для наглядной иллюстрации не фатальных, но тяжелых осложнений после лапаротомий у больных с выраженным ожирением, сахарным диабетом и другими сопутствующими заболеваниями приведем несколько фотографий вида послеоперационных ран (Рис.3.6-3.8).</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before="224"/>
        <w:ind w:left="7095"/>
      </w:pPr>
      <w:r>
        <w:rPr/>
        <w:t>Рисунок 3.6 - 3.8</w:t>
      </w:r>
    </w:p>
    <w:p>
      <w:pPr>
        <w:pStyle w:val="BodyText"/>
        <w:spacing w:before="3"/>
        <w:rPr>
          <w:sz w:val="31"/>
        </w:rPr>
      </w:pPr>
    </w:p>
    <w:p>
      <w:pPr>
        <w:pStyle w:val="BodyText"/>
        <w:tabs>
          <w:tab w:pos="4224" w:val="left" w:leader="none"/>
        </w:tabs>
        <w:spacing w:line="362" w:lineRule="auto"/>
        <w:ind w:left="3334" w:right="340" w:hanging="2363"/>
      </w:pPr>
      <w:r>
        <w:rPr/>
        <w:t>Нагноение послеоперационных ран у больных раком эндометрия после</w:t>
        <w:tab/>
        <w:t>лапаротомии</w:t>
      </w:r>
    </w:p>
    <w:p>
      <w:pPr>
        <w:pStyle w:val="BodyText"/>
        <w:spacing w:before="8"/>
        <w:rPr>
          <w:sz w:val="14"/>
        </w:rPr>
      </w:pPr>
      <w:r>
        <w:rPr/>
        <w:drawing>
          <wp:anchor distT="0" distB="0" distL="0" distR="0" allowOverlap="1" layoutInCell="1" locked="0" behindDoc="0" simplePos="0" relativeHeight="3064">
            <wp:simplePos x="0" y="0"/>
            <wp:positionH relativeFrom="page">
              <wp:posOffset>1481074</wp:posOffset>
            </wp:positionH>
            <wp:positionV relativeFrom="paragraph">
              <wp:posOffset>132098</wp:posOffset>
            </wp:positionV>
            <wp:extent cx="2030080" cy="4477893"/>
            <wp:effectExtent l="0" t="0" r="0" b="0"/>
            <wp:wrapTopAndBottom/>
            <wp:docPr id="55" name="image52.jpeg" descr=""/>
            <wp:cNvGraphicFramePr>
              <a:graphicFrameLocks noChangeAspect="1"/>
            </wp:cNvGraphicFramePr>
            <a:graphic>
              <a:graphicData uri="http://schemas.openxmlformats.org/drawingml/2006/picture">
                <pic:pic>
                  <pic:nvPicPr>
                    <pic:cNvPr id="56" name="image52.jpeg"/>
                    <pic:cNvPicPr/>
                  </pic:nvPicPr>
                  <pic:blipFill>
                    <a:blip r:embed="rId62" cstate="print"/>
                    <a:stretch>
                      <a:fillRect/>
                    </a:stretch>
                  </pic:blipFill>
                  <pic:spPr>
                    <a:xfrm>
                      <a:off x="0" y="0"/>
                      <a:ext cx="2030080" cy="4477893"/>
                    </a:xfrm>
                    <a:prstGeom prst="rect">
                      <a:avLst/>
                    </a:prstGeom>
                  </pic:spPr>
                </pic:pic>
              </a:graphicData>
            </a:graphic>
          </wp:anchor>
        </w:drawing>
      </w:r>
      <w:r>
        <w:rPr/>
        <w:drawing>
          <wp:anchor distT="0" distB="0" distL="0" distR="0" allowOverlap="1" layoutInCell="1" locked="0" behindDoc="0" simplePos="0" relativeHeight="3088">
            <wp:simplePos x="0" y="0"/>
            <wp:positionH relativeFrom="page">
              <wp:posOffset>4465954</wp:posOffset>
            </wp:positionH>
            <wp:positionV relativeFrom="paragraph">
              <wp:posOffset>215664</wp:posOffset>
            </wp:positionV>
            <wp:extent cx="2345646" cy="4325874"/>
            <wp:effectExtent l="0" t="0" r="0" b="0"/>
            <wp:wrapTopAndBottom/>
            <wp:docPr id="57" name="image53.jpeg" descr=""/>
            <wp:cNvGraphicFramePr>
              <a:graphicFrameLocks noChangeAspect="1"/>
            </wp:cNvGraphicFramePr>
            <a:graphic>
              <a:graphicData uri="http://schemas.openxmlformats.org/drawingml/2006/picture">
                <pic:pic>
                  <pic:nvPicPr>
                    <pic:cNvPr id="58" name="image53.jpeg"/>
                    <pic:cNvPicPr/>
                  </pic:nvPicPr>
                  <pic:blipFill>
                    <a:blip r:embed="rId63" cstate="print"/>
                    <a:stretch>
                      <a:fillRect/>
                    </a:stretch>
                  </pic:blipFill>
                  <pic:spPr>
                    <a:xfrm>
                      <a:off x="0" y="0"/>
                      <a:ext cx="2345646" cy="4325874"/>
                    </a:xfrm>
                    <a:prstGeom prst="rect">
                      <a:avLst/>
                    </a:prstGeom>
                  </pic:spPr>
                </pic:pic>
              </a:graphicData>
            </a:graphic>
          </wp:anchor>
        </w:drawing>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tabs>
          <w:tab w:pos="5442" w:val="left" w:leader="none"/>
        </w:tabs>
        <w:spacing w:before="225"/>
        <w:ind w:left="741"/>
      </w:pPr>
      <w:r>
        <w:rPr/>
        <w:t>больная К. 19</w:t>
      </w:r>
      <w:r>
        <w:rPr>
          <w:spacing w:val="-4"/>
        </w:rPr>
        <w:t> </w:t>
      </w:r>
      <w:r>
        <w:rPr/>
        <w:t>сутки п/о</w:t>
        <w:tab/>
        <w:t>та же больная, 34 сутки</w:t>
      </w:r>
      <w:r>
        <w:rPr>
          <w:spacing w:val="-5"/>
        </w:rPr>
        <w:t> </w:t>
      </w:r>
      <w:r>
        <w:rPr/>
        <w:t>п/о</w:t>
      </w:r>
    </w:p>
    <w:p>
      <w:pPr>
        <w:spacing w:after="0"/>
        <w:sectPr>
          <w:pgSz w:w="11900" w:h="16850"/>
          <w:pgMar w:header="712" w:footer="0" w:top="1020" w:bottom="280" w:left="1680" w:right="1020"/>
        </w:sectPr>
      </w:pPr>
    </w:p>
    <w:p>
      <w:pPr>
        <w:pStyle w:val="BodyText"/>
        <w:rPr>
          <w:sz w:val="20"/>
        </w:rPr>
      </w:pPr>
    </w:p>
    <w:p>
      <w:pPr>
        <w:pStyle w:val="BodyText"/>
        <w:rPr>
          <w:sz w:val="20"/>
        </w:rPr>
      </w:pPr>
    </w:p>
    <w:p>
      <w:pPr>
        <w:pStyle w:val="BodyText"/>
        <w:spacing w:before="4"/>
        <w:rPr>
          <w:sz w:val="20"/>
        </w:rPr>
      </w:pPr>
    </w:p>
    <w:p>
      <w:pPr>
        <w:pStyle w:val="BodyText"/>
        <w:ind w:left="101"/>
        <w:rPr>
          <w:sz w:val="20"/>
        </w:rPr>
      </w:pPr>
      <w:r>
        <w:rPr>
          <w:sz w:val="20"/>
        </w:rPr>
        <w:drawing>
          <wp:inline distT="0" distB="0" distL="0" distR="0">
            <wp:extent cx="4897305" cy="3034665"/>
            <wp:effectExtent l="0" t="0" r="0" b="0"/>
            <wp:docPr id="59" name="image54.jpeg" descr=""/>
            <wp:cNvGraphicFramePr>
              <a:graphicFrameLocks noChangeAspect="1"/>
            </wp:cNvGraphicFramePr>
            <a:graphic>
              <a:graphicData uri="http://schemas.openxmlformats.org/drawingml/2006/picture">
                <pic:pic>
                  <pic:nvPicPr>
                    <pic:cNvPr id="60" name="image54.jpeg"/>
                    <pic:cNvPicPr/>
                  </pic:nvPicPr>
                  <pic:blipFill>
                    <a:blip r:embed="rId64" cstate="print"/>
                    <a:stretch>
                      <a:fillRect/>
                    </a:stretch>
                  </pic:blipFill>
                  <pic:spPr>
                    <a:xfrm>
                      <a:off x="0" y="0"/>
                      <a:ext cx="4897305" cy="3034665"/>
                    </a:xfrm>
                    <a:prstGeom prst="rect">
                      <a:avLst/>
                    </a:prstGeom>
                  </pic:spPr>
                </pic:pic>
              </a:graphicData>
            </a:graphic>
          </wp:inline>
        </w:drawing>
      </w:r>
      <w:r>
        <w:rPr>
          <w:sz w:val="20"/>
        </w:rPr>
      </w:r>
    </w:p>
    <w:p>
      <w:pPr>
        <w:pStyle w:val="BodyText"/>
        <w:spacing w:before="9"/>
        <w:rPr>
          <w:sz w:val="21"/>
        </w:rPr>
      </w:pPr>
    </w:p>
    <w:p>
      <w:pPr>
        <w:pStyle w:val="BodyText"/>
        <w:spacing w:before="89"/>
        <w:ind w:left="2199"/>
      </w:pPr>
      <w:r>
        <w:rPr/>
        <w:t>больная Н. 23 сутки п/о</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1"/>
      </w:pPr>
    </w:p>
    <w:p>
      <w:pPr>
        <w:pStyle w:val="BodyText"/>
        <w:spacing w:line="360" w:lineRule="auto"/>
        <w:ind w:left="102" w:right="103" w:firstLine="719"/>
        <w:jc w:val="both"/>
      </w:pPr>
      <w:r>
        <w:rPr/>
        <w:t>Эти осложнения запрограммированы у описанной категории больных. Длительно не заживающие раны передней брюшной стенки препятствуют ранней активизации больных, провоцируя развитие других грозных осложнений. Увеличивающиеся порой до нескольких месяцев сроки реабилитации и госпитализации, кроме того, приводят к отсрочке назначения адъювантных методов лечения, тем самым значительно ухудшая прогноз заболевания. Описанные грозные осложнения полностью исключены при лапароскопическом доступе (Рис. 3.9).</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before="224"/>
        <w:ind w:left="7757"/>
      </w:pPr>
      <w:r>
        <w:rPr/>
        <w:t>Рисунок 3.9</w:t>
      </w:r>
    </w:p>
    <w:p>
      <w:pPr>
        <w:pStyle w:val="BodyText"/>
        <w:spacing w:before="3"/>
        <w:rPr>
          <w:sz w:val="31"/>
        </w:rPr>
      </w:pPr>
    </w:p>
    <w:p>
      <w:pPr>
        <w:pStyle w:val="BodyText"/>
        <w:tabs>
          <w:tab w:pos="5311" w:val="left" w:leader="none"/>
          <w:tab w:pos="6195" w:val="left" w:leader="none"/>
        </w:tabs>
        <w:spacing w:line="362" w:lineRule="auto"/>
        <w:ind w:left="951" w:right="748" w:firstLine="506"/>
      </w:pPr>
      <w:r>
        <w:rPr/>
        <w:t>Вид</w:t>
      </w:r>
      <w:r>
        <w:rPr>
          <w:spacing w:val="-5"/>
        </w:rPr>
        <w:t> </w:t>
      </w:r>
      <w:r>
        <w:rPr/>
        <w:t>послеоперационных</w:t>
      </w:r>
      <w:r>
        <w:rPr>
          <w:spacing w:val="-5"/>
        </w:rPr>
        <w:t> </w:t>
      </w:r>
      <w:r>
        <w:rPr/>
        <w:t>раны</w:t>
        <w:tab/>
        <w:t>после</w:t>
        <w:tab/>
      </w:r>
      <w:r>
        <w:rPr>
          <w:spacing w:val="-1"/>
        </w:rPr>
        <w:t>лапароскопической </w:t>
      </w:r>
      <w:r>
        <w:rPr/>
        <w:t>расширенной экстирпации матки с придатками (10 сутки</w:t>
      </w:r>
      <w:r>
        <w:rPr>
          <w:spacing w:val="-21"/>
        </w:rPr>
        <w:t> </w:t>
      </w:r>
      <w:r>
        <w:rPr/>
        <w:t>п/о)</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2"/>
        </w:rPr>
      </w:pPr>
      <w:r>
        <w:rPr/>
        <w:drawing>
          <wp:anchor distT="0" distB="0" distL="0" distR="0" allowOverlap="1" layoutInCell="1" locked="0" behindDoc="0" simplePos="0" relativeHeight="3112">
            <wp:simplePos x="0" y="0"/>
            <wp:positionH relativeFrom="page">
              <wp:posOffset>1079500</wp:posOffset>
            </wp:positionH>
            <wp:positionV relativeFrom="paragraph">
              <wp:posOffset>115802</wp:posOffset>
            </wp:positionV>
            <wp:extent cx="5138407" cy="3286410"/>
            <wp:effectExtent l="0" t="0" r="0" b="0"/>
            <wp:wrapTopAndBottom/>
            <wp:docPr id="61" name="image55.png" descr=""/>
            <wp:cNvGraphicFramePr>
              <a:graphicFrameLocks noChangeAspect="1"/>
            </wp:cNvGraphicFramePr>
            <a:graphic>
              <a:graphicData uri="http://schemas.openxmlformats.org/drawingml/2006/picture">
                <pic:pic>
                  <pic:nvPicPr>
                    <pic:cNvPr id="62" name="image55.png"/>
                    <pic:cNvPicPr/>
                  </pic:nvPicPr>
                  <pic:blipFill>
                    <a:blip r:embed="rId65" cstate="print"/>
                    <a:stretch>
                      <a:fillRect/>
                    </a:stretch>
                  </pic:blipFill>
                  <pic:spPr>
                    <a:xfrm>
                      <a:off x="0" y="0"/>
                      <a:ext cx="5138407" cy="3286410"/>
                    </a:xfrm>
                    <a:prstGeom prst="rect">
                      <a:avLst/>
                    </a:prstGeom>
                  </pic:spPr>
                </pic:pic>
              </a:graphicData>
            </a:graphic>
          </wp:anchor>
        </w:drawing>
      </w:r>
    </w:p>
    <w:p>
      <w:pPr>
        <w:spacing w:after="0"/>
        <w:rPr>
          <w:sz w:val="12"/>
        </w:rPr>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1"/>
        <w:jc w:val="both"/>
      </w:pPr>
      <w:r>
        <w:rPr/>
        <w:t>В заключение этого раздела работы приведем результаты 3-летней общей и безрецидивной выживаемости больных раком эндометрия в зависимости  от выбранного хирургического доступа (Рис.</w:t>
      </w:r>
      <w:r>
        <w:rPr>
          <w:spacing w:val="-19"/>
        </w:rPr>
        <w:t> </w:t>
      </w:r>
      <w:r>
        <w:rPr/>
        <w:t>3.10).</w:t>
      </w:r>
    </w:p>
    <w:p>
      <w:pPr>
        <w:pStyle w:val="BodyText"/>
        <w:rPr>
          <w:sz w:val="30"/>
        </w:rPr>
      </w:pPr>
    </w:p>
    <w:p>
      <w:pPr>
        <w:pStyle w:val="BodyText"/>
        <w:spacing w:line="680" w:lineRule="atLeast" w:before="185"/>
        <w:ind w:left="1196" w:right="103" w:firstLine="6421"/>
      </w:pPr>
      <w:r>
        <w:rPr/>
        <w:t>Рисунок 3.10 3-летняя общая и безрецидивная выживаемость больных раком</w:t>
      </w:r>
    </w:p>
    <w:p>
      <w:pPr>
        <w:pStyle w:val="BodyText"/>
        <w:spacing w:before="159"/>
        <w:ind w:left="380" w:right="380"/>
        <w:jc w:val="center"/>
      </w:pPr>
      <w:r>
        <w:rPr/>
        <w:t>эндометрия</w:t>
      </w:r>
    </w:p>
    <w:p>
      <w:pPr>
        <w:pStyle w:val="BodyText"/>
        <w:spacing w:before="4"/>
        <w:rPr>
          <w:sz w:val="31"/>
        </w:rPr>
      </w:pPr>
    </w:p>
    <w:p>
      <w:pPr>
        <w:pStyle w:val="BodyText"/>
        <w:tabs>
          <w:tab w:pos="5538" w:val="left" w:leader="none"/>
        </w:tabs>
        <w:spacing w:before="1"/>
        <w:ind w:left="821"/>
      </w:pPr>
      <w:r>
        <w:rPr/>
        <w:t>Общая</w:t>
      </w:r>
      <w:r>
        <w:rPr>
          <w:spacing w:val="-2"/>
        </w:rPr>
        <w:t> </w:t>
      </w:r>
      <w:r>
        <w:rPr/>
        <w:t>выживаемость</w:t>
        <w:tab/>
        <w:t>Безрецидивная</w:t>
      </w:r>
      <w:r>
        <w:rPr>
          <w:spacing w:val="-6"/>
        </w:rPr>
        <w:t> </w:t>
      </w:r>
      <w:r>
        <w:rPr/>
        <w:t>выживаемость</w:t>
      </w:r>
    </w:p>
    <w:p>
      <w:pPr>
        <w:pStyle w:val="BodyText"/>
        <w:rPr>
          <w:sz w:val="20"/>
        </w:rPr>
      </w:pPr>
    </w:p>
    <w:p>
      <w:pPr>
        <w:pStyle w:val="BodyText"/>
        <w:rPr>
          <w:sz w:val="20"/>
        </w:rPr>
      </w:pPr>
    </w:p>
    <w:p>
      <w:pPr>
        <w:pStyle w:val="BodyText"/>
        <w:spacing w:before="8"/>
        <w:rPr>
          <w:sz w:val="24"/>
        </w:rPr>
      </w:pPr>
    </w:p>
    <w:p>
      <w:pPr>
        <w:spacing w:after="0"/>
        <w:rPr>
          <w:sz w:val="24"/>
        </w:rPr>
        <w:sectPr>
          <w:headerReference w:type="default" r:id="rId66"/>
          <w:pgSz w:w="11900" w:h="16850"/>
          <w:pgMar w:header="712" w:footer="0" w:top="1020" w:bottom="280" w:left="1600" w:right="1020"/>
          <w:pgNumType w:start="150"/>
        </w:sectPr>
      </w:pPr>
    </w:p>
    <w:p>
      <w:pPr>
        <w:spacing w:before="101"/>
        <w:ind w:left="0" w:right="1" w:firstLine="0"/>
        <w:jc w:val="right"/>
        <w:rPr>
          <w:rFonts w:ascii="Cambria"/>
          <w:sz w:val="24"/>
        </w:rPr>
      </w:pPr>
      <w:r>
        <w:rPr>
          <w:rFonts w:ascii="Cambria"/>
          <w:color w:val="585858"/>
          <w:sz w:val="24"/>
        </w:rPr>
        <w:t>100</w:t>
      </w:r>
    </w:p>
    <w:p>
      <w:pPr>
        <w:spacing w:before="140"/>
        <w:ind w:left="0" w:right="0" w:firstLine="0"/>
        <w:jc w:val="right"/>
        <w:rPr>
          <w:rFonts w:ascii="Cambria"/>
          <w:sz w:val="24"/>
        </w:rPr>
      </w:pPr>
      <w:r>
        <w:rPr>
          <w:rFonts w:ascii="Cambria"/>
          <w:color w:val="585858"/>
          <w:sz w:val="24"/>
        </w:rPr>
        <w:t>80</w:t>
      </w:r>
    </w:p>
    <w:p>
      <w:pPr>
        <w:spacing w:before="140"/>
        <w:ind w:left="0" w:right="0" w:firstLine="0"/>
        <w:jc w:val="right"/>
        <w:rPr>
          <w:rFonts w:ascii="Cambria"/>
          <w:sz w:val="24"/>
        </w:rPr>
      </w:pPr>
      <w:r>
        <w:rPr>
          <w:rFonts w:ascii="Cambria"/>
          <w:color w:val="585858"/>
          <w:sz w:val="24"/>
        </w:rPr>
        <w:t>60</w:t>
      </w:r>
    </w:p>
    <w:p>
      <w:pPr>
        <w:spacing w:before="140"/>
        <w:ind w:left="0" w:right="0" w:firstLine="0"/>
        <w:jc w:val="right"/>
        <w:rPr>
          <w:rFonts w:ascii="Cambria"/>
          <w:sz w:val="24"/>
        </w:rPr>
      </w:pPr>
      <w:r>
        <w:rPr>
          <w:rFonts w:ascii="Cambria"/>
          <w:color w:val="585858"/>
          <w:sz w:val="24"/>
        </w:rPr>
        <w:t>40</w:t>
      </w:r>
    </w:p>
    <w:p>
      <w:pPr>
        <w:spacing w:before="139"/>
        <w:ind w:left="0" w:right="0" w:firstLine="0"/>
        <w:jc w:val="right"/>
        <w:rPr>
          <w:rFonts w:ascii="Cambria"/>
          <w:sz w:val="24"/>
        </w:rPr>
      </w:pPr>
      <w:r>
        <w:rPr>
          <w:rFonts w:ascii="Cambria"/>
          <w:color w:val="585858"/>
          <w:sz w:val="24"/>
        </w:rPr>
        <w:t>20</w:t>
      </w:r>
    </w:p>
    <w:p>
      <w:pPr>
        <w:spacing w:before="139"/>
        <w:ind w:left="0" w:right="0" w:firstLine="0"/>
        <w:jc w:val="right"/>
        <w:rPr>
          <w:rFonts w:ascii="Cambria"/>
          <w:sz w:val="24"/>
        </w:rPr>
      </w:pPr>
      <w:r>
        <w:rPr>
          <w:rFonts w:ascii="Cambria"/>
          <w:color w:val="585858"/>
          <w:sz w:val="24"/>
        </w:rPr>
        <w:t>0</w:t>
      </w:r>
    </w:p>
    <w:p>
      <w:pPr>
        <w:pStyle w:val="BodyText"/>
        <w:rPr>
          <w:rFonts w:ascii="Cambria"/>
        </w:rPr>
      </w:pPr>
      <w:r>
        <w:rPr/>
        <w:br w:type="column"/>
      </w:r>
      <w:r>
        <w:rPr>
          <w:rFonts w:ascii="Cambria"/>
        </w:rPr>
      </w: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pStyle w:val="BodyText"/>
        <w:rPr>
          <w:rFonts w:ascii="Cambria"/>
        </w:rPr>
      </w:pPr>
    </w:p>
    <w:p>
      <w:pPr>
        <w:tabs>
          <w:tab w:pos="919" w:val="left" w:leader="none"/>
          <w:tab w:pos="1503" w:val="left" w:leader="none"/>
        </w:tabs>
        <w:spacing w:before="210"/>
        <w:ind w:left="334" w:right="0" w:firstLine="0"/>
        <w:jc w:val="left"/>
        <w:rPr>
          <w:rFonts w:ascii="Cambria"/>
          <w:sz w:val="24"/>
        </w:rPr>
      </w:pPr>
      <w:r>
        <w:rPr>
          <w:rFonts w:ascii="Cambria"/>
          <w:color w:val="585858"/>
          <w:sz w:val="24"/>
        </w:rPr>
        <w:t>12</w:t>
        <w:tab/>
        <w:t>24</w:t>
        <w:tab/>
      </w:r>
      <w:r>
        <w:rPr>
          <w:rFonts w:ascii="Cambria"/>
          <w:color w:val="585858"/>
          <w:spacing w:val="-1"/>
          <w:sz w:val="24"/>
        </w:rPr>
        <w:t>36</w:t>
      </w:r>
    </w:p>
    <w:p>
      <w:pPr>
        <w:pStyle w:val="BodyText"/>
        <w:rPr>
          <w:rFonts w:ascii="Cambria"/>
        </w:rPr>
      </w:pPr>
      <w:r>
        <w:rPr/>
        <w:br w:type="column"/>
      </w:r>
      <w:r>
        <w:rPr>
          <w:rFonts w:ascii="Cambria"/>
        </w:rPr>
      </w:r>
    </w:p>
    <w:p>
      <w:pPr>
        <w:pStyle w:val="BodyText"/>
        <w:spacing w:before="7"/>
        <w:rPr>
          <w:rFonts w:ascii="Cambria"/>
          <w:sz w:val="32"/>
        </w:rPr>
      </w:pPr>
    </w:p>
    <w:p>
      <w:pPr>
        <w:spacing w:before="0"/>
        <w:ind w:left="652" w:right="-2" w:firstLine="0"/>
        <w:jc w:val="left"/>
        <w:rPr>
          <w:rFonts w:ascii="Cambria" w:hAnsi="Cambria"/>
          <w:sz w:val="24"/>
        </w:rPr>
      </w:pPr>
      <w:r>
        <w:rPr>
          <w:rFonts w:ascii="Cambria" w:hAnsi="Cambria"/>
          <w:color w:val="585858"/>
          <w:sz w:val="24"/>
        </w:rPr>
        <w:t>лапароск опия</w:t>
      </w:r>
    </w:p>
    <w:p>
      <w:pPr>
        <w:spacing w:before="113"/>
        <w:ind w:left="652" w:right="-17" w:firstLine="0"/>
        <w:jc w:val="left"/>
        <w:rPr>
          <w:rFonts w:ascii="Cambria" w:hAnsi="Cambria"/>
          <w:sz w:val="24"/>
        </w:rPr>
      </w:pPr>
      <w:r>
        <w:rPr/>
        <w:pict>
          <v:group style="position:absolute;margin-left:152.865005pt;margin-top:-51.502663pt;width:117.75pt;height:106pt;mso-position-horizontal-relative:page;mso-position-vertical-relative:paragraph;z-index:-339016" coordorigin="3057,-1030" coordsize="2355,2120">
            <v:shape style="position:absolute;left:3065;top:-1023;width:2340;height:1685" coordorigin="3065,-1023" coordsize="2340,1685" path="m4675,662l5405,662m4510,662l4546,662m4092,662l4378,662m3924,662l3960,662m3506,662l3794,662m3341,662l3377,662m3065,662l3209,662m3341,240l3377,240m3065,240l3209,240m3341,-180l3377,-180m3065,-180l3209,-180m3341,-600l3377,-600m3065,-600l3209,-600m3065,-1023l5405,-1023e" filled="false" stroked="true" strokeweight=".72pt" strokecolor="#d9d9d9">
              <v:path arrowok="t"/>
              <v:stroke dashstyle="solid"/>
            </v:shape>
            <v:rect style="position:absolute;left:3209;top:-1023;width:132;height:2105" filled="true" fillcolor="#ff0000" stroked="false">
              <v:fill type="solid"/>
            </v:rect>
            <v:shape style="position:absolute;left:3506;top:-600;width:454;height:840" coordorigin="3506,-600" coordsize="454,840" path="m3924,240l3960,240m3506,240l3794,240m3924,-180l3960,-180m3506,-180l3794,-180m3924,-600l3960,-600m3506,-600l3794,-600e" filled="false" stroked="true" strokeweight=".72pt" strokecolor="#d9d9d9">
              <v:path arrowok="t"/>
              <v:stroke dashstyle="solid"/>
            </v:shape>
            <v:rect style="position:absolute;left:3794;top:-979;width:130;height:2062" filled="true" fillcolor="#ff0000" stroked="false">
              <v:fill type="solid"/>
            </v:rect>
            <v:shape style="position:absolute;left:4092;top:-600;width:454;height:840" coordorigin="4092,-600" coordsize="454,840" path="m4510,240l4546,240m4092,240l4378,240m4510,-180l4546,-180m4092,-180l4378,-180m4510,-600l4546,-600m4092,-600l4378,-600e" filled="false" stroked="true" strokeweight=".72pt" strokecolor="#d9d9d9">
              <v:path arrowok="t"/>
              <v:stroke dashstyle="solid"/>
            </v:shape>
            <v:rect style="position:absolute;left:4378;top:-939;width:132;height:2021" filled="true" fillcolor="#ff0000" stroked="false">
              <v:fill type="solid"/>
            </v:rect>
            <v:shape style="position:absolute;left:3377;top:-979;width:716;height:2062" coordorigin="3377,-979" coordsize="716,2062" path="m3506,-979l3377,-979,3377,1082,3506,1082,3506,-979m4092,-917l3960,-917,3960,1082,4092,1082,4092,-917e" filled="true" fillcolor="#006fc0" stroked="false">
              <v:path arrowok="t"/>
              <v:fill type="solid"/>
            </v:shape>
            <v:shape style="position:absolute;left:4675;top:-600;width:730;height:840" coordorigin="4675,-600" coordsize="730,840" path="m4675,240l5167,240m4675,-180l5405,-180m4675,-600l5405,-600e" filled="false" stroked="true" strokeweight=".72pt" strokecolor="#d9d9d9">
              <v:path arrowok="t"/>
              <v:stroke dashstyle="solid"/>
            </v:shape>
            <v:rect style="position:absolute;left:4546;top:-917;width:130;height:1999" filled="true" fillcolor="#006fc0" stroked="false">
              <v:fill type="solid"/>
            </v:rect>
            <v:line style="position:absolute" from="3065,1082" to="5405,1082" stroked="true" strokeweight=".72pt" strokecolor="#d9d9d9">
              <v:stroke dashstyle="solid"/>
            </v:line>
            <v:rect style="position:absolute;left:5167;top:-475;width:130;height:130" filled="true" fillcolor="#ff0000" stroked="false">
              <v:fill type="solid"/>
            </v:rect>
            <v:line style="position:absolute" from="5297,240" to="5405,240" stroked="true" strokeweight=".72pt" strokecolor="#d9d9d9">
              <v:stroke dashstyle="solid"/>
            </v:line>
            <v:rect style="position:absolute;left:5167;top:199;width:130;height:130" filled="true" fillcolor="#006fc0" stroked="false">
              <v:fill type="solid"/>
            </v:rect>
            <w10:wrap type="none"/>
          </v:group>
        </w:pict>
      </w:r>
      <w:r>
        <w:rPr>
          <w:rFonts w:ascii="Cambria" w:hAnsi="Cambria"/>
          <w:color w:val="585858"/>
          <w:sz w:val="24"/>
        </w:rPr>
        <w:t>лапарото мия</w:t>
      </w:r>
    </w:p>
    <w:p>
      <w:pPr>
        <w:spacing w:before="184"/>
        <w:ind w:left="0" w:right="1" w:firstLine="0"/>
        <w:jc w:val="right"/>
        <w:rPr>
          <w:rFonts w:ascii="Cambria"/>
          <w:sz w:val="24"/>
        </w:rPr>
      </w:pPr>
      <w:r>
        <w:rPr/>
        <w:br w:type="column"/>
      </w:r>
      <w:r>
        <w:rPr>
          <w:rFonts w:ascii="Cambria"/>
          <w:color w:val="585858"/>
          <w:sz w:val="24"/>
        </w:rPr>
        <w:t>100</w:t>
      </w:r>
    </w:p>
    <w:p>
      <w:pPr>
        <w:spacing w:before="128"/>
        <w:ind w:left="0" w:right="0" w:firstLine="0"/>
        <w:jc w:val="right"/>
        <w:rPr>
          <w:rFonts w:ascii="Cambria"/>
          <w:sz w:val="24"/>
        </w:rPr>
      </w:pPr>
      <w:r>
        <w:rPr>
          <w:rFonts w:ascii="Cambria"/>
          <w:color w:val="585858"/>
          <w:sz w:val="24"/>
        </w:rPr>
        <w:t>80</w:t>
      </w:r>
    </w:p>
    <w:p>
      <w:pPr>
        <w:spacing w:before="127"/>
        <w:ind w:left="0" w:right="0" w:firstLine="0"/>
        <w:jc w:val="right"/>
        <w:rPr>
          <w:rFonts w:ascii="Cambria"/>
          <w:sz w:val="24"/>
        </w:rPr>
      </w:pPr>
      <w:r>
        <w:rPr>
          <w:rFonts w:ascii="Cambria"/>
          <w:color w:val="585858"/>
          <w:sz w:val="24"/>
        </w:rPr>
        <w:t>60</w:t>
      </w:r>
    </w:p>
    <w:p>
      <w:pPr>
        <w:spacing w:before="127"/>
        <w:ind w:left="0" w:right="0" w:firstLine="0"/>
        <w:jc w:val="right"/>
        <w:rPr>
          <w:rFonts w:ascii="Cambria"/>
          <w:sz w:val="24"/>
        </w:rPr>
      </w:pPr>
      <w:r>
        <w:rPr>
          <w:rFonts w:ascii="Cambria"/>
          <w:color w:val="585858"/>
          <w:sz w:val="24"/>
        </w:rPr>
        <w:t>40</w:t>
      </w:r>
    </w:p>
    <w:p>
      <w:pPr>
        <w:spacing w:before="127"/>
        <w:ind w:left="0" w:right="0" w:firstLine="0"/>
        <w:jc w:val="right"/>
        <w:rPr>
          <w:rFonts w:ascii="Cambria"/>
          <w:sz w:val="24"/>
        </w:rPr>
      </w:pPr>
      <w:r>
        <w:rPr>
          <w:rFonts w:ascii="Cambria"/>
          <w:color w:val="585858"/>
          <w:sz w:val="24"/>
        </w:rPr>
        <w:t>20</w:t>
      </w:r>
    </w:p>
    <w:p>
      <w:pPr>
        <w:spacing w:before="127"/>
        <w:ind w:left="0" w:right="0" w:firstLine="0"/>
        <w:jc w:val="right"/>
        <w:rPr>
          <w:rFonts w:ascii="Cambria"/>
          <w:sz w:val="24"/>
        </w:rPr>
      </w:pPr>
      <w:r>
        <w:rPr>
          <w:rFonts w:ascii="Cambria"/>
          <w:color w:val="585858"/>
          <w:sz w:val="24"/>
        </w:rPr>
        <w:t>0</w:t>
      </w:r>
    </w:p>
    <w:p>
      <w:pPr>
        <w:pStyle w:val="BodyText"/>
        <w:spacing w:before="4" w:after="39"/>
        <w:rPr>
          <w:rFonts w:ascii="Cambria"/>
          <w:sz w:val="24"/>
        </w:rPr>
      </w:pPr>
      <w:r>
        <w:rPr/>
        <w:br w:type="column"/>
      </w:r>
      <w:r>
        <w:rPr>
          <w:rFonts w:ascii="Cambria"/>
          <w:sz w:val="24"/>
        </w:rPr>
      </w:r>
    </w:p>
    <w:p>
      <w:pPr>
        <w:pStyle w:val="BodyText"/>
        <w:spacing w:line="20" w:lineRule="exact"/>
        <w:ind w:left="164"/>
        <w:rPr>
          <w:rFonts w:ascii="Cambria"/>
          <w:sz w:val="2"/>
        </w:rPr>
      </w:pPr>
      <w:r>
        <w:rPr>
          <w:rFonts w:ascii="Cambria"/>
          <w:sz w:val="2"/>
        </w:rPr>
        <w:pict>
          <v:group style="width:117.3pt;height:.75pt;mso-position-horizontal-relative:char;mso-position-vertical-relative:line" coordorigin="0,0" coordsize="2346,15">
            <v:line style="position:absolute" from="8,8" to="2338,8" stroked="true" strokeweight=".72pt" strokecolor="#d9d9d9">
              <v:stroke dashstyle="solid"/>
            </v:line>
          </v:group>
        </w:pict>
      </w:r>
      <w:r>
        <w:rPr>
          <w:rFonts w:ascii="Cambria"/>
          <w:sz w:val="2"/>
        </w:rPr>
      </w:r>
    </w:p>
    <w:p>
      <w:pPr>
        <w:pStyle w:val="BodyText"/>
        <w:spacing w:before="10"/>
        <w:rPr>
          <w:rFonts w:ascii="Cambria"/>
          <w:sz w:val="5"/>
        </w:rPr>
      </w:pPr>
    </w:p>
    <w:p>
      <w:pPr>
        <w:pStyle w:val="BodyText"/>
        <w:ind w:left="164"/>
        <w:rPr>
          <w:rFonts w:ascii="Cambria"/>
          <w:sz w:val="20"/>
        </w:rPr>
      </w:pPr>
      <w:r>
        <w:rPr>
          <w:rFonts w:ascii="Cambria"/>
          <w:sz w:val="20"/>
        </w:rPr>
        <w:pict>
          <v:group style="width:117.3pt;height:98.7pt;mso-position-horizontal-relative:char;mso-position-vertical-relative:line" coordorigin="0,0" coordsize="2346,1974">
            <v:line style="position:absolute" from="1613,1555" to="2338,1555" stroked="true" strokeweight=".72pt" strokecolor="#d9d9d9">
              <v:stroke dashstyle="solid"/>
            </v:line>
            <v:line style="position:absolute" from="1448,1555" to="1484,1555" stroked="true" strokeweight=".72pt" strokecolor="#d9d9d9">
              <v:stroke dashstyle="solid"/>
            </v:line>
            <v:line style="position:absolute" from="1030,1555" to="1315,1555" stroked="true" strokeweight=".72pt" strokecolor="#d9d9d9">
              <v:stroke dashstyle="solid"/>
            </v:line>
            <v:line style="position:absolute" from="1448,1147" to="1484,1147" stroked="true" strokeweight=".72pt" strokecolor="#d9d9d9">
              <v:stroke dashstyle="solid"/>
            </v:line>
            <v:line style="position:absolute" from="1030,1147" to="1315,1147" stroked="true" strokeweight=".72pt" strokecolor="#d9d9d9">
              <v:stroke dashstyle="solid"/>
            </v:line>
            <v:line style="position:absolute" from="1448,737" to="1484,737" stroked="true" strokeweight=".72pt" strokecolor="#d9d9d9">
              <v:stroke dashstyle="solid"/>
            </v:line>
            <v:line style="position:absolute" from="1030,737" to="1315,737" stroked="true" strokeweight=".72pt" strokecolor="#d9d9d9">
              <v:stroke dashstyle="solid"/>
            </v:line>
            <v:line style="position:absolute" from="1448,329" to="1484,329" stroked="true" strokeweight=".72pt" strokecolor="#d9d9d9">
              <v:stroke dashstyle="solid"/>
            </v:line>
            <v:line style="position:absolute" from="1030,329" to="1315,329" stroked="true" strokeweight=".72pt" strokecolor="#d9d9d9">
              <v:stroke dashstyle="solid"/>
            </v:line>
            <v:rect style="position:absolute;left:1316;top:166;width:132;height:1800" filled="true" fillcolor="#ff0000" stroked="false">
              <v:fill type="solid"/>
            </v:rect>
            <v:line style="position:absolute" from="864,1555" to="900,1555" stroked="true" strokeweight=".72pt" strokecolor="#d9d9d9">
              <v:stroke dashstyle="solid"/>
            </v:line>
            <v:line style="position:absolute" from="447,1555" to="735,1555" stroked="true" strokeweight=".72pt" strokecolor="#d9d9d9">
              <v:stroke dashstyle="solid"/>
            </v:line>
            <v:line style="position:absolute" from="864,1147" to="900,1147" stroked="true" strokeweight=".72pt" strokecolor="#d9d9d9">
              <v:stroke dashstyle="solid"/>
            </v:line>
            <v:line style="position:absolute" from="447,1147" to="735,1147" stroked="true" strokeweight=".72pt" strokecolor="#d9d9d9">
              <v:stroke dashstyle="solid"/>
            </v:line>
            <v:line style="position:absolute" from="864,737" to="900,737" stroked="true" strokeweight=".72pt" strokecolor="#d9d9d9">
              <v:stroke dashstyle="solid"/>
            </v:line>
            <v:line style="position:absolute" from="447,737" to="735,737" stroked="true" strokeweight=".72pt" strokecolor="#d9d9d9">
              <v:stroke dashstyle="solid"/>
            </v:line>
            <v:line style="position:absolute" from="864,329" to="900,329" stroked="true" strokeweight=".72pt" strokecolor="#d9d9d9">
              <v:stroke dashstyle="solid"/>
            </v:line>
            <v:line style="position:absolute" from="447,329" to="735,329" stroked="true" strokeweight=".72pt" strokecolor="#d9d9d9">
              <v:stroke dashstyle="solid"/>
            </v:line>
            <v:rect style="position:absolute;left:735;top:84;width:130;height:1882" filled="true" fillcolor="#ff0000" stroked="false">
              <v:fill type="solid"/>
            </v:rect>
            <v:line style="position:absolute" from="281,1555" to="317,1555" stroked="true" strokeweight=".72pt" strokecolor="#d9d9d9">
              <v:stroke dashstyle="solid"/>
            </v:line>
            <v:line style="position:absolute" from="8,1555" to="152,1555" stroked="true" strokeweight=".72pt" strokecolor="#d9d9d9">
              <v:stroke dashstyle="solid"/>
            </v:line>
            <v:line style="position:absolute" from="281,1147" to="317,1147" stroked="true" strokeweight=".72pt" strokecolor="#d9d9d9">
              <v:stroke dashstyle="solid"/>
            </v:line>
            <v:line style="position:absolute" from="8,1147" to="152,1147" stroked="true" strokeweight=".72pt" strokecolor="#d9d9d9">
              <v:stroke dashstyle="solid"/>
            </v:line>
            <v:line style="position:absolute" from="281,737" to="317,737" stroked="true" strokeweight=".72pt" strokecolor="#d9d9d9">
              <v:stroke dashstyle="solid"/>
            </v:line>
            <v:line style="position:absolute" from="8,737" to="152,737" stroked="true" strokeweight=".72pt" strokecolor="#d9d9d9">
              <v:stroke dashstyle="solid"/>
            </v:line>
            <v:line style="position:absolute" from="281,329" to="317,329" stroked="true" strokeweight=".72pt" strokecolor="#d9d9d9">
              <v:stroke dashstyle="solid"/>
            </v:line>
            <v:line style="position:absolute" from="8,329" to="152,329" stroked="true" strokeweight=".72pt" strokecolor="#d9d9d9">
              <v:stroke dashstyle="solid"/>
            </v:line>
            <v:rect style="position:absolute;left:151;top:41;width:130;height:1925" filled="true" fillcolor="#ff0000" stroked="false">
              <v:fill type="solid"/>
            </v:rect>
            <v:rect style="position:absolute;left:317;top:0;width:130;height:1966" filled="true" fillcolor="#4f81bc" stroked="false">
              <v:fill type="solid"/>
            </v:rect>
            <v:rect style="position:absolute;left:900;top:84;width:130;height:1882" filled="true" fillcolor="#4f81bc" stroked="false">
              <v:fill type="solid"/>
            </v:rect>
            <v:line style="position:absolute" from="1613,1147" to="2338,1147" stroked="true" strokeweight=".72pt" strokecolor="#d9d9d9">
              <v:stroke dashstyle="solid"/>
            </v:line>
            <v:line style="position:absolute" from="1613,737" to="2338,737" stroked="true" strokeweight=".72pt" strokecolor="#d9d9d9">
              <v:stroke dashstyle="solid"/>
            </v:line>
            <v:line style="position:absolute" from="1613,329" to="2338,329" stroked="true" strokeweight=".72pt" strokecolor="#d9d9d9">
              <v:stroke dashstyle="solid"/>
            </v:line>
            <v:rect style="position:absolute;left:1484;top:84;width:130;height:1882" filled="true" fillcolor="#4f81bc" stroked="false">
              <v:fill type="solid"/>
            </v:rect>
            <v:line style="position:absolute" from="8,1966" to="2338,1966" stroked="true" strokeweight=".72pt" strokecolor="#d9d9d9">
              <v:stroke dashstyle="solid"/>
            </v:line>
          </v:group>
        </w:pict>
      </w:r>
      <w:r>
        <w:rPr>
          <w:rFonts w:ascii="Cambria"/>
          <w:sz w:val="20"/>
        </w:rPr>
      </w:r>
    </w:p>
    <w:p>
      <w:pPr>
        <w:tabs>
          <w:tab w:pos="916" w:val="left" w:leader="none"/>
          <w:tab w:pos="1499" w:val="left" w:leader="none"/>
        </w:tabs>
        <w:spacing w:before="118"/>
        <w:ind w:left="334" w:right="0" w:firstLine="0"/>
        <w:jc w:val="left"/>
        <w:rPr>
          <w:rFonts w:ascii="Cambria"/>
          <w:sz w:val="24"/>
        </w:rPr>
      </w:pPr>
      <w:r>
        <w:rPr>
          <w:rFonts w:ascii="Cambria"/>
          <w:color w:val="585858"/>
          <w:sz w:val="24"/>
        </w:rPr>
        <w:t>12</w:t>
        <w:tab/>
        <w:t>24</w:t>
        <w:tab/>
        <w:t>36</w:t>
      </w:r>
    </w:p>
    <w:p>
      <w:pPr>
        <w:spacing w:after="0"/>
        <w:jc w:val="left"/>
        <w:rPr>
          <w:rFonts w:ascii="Cambria"/>
          <w:sz w:val="24"/>
        </w:rPr>
        <w:sectPr>
          <w:type w:val="continuous"/>
          <w:pgSz w:w="11900" w:h="16850"/>
          <w:pgMar w:top="1020" w:bottom="280" w:left="1600" w:right="1020"/>
          <w:cols w:num="5" w:equalWidth="0">
            <w:col w:w="1251" w:space="40"/>
            <w:col w:w="1768" w:space="40"/>
            <w:col w:w="1671" w:space="107"/>
            <w:col w:w="1251" w:space="40"/>
            <w:col w:w="3112"/>
          </w:cols>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6"/>
        <w:rPr>
          <w:rFonts w:ascii="Cambria"/>
          <w:sz w:val="26"/>
        </w:rPr>
      </w:pPr>
    </w:p>
    <w:p>
      <w:pPr>
        <w:pStyle w:val="BodyText"/>
        <w:spacing w:line="360" w:lineRule="auto" w:before="89"/>
        <w:ind w:left="102" w:right="104" w:firstLine="278"/>
        <w:jc w:val="both"/>
      </w:pPr>
      <w:r>
        <w:rPr/>
        <w:t>Мы не отметили различий в показателях общей и безрецидивной выживаемости при различных хирургических доступах. На представленных графиках суммированы отдаленные результаты лечения всех 756 лапароскопически прооперированных больных раком эндометрия. Общая 3-летняя выживаемость наиболее многочисленной группы больных раком эндометрия I стадии   достигала</w:t>
      </w:r>
      <w:r>
        <w:rPr>
          <w:spacing w:val="-13"/>
        </w:rPr>
        <w:t> </w:t>
      </w:r>
      <w:r>
        <w:rPr/>
        <w:t>96%.</w:t>
      </w:r>
    </w:p>
    <w:p>
      <w:pPr>
        <w:spacing w:after="0" w:line="360" w:lineRule="auto"/>
        <w:jc w:val="both"/>
        <w:sectPr>
          <w:type w:val="continuous"/>
          <w:pgSz w:w="11900" w:h="16850"/>
          <w:pgMar w:top="1020" w:bottom="280" w:left="1600" w:right="1020"/>
        </w:sectPr>
      </w:pPr>
    </w:p>
    <w:p>
      <w:pPr>
        <w:pStyle w:val="BodyText"/>
        <w:rPr>
          <w:sz w:val="20"/>
        </w:rPr>
      </w:pPr>
    </w:p>
    <w:p>
      <w:pPr>
        <w:pStyle w:val="BodyText"/>
        <w:rPr>
          <w:sz w:val="20"/>
        </w:rPr>
      </w:pPr>
    </w:p>
    <w:p>
      <w:pPr>
        <w:pStyle w:val="Heading1"/>
        <w:numPr>
          <w:ilvl w:val="2"/>
          <w:numId w:val="21"/>
        </w:numPr>
        <w:tabs>
          <w:tab w:pos="2054" w:val="left" w:leader="none"/>
        </w:tabs>
        <w:spacing w:line="240" w:lineRule="auto" w:before="228" w:after="0"/>
        <w:ind w:left="2053" w:right="0" w:hanging="700"/>
        <w:jc w:val="left"/>
      </w:pPr>
      <w:r>
        <w:rPr/>
        <w:t>Оценка качества жизни больных раком</w:t>
      </w:r>
      <w:r>
        <w:rPr>
          <w:spacing w:val="-15"/>
        </w:rPr>
        <w:t> </w:t>
      </w:r>
      <w:r>
        <w:rPr/>
        <w:t>эндометрия</w:t>
      </w:r>
    </w:p>
    <w:p>
      <w:pPr>
        <w:pStyle w:val="BodyText"/>
        <w:rPr>
          <w:b/>
          <w:sz w:val="30"/>
        </w:rPr>
      </w:pPr>
    </w:p>
    <w:p>
      <w:pPr>
        <w:pStyle w:val="BodyText"/>
        <w:rPr>
          <w:b/>
          <w:sz w:val="30"/>
        </w:rPr>
      </w:pPr>
    </w:p>
    <w:p>
      <w:pPr>
        <w:pStyle w:val="BodyText"/>
        <w:spacing w:before="3"/>
        <w:rPr>
          <w:b/>
          <w:sz w:val="30"/>
        </w:rPr>
      </w:pPr>
    </w:p>
    <w:p>
      <w:pPr>
        <w:pStyle w:val="BodyText"/>
        <w:spacing w:line="360" w:lineRule="auto"/>
        <w:ind w:left="122" w:right="123" w:firstLine="719"/>
        <w:jc w:val="both"/>
      </w:pPr>
      <w:r>
        <w:rPr/>
        <w:t>93 больным из обеих групп исследования было предложено заполнить опросники до и через 1, 2 и 6 недель после операции. Оценивались физическое, социальное и эмоциональное состояние пациенток (см. приложение 4).</w:t>
      </w:r>
    </w:p>
    <w:p>
      <w:pPr>
        <w:pStyle w:val="BodyText"/>
        <w:spacing w:line="360" w:lineRule="auto" w:before="205"/>
        <w:ind w:left="122" w:right="126" w:firstLine="719"/>
        <w:jc w:val="both"/>
      </w:pPr>
      <w:r>
        <w:rPr/>
        <w:t>Проведенное исследование качества жизни больных раком тела матки, подвергнувшихся хирургическому лечению с использованием эндовидеохирургического и традиционного лапаротомного доступов, позволило установить тенденцию к его повышению у пациенток, прооперированных лапароскопически (Табл. 3.30).</w:t>
      </w:r>
    </w:p>
    <w:p>
      <w:pPr>
        <w:pStyle w:val="BodyText"/>
        <w:spacing w:before="207"/>
        <w:ind w:left="7630"/>
      </w:pPr>
      <w:r>
        <w:rPr/>
        <w:t>Таблица 3.30</w:t>
      </w:r>
    </w:p>
    <w:p>
      <w:pPr>
        <w:pStyle w:val="BodyText"/>
        <w:rPr>
          <w:sz w:val="30"/>
        </w:rPr>
      </w:pPr>
    </w:p>
    <w:p>
      <w:pPr>
        <w:pStyle w:val="BodyText"/>
        <w:rPr>
          <w:sz w:val="30"/>
        </w:rPr>
      </w:pPr>
    </w:p>
    <w:p>
      <w:pPr>
        <w:pStyle w:val="BodyText"/>
        <w:spacing w:before="9"/>
        <w:rPr>
          <w:sz w:val="30"/>
        </w:rPr>
      </w:pPr>
    </w:p>
    <w:p>
      <w:pPr>
        <w:pStyle w:val="BodyText"/>
        <w:spacing w:line="508" w:lineRule="auto" w:after="22"/>
        <w:ind w:left="4423" w:right="629" w:hanging="3260"/>
      </w:pPr>
      <w:r>
        <w:rPr/>
        <w:t>Сравнительная характеристика показателей качества жизни по FACT-G</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6"/>
        <w:gridCol w:w="1699"/>
        <w:gridCol w:w="1560"/>
        <w:gridCol w:w="1702"/>
        <w:gridCol w:w="1416"/>
      </w:tblGrid>
      <w:tr>
        <w:trPr>
          <w:trHeight w:val="2141" w:hRule="exact"/>
        </w:trPr>
        <w:tc>
          <w:tcPr>
            <w:tcW w:w="2696" w:type="dxa"/>
          </w:tcPr>
          <w:p>
            <w:pPr>
              <w:pStyle w:val="TableParagraph"/>
              <w:spacing w:before="9"/>
              <w:rPr>
                <w:sz w:val="32"/>
              </w:rPr>
            </w:pPr>
          </w:p>
          <w:p>
            <w:pPr>
              <w:pStyle w:val="TableParagraph"/>
              <w:spacing w:line="508" w:lineRule="auto"/>
              <w:ind w:left="525" w:right="368" w:hanging="147"/>
              <w:rPr>
                <w:sz w:val="28"/>
              </w:rPr>
            </w:pPr>
            <w:r>
              <w:rPr>
                <w:sz w:val="28"/>
              </w:rPr>
              <w:t>Характеристика исследования</w:t>
            </w:r>
          </w:p>
        </w:tc>
        <w:tc>
          <w:tcPr>
            <w:tcW w:w="1699" w:type="dxa"/>
          </w:tcPr>
          <w:p>
            <w:pPr>
              <w:pStyle w:val="TableParagraph"/>
              <w:spacing w:line="360" w:lineRule="auto"/>
              <w:ind w:left="115" w:right="113" w:hanging="4"/>
              <w:jc w:val="center"/>
              <w:rPr>
                <w:sz w:val="28"/>
              </w:rPr>
            </w:pPr>
            <w:r>
              <w:rPr>
                <w:sz w:val="28"/>
              </w:rPr>
              <w:t>До    хирургичес- кого лечения</w:t>
            </w:r>
          </w:p>
        </w:tc>
        <w:tc>
          <w:tcPr>
            <w:tcW w:w="1560" w:type="dxa"/>
          </w:tcPr>
          <w:p>
            <w:pPr>
              <w:pStyle w:val="TableParagraph"/>
              <w:spacing w:line="360" w:lineRule="auto"/>
              <w:ind w:left="211" w:right="209" w:hanging="1"/>
              <w:jc w:val="center"/>
              <w:rPr>
                <w:sz w:val="28"/>
              </w:rPr>
            </w:pPr>
            <w:r>
              <w:rPr>
                <w:sz w:val="28"/>
              </w:rPr>
              <w:t>Через 1 неделю после операции</w:t>
            </w:r>
          </w:p>
        </w:tc>
        <w:tc>
          <w:tcPr>
            <w:tcW w:w="1702" w:type="dxa"/>
          </w:tcPr>
          <w:p>
            <w:pPr>
              <w:pStyle w:val="TableParagraph"/>
              <w:spacing w:line="360" w:lineRule="auto"/>
              <w:ind w:left="280" w:right="281" w:hanging="2"/>
              <w:jc w:val="center"/>
              <w:rPr>
                <w:sz w:val="28"/>
              </w:rPr>
            </w:pPr>
            <w:r>
              <w:rPr>
                <w:sz w:val="28"/>
              </w:rPr>
              <w:t>Через 2 недели после операции</w:t>
            </w:r>
          </w:p>
        </w:tc>
        <w:tc>
          <w:tcPr>
            <w:tcW w:w="1416" w:type="dxa"/>
          </w:tcPr>
          <w:p>
            <w:pPr>
              <w:pStyle w:val="TableParagraph"/>
              <w:spacing w:line="360" w:lineRule="auto"/>
              <w:ind w:left="136" w:right="139" w:hanging="2"/>
              <w:jc w:val="center"/>
              <w:rPr>
                <w:sz w:val="28"/>
              </w:rPr>
            </w:pPr>
            <w:r>
              <w:rPr>
                <w:sz w:val="28"/>
              </w:rPr>
              <w:t>Через 6 недель после операции</w:t>
            </w:r>
          </w:p>
        </w:tc>
      </w:tr>
      <w:tr>
        <w:trPr>
          <w:trHeight w:val="1378" w:hRule="exact"/>
        </w:trPr>
        <w:tc>
          <w:tcPr>
            <w:tcW w:w="2696" w:type="dxa"/>
          </w:tcPr>
          <w:p>
            <w:pPr>
              <w:pStyle w:val="TableParagraph"/>
              <w:spacing w:line="508" w:lineRule="auto"/>
              <w:ind w:left="1051" w:right="410" w:hanging="492"/>
              <w:rPr>
                <w:sz w:val="28"/>
              </w:rPr>
            </w:pPr>
            <w:r>
              <w:rPr>
                <w:sz w:val="28"/>
              </w:rPr>
              <w:t>Лапароскопия n=52</w:t>
            </w:r>
          </w:p>
        </w:tc>
        <w:tc>
          <w:tcPr>
            <w:tcW w:w="1699" w:type="dxa"/>
          </w:tcPr>
          <w:p>
            <w:pPr>
              <w:pStyle w:val="TableParagraph"/>
              <w:spacing w:before="2"/>
              <w:rPr>
                <w:sz w:val="29"/>
              </w:rPr>
            </w:pPr>
          </w:p>
          <w:p>
            <w:pPr>
              <w:pStyle w:val="TableParagraph"/>
              <w:ind w:left="256" w:right="258"/>
              <w:jc w:val="center"/>
              <w:rPr>
                <w:sz w:val="28"/>
              </w:rPr>
            </w:pPr>
            <w:r>
              <w:rPr>
                <w:sz w:val="28"/>
              </w:rPr>
              <w:t>12,2±0,56</w:t>
            </w:r>
          </w:p>
        </w:tc>
        <w:tc>
          <w:tcPr>
            <w:tcW w:w="1560" w:type="dxa"/>
          </w:tcPr>
          <w:p>
            <w:pPr>
              <w:pStyle w:val="TableParagraph"/>
              <w:spacing w:before="2"/>
              <w:rPr>
                <w:sz w:val="29"/>
              </w:rPr>
            </w:pPr>
          </w:p>
          <w:p>
            <w:pPr>
              <w:pStyle w:val="TableParagraph"/>
              <w:ind w:left="188" w:right="188"/>
              <w:jc w:val="center"/>
              <w:rPr>
                <w:sz w:val="28"/>
              </w:rPr>
            </w:pPr>
            <w:r>
              <w:rPr>
                <w:sz w:val="28"/>
              </w:rPr>
              <w:t>12,8±0,59</w:t>
            </w:r>
          </w:p>
        </w:tc>
        <w:tc>
          <w:tcPr>
            <w:tcW w:w="1702" w:type="dxa"/>
          </w:tcPr>
          <w:p>
            <w:pPr>
              <w:pStyle w:val="TableParagraph"/>
              <w:spacing w:before="2"/>
              <w:rPr>
                <w:sz w:val="29"/>
              </w:rPr>
            </w:pPr>
          </w:p>
          <w:p>
            <w:pPr>
              <w:pStyle w:val="TableParagraph"/>
              <w:ind w:left="278"/>
              <w:rPr>
                <w:sz w:val="28"/>
              </w:rPr>
            </w:pPr>
            <w:r>
              <w:rPr>
                <w:sz w:val="28"/>
              </w:rPr>
              <w:t>11,3±0,53</w:t>
            </w:r>
          </w:p>
        </w:tc>
        <w:tc>
          <w:tcPr>
            <w:tcW w:w="1416" w:type="dxa"/>
          </w:tcPr>
          <w:p>
            <w:pPr>
              <w:pStyle w:val="TableParagraph"/>
              <w:spacing w:before="2"/>
              <w:rPr>
                <w:sz w:val="29"/>
              </w:rPr>
            </w:pPr>
          </w:p>
          <w:p>
            <w:pPr>
              <w:pStyle w:val="TableParagraph"/>
              <w:ind w:left="115" w:right="117"/>
              <w:jc w:val="center"/>
              <w:rPr>
                <w:sz w:val="28"/>
              </w:rPr>
            </w:pPr>
            <w:r>
              <w:rPr>
                <w:sz w:val="28"/>
              </w:rPr>
              <w:t>12,4±0,59</w:t>
            </w:r>
          </w:p>
        </w:tc>
      </w:tr>
      <w:tr>
        <w:trPr>
          <w:trHeight w:val="1376" w:hRule="exact"/>
        </w:trPr>
        <w:tc>
          <w:tcPr>
            <w:tcW w:w="2696" w:type="dxa"/>
          </w:tcPr>
          <w:p>
            <w:pPr>
              <w:pStyle w:val="TableParagraph"/>
              <w:spacing w:line="508" w:lineRule="auto"/>
              <w:ind w:left="1087" w:right="463" w:hanging="471"/>
              <w:rPr>
                <w:sz w:val="28"/>
              </w:rPr>
            </w:pPr>
            <w:r>
              <w:rPr>
                <w:sz w:val="28"/>
              </w:rPr>
              <w:t>Лапаротомия n=41</w:t>
            </w:r>
          </w:p>
        </w:tc>
        <w:tc>
          <w:tcPr>
            <w:tcW w:w="1699" w:type="dxa"/>
          </w:tcPr>
          <w:p>
            <w:pPr>
              <w:pStyle w:val="TableParagraph"/>
              <w:rPr>
                <w:sz w:val="29"/>
              </w:rPr>
            </w:pPr>
          </w:p>
          <w:p>
            <w:pPr>
              <w:pStyle w:val="TableParagraph"/>
              <w:ind w:left="256" w:right="258"/>
              <w:jc w:val="center"/>
              <w:rPr>
                <w:sz w:val="28"/>
              </w:rPr>
            </w:pPr>
            <w:r>
              <w:rPr>
                <w:sz w:val="28"/>
              </w:rPr>
              <w:t>11,4±0,47</w:t>
            </w:r>
          </w:p>
        </w:tc>
        <w:tc>
          <w:tcPr>
            <w:tcW w:w="1560" w:type="dxa"/>
          </w:tcPr>
          <w:p>
            <w:pPr>
              <w:pStyle w:val="TableParagraph"/>
              <w:rPr>
                <w:sz w:val="29"/>
              </w:rPr>
            </w:pPr>
          </w:p>
          <w:p>
            <w:pPr>
              <w:pStyle w:val="TableParagraph"/>
              <w:ind w:left="188" w:right="188"/>
              <w:jc w:val="center"/>
              <w:rPr>
                <w:sz w:val="28"/>
              </w:rPr>
            </w:pPr>
            <w:r>
              <w:rPr>
                <w:sz w:val="28"/>
              </w:rPr>
              <w:t>11,8±0,39</w:t>
            </w:r>
          </w:p>
        </w:tc>
        <w:tc>
          <w:tcPr>
            <w:tcW w:w="1702" w:type="dxa"/>
          </w:tcPr>
          <w:p>
            <w:pPr>
              <w:pStyle w:val="TableParagraph"/>
              <w:rPr>
                <w:sz w:val="29"/>
              </w:rPr>
            </w:pPr>
          </w:p>
          <w:p>
            <w:pPr>
              <w:pStyle w:val="TableParagraph"/>
              <w:ind w:left="278"/>
              <w:rPr>
                <w:sz w:val="28"/>
              </w:rPr>
            </w:pPr>
            <w:r>
              <w:rPr>
                <w:sz w:val="28"/>
              </w:rPr>
              <w:t>10,9±0,48</w:t>
            </w:r>
          </w:p>
        </w:tc>
        <w:tc>
          <w:tcPr>
            <w:tcW w:w="1416" w:type="dxa"/>
          </w:tcPr>
          <w:p>
            <w:pPr>
              <w:pStyle w:val="TableParagraph"/>
              <w:rPr>
                <w:sz w:val="29"/>
              </w:rPr>
            </w:pPr>
          </w:p>
          <w:p>
            <w:pPr>
              <w:pStyle w:val="TableParagraph"/>
              <w:ind w:left="115" w:right="117"/>
              <w:jc w:val="center"/>
              <w:rPr>
                <w:sz w:val="28"/>
              </w:rPr>
            </w:pPr>
            <w:r>
              <w:rPr>
                <w:sz w:val="28"/>
              </w:rPr>
              <w:t>11,1±0,61</w:t>
            </w:r>
          </w:p>
        </w:tc>
      </w:tr>
    </w:tbl>
    <w:p>
      <w:pPr>
        <w:spacing w:after="0"/>
        <w:jc w:val="center"/>
        <w:rPr>
          <w:sz w:val="28"/>
        </w:rPr>
        <w:sectPr>
          <w:pgSz w:w="11900" w:h="16850"/>
          <w:pgMar w:header="712" w:footer="0" w:top="1020" w:bottom="280" w:left="1580" w:right="1000"/>
        </w:sectPr>
      </w:pPr>
    </w:p>
    <w:p>
      <w:pPr>
        <w:pStyle w:val="BodyText"/>
        <w:rPr>
          <w:sz w:val="20"/>
        </w:rPr>
      </w:pPr>
    </w:p>
    <w:p>
      <w:pPr>
        <w:pStyle w:val="BodyText"/>
        <w:rPr>
          <w:sz w:val="20"/>
        </w:rPr>
      </w:pPr>
    </w:p>
    <w:p>
      <w:pPr>
        <w:pStyle w:val="BodyText"/>
        <w:spacing w:line="360" w:lineRule="auto" w:before="224"/>
        <w:ind w:left="102" w:right="100" w:firstLine="719"/>
        <w:jc w:val="both"/>
      </w:pPr>
      <w:r>
        <w:rPr/>
        <w:t>Последние годы качеству жизни онкологических больных уделяется все больше внимания. Показатели 5-летней выживаемости постепенно перестают являться единственным критерием качества проведенного лечения. Лучшее качество жизни больных после лапароскопических операций стало еще одним аргументом в пользу малооинвазивных хирургических методик.</w:t>
      </w:r>
    </w:p>
    <w:p>
      <w:pPr>
        <w:pStyle w:val="BodyText"/>
        <w:rPr>
          <w:sz w:val="30"/>
        </w:rPr>
      </w:pPr>
    </w:p>
    <w:p>
      <w:pPr>
        <w:pStyle w:val="BodyText"/>
        <w:rPr>
          <w:sz w:val="30"/>
        </w:rPr>
      </w:pPr>
    </w:p>
    <w:p>
      <w:pPr>
        <w:pStyle w:val="Heading1"/>
        <w:spacing w:before="204"/>
        <w:ind w:left="722" w:right="3"/>
        <w:jc w:val="center"/>
      </w:pPr>
      <w:r>
        <w:rPr/>
        <w:t>Резюме</w:t>
      </w:r>
    </w:p>
    <w:p>
      <w:pPr>
        <w:pStyle w:val="BodyText"/>
        <w:rPr>
          <w:b/>
          <w:sz w:val="31"/>
        </w:rPr>
      </w:pPr>
    </w:p>
    <w:p>
      <w:pPr>
        <w:pStyle w:val="BodyText"/>
        <w:spacing w:line="360" w:lineRule="auto"/>
        <w:ind w:left="102" w:right="104" w:firstLine="719"/>
        <w:jc w:val="both"/>
      </w:pPr>
      <w:r>
        <w:rPr/>
        <w:t>Лапароскопическая хирургия является современным методом лечения в онкогинекологии, имеющим целый ряд неоспоримых преимуществ. Ее использование позволяет с минимальной травматизацией для больной адекватно выполнить необходимый в каждом конкретном случае      объем      хирургического      вмешательства.      Сопоставимая  </w:t>
      </w:r>
      <w:r>
        <w:rPr>
          <w:spacing w:val="63"/>
        </w:rPr>
        <w:t> </w:t>
      </w:r>
      <w:r>
        <w:rPr/>
        <w:t>с</w:t>
      </w:r>
    </w:p>
    <w:p>
      <w:pPr>
        <w:pStyle w:val="BodyText"/>
        <w:spacing w:line="360" w:lineRule="auto" w:before="4"/>
        <w:ind w:left="102" w:right="102"/>
        <w:jc w:val="both"/>
      </w:pPr>
      <w:r>
        <w:rPr/>
        <w:t>«открытыми» операциями длительность вмешательства, минимальная кровопотеря, практически полное отсутствие интраоперационных и послеоперационных осложнений, быстрая реабилитация больных делают лапароскопический доступ методом выбора в хирургическом лечении больных минимальным и местно-распространенным раком эндометрия.</w:t>
      </w:r>
    </w:p>
    <w:p>
      <w:pPr>
        <w:pStyle w:val="BodyText"/>
        <w:spacing w:line="360" w:lineRule="auto" w:before="204"/>
        <w:ind w:left="102" w:right="100" w:firstLine="719"/>
        <w:jc w:val="both"/>
      </w:pPr>
      <w:r>
        <w:rPr/>
        <w:t>В данном разделе работы мы рассмотрели две репрезентативные группы больных раком эндометрия, подвергшихся хирургическому лечению по поводу гистологически верифицированных опухолевых заболеваний эндометрия. При тщательном сопоставлении эти группы оказались идентичны по основным клинико-морфологическим характеристикам. Установлена высокая частота сопутствующих, зачастую тяжелых и субкомпенсированных хронических заболеваний, которые требовали проведения предоперационной подготовки и кропотливого ведения ближайшего послеоперационного периода. В выборе объема</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0"/>
        <w:jc w:val="both"/>
      </w:pPr>
      <w:r>
        <w:rPr/>
        <w:t>хирургического вмешательства мы руководствовались онкологическими показаниями, основанными на тщательном изучении степени распространения опухолевого процесса, его гистологического типа, степени морфологической дифференцировки и ряде других прогностических признаках, определяющих потенции злокачественного новообразования к распространению за пределы органа и к метастазированию в регионарные лимфатические узлы. Иногда вопрос об объеме хирургического вмешательства решался интраоперационно на основании изучения удаленного препарата и результатов срочного гистологического исследования.</w:t>
      </w:r>
    </w:p>
    <w:p>
      <w:pPr>
        <w:pStyle w:val="BodyText"/>
        <w:spacing w:line="357" w:lineRule="auto" w:before="204"/>
        <w:ind w:left="102" w:right="99" w:firstLine="789"/>
        <w:jc w:val="both"/>
      </w:pPr>
      <w:r>
        <w:rPr/>
        <w:t>Тяжелые декомпенсированные заболевания сердечно-сосудистой и дыхательной систем вносили коррективы в планирование объемов предстоящих операций. За редким исключением, они не послужили основанием для выбора лапаротомного доступа. При достаточной квалификации хирургической бригады и анестезиологов лапароскопический доступ оказался предпочтительней для этой тяжелой категории онкогинекологических больных с точки зрения течения ближайшего послеоперационного периода и реабилитации. Для минимилизации негативных влияний лапароскопического доступа следует прибегать к уменьшению угла наклона больных в положении Тренделенбурга до 10 – 15</w:t>
      </w:r>
      <w:r>
        <w:rPr>
          <w:position w:val="13"/>
          <w:sz w:val="18"/>
        </w:rPr>
        <w:t>o  </w:t>
      </w:r>
      <w:r>
        <w:rPr/>
        <w:t>и снижению внутрибрюшного давления до 8  –</w:t>
      </w:r>
    </w:p>
    <w:p>
      <w:pPr>
        <w:pStyle w:val="BodyText"/>
        <w:spacing w:line="360" w:lineRule="auto"/>
        <w:ind w:left="102" w:right="99"/>
        <w:jc w:val="both"/>
      </w:pPr>
      <w:r>
        <w:rPr/>
        <w:t>10 мм.рт.ст., в некоторых случаях нам приходилось прибегать к декомпрессии и выводу больных из положения Тренделенбурга до нормализации витальных функций. Противопоказанием к использованию данного доступа следует считать распространенные формы опухоли с прорастанием всех слоев матки, распространением на цервикальный канал и/или придатки матки. В таких ситуациях лапаротомный доступ позволит добиться лучших результатов благодаря большей радикальности и</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99"/>
        <w:jc w:val="both"/>
      </w:pPr>
      <w:r>
        <w:rPr/>
        <w:t>абластичности вмешательства. С целью предупреждения опухолевой диссеминации в ходе лапароскопических операций показана коагуляция трубных углов перед началом выполнения каких-либо манипуляций с препаратом. Из тех же соображений абластики и антибластики не следует лапароскопически оперировать больных раком эндометрия в сочетании с миомой матки или опухолью яичников больших размеров. Еще одним установленным противопоказанием к лапароскопии в ходе настоящего исследования признаны анамнестические указания на ранее перенесенные обширные, травматичные операции на органах брюшной полости, как правило, приводящие к развитию обширных рубцово-спаечных процессов. К такого рода операциям следует относить и хирургические осложнения, потребовавшие релапаротомии, и расширенные операции по поводу метахронных злокачественных новообразований.</w:t>
      </w:r>
    </w:p>
    <w:p>
      <w:pPr>
        <w:pStyle w:val="BodyText"/>
        <w:spacing w:line="360" w:lineRule="auto" w:before="205"/>
        <w:ind w:left="102" w:right="99" w:firstLine="719"/>
        <w:jc w:val="both"/>
      </w:pPr>
      <w:r>
        <w:rPr/>
        <w:t>В любом случае, хирург всегда должен руководствоваться интересами больной, лежащей перед ним на операционном столе. Если в ходе лапароскопической операции выясняется, что она может оказаться нерадикальной или излишне длительной и травматичной и тем самым причинить вред пациентке, ни для одного хирурга не будет абсолютно ничего постыдного в выполнении конверсионной лапаротомии. В онкологии лапароскопия является всего лишь одним из возможных видов хирургического доступа, имеющим неоспоримый ряд преимуществ технического характера. Во главе угла стоит радикальность выполняемой операции. Как было показано в этом разделе работы, при раке эндометрия лапароскопический доступ полностью удовлетворяет этому требованию.</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Heading1"/>
        <w:spacing w:before="228"/>
        <w:ind w:left="4043"/>
      </w:pPr>
      <w:r>
        <w:rPr/>
        <w:t>ГЛАВА 4</w:t>
      </w:r>
    </w:p>
    <w:p>
      <w:pPr>
        <w:pStyle w:val="BodyText"/>
        <w:rPr>
          <w:b/>
          <w:sz w:val="30"/>
        </w:rPr>
      </w:pPr>
    </w:p>
    <w:p>
      <w:pPr>
        <w:pStyle w:val="BodyText"/>
        <w:rPr>
          <w:b/>
          <w:sz w:val="30"/>
        </w:rPr>
      </w:pPr>
    </w:p>
    <w:p>
      <w:pPr>
        <w:pStyle w:val="BodyText"/>
        <w:spacing w:before="8"/>
        <w:rPr>
          <w:b/>
          <w:sz w:val="30"/>
        </w:rPr>
      </w:pPr>
    </w:p>
    <w:p>
      <w:pPr>
        <w:spacing w:line="360" w:lineRule="auto" w:before="0"/>
        <w:ind w:left="3498" w:right="540" w:hanging="2943"/>
        <w:jc w:val="left"/>
        <w:rPr>
          <w:b/>
          <w:sz w:val="28"/>
        </w:rPr>
      </w:pPr>
      <w:r>
        <w:rPr>
          <w:b/>
          <w:sz w:val="28"/>
        </w:rPr>
        <w:t>ЛАПАРОСКОПИЧЕСКИЕ ОПЕРАЦИИ У БОЛЬНЫХ РАКОМ ШЕЙКИ МАТКИ</w:t>
      </w:r>
    </w:p>
    <w:p>
      <w:pPr>
        <w:pStyle w:val="BodyText"/>
        <w:rPr>
          <w:b/>
          <w:sz w:val="30"/>
        </w:rPr>
      </w:pPr>
    </w:p>
    <w:p>
      <w:pPr>
        <w:pStyle w:val="BodyText"/>
        <w:rPr>
          <w:b/>
          <w:sz w:val="30"/>
        </w:rPr>
      </w:pPr>
    </w:p>
    <w:p>
      <w:pPr>
        <w:pStyle w:val="BodyText"/>
        <w:spacing w:line="360" w:lineRule="auto" w:before="194"/>
        <w:ind w:left="102" w:right="106" w:firstLine="417"/>
        <w:jc w:val="both"/>
      </w:pPr>
      <w:r>
        <w:rPr/>
        <w:t>В этом разделе работы представлен наш опыт использования минимального инвазивного доступа в уточняющей диагностике и лечении больных раком шейки матки. Исследование заключается в описании двух возможных аспектов применения лапароскопии:</w:t>
      </w:r>
    </w:p>
    <w:p>
      <w:pPr>
        <w:pStyle w:val="ListParagraph"/>
        <w:numPr>
          <w:ilvl w:val="0"/>
          <w:numId w:val="24"/>
        </w:numPr>
        <w:tabs>
          <w:tab w:pos="983" w:val="left" w:leader="none"/>
        </w:tabs>
        <w:spacing w:line="360" w:lineRule="auto" w:before="204" w:after="0"/>
        <w:ind w:left="982" w:right="99" w:hanging="520"/>
        <w:jc w:val="both"/>
        <w:rPr>
          <w:sz w:val="28"/>
        </w:rPr>
      </w:pPr>
      <w:r>
        <w:rPr>
          <w:sz w:val="28"/>
        </w:rPr>
        <w:t>Перед началом комбинированного лечения с целью уточнения степени распространенности опухолевого процесса - так называемые операции хирургического</w:t>
      </w:r>
      <w:r>
        <w:rPr>
          <w:spacing w:val="-19"/>
          <w:sz w:val="28"/>
        </w:rPr>
        <w:t> </w:t>
      </w:r>
      <w:r>
        <w:rPr>
          <w:sz w:val="28"/>
        </w:rPr>
        <w:t>стадирования.</w:t>
      </w:r>
    </w:p>
    <w:p>
      <w:pPr>
        <w:pStyle w:val="ListParagraph"/>
        <w:numPr>
          <w:ilvl w:val="0"/>
          <w:numId w:val="24"/>
        </w:numPr>
        <w:tabs>
          <w:tab w:pos="983" w:val="left" w:leader="none"/>
        </w:tabs>
        <w:spacing w:line="360" w:lineRule="auto" w:before="5" w:after="0"/>
        <w:ind w:left="982" w:right="108" w:hanging="520"/>
        <w:jc w:val="both"/>
        <w:rPr>
          <w:sz w:val="28"/>
        </w:rPr>
      </w:pPr>
      <w:r>
        <w:rPr>
          <w:sz w:val="28"/>
        </w:rPr>
        <w:t>В качестве наименее травматичного хирургического доступа при выполнении радикальной гистерэктомии у больных раком шейки матки I</w:t>
      </w:r>
      <w:r>
        <w:rPr>
          <w:spacing w:val="-1"/>
          <w:sz w:val="28"/>
        </w:rPr>
        <w:t> </w:t>
      </w:r>
      <w:r>
        <w:rPr>
          <w:sz w:val="28"/>
        </w:rPr>
        <w:t>стадии.</w:t>
      </w:r>
    </w:p>
    <w:p>
      <w:pPr>
        <w:pStyle w:val="BodyText"/>
        <w:rPr>
          <w:sz w:val="30"/>
        </w:rPr>
      </w:pPr>
    </w:p>
    <w:p>
      <w:pPr>
        <w:pStyle w:val="BodyText"/>
        <w:spacing w:before="10"/>
        <w:rPr>
          <w:sz w:val="42"/>
        </w:rPr>
      </w:pPr>
    </w:p>
    <w:p>
      <w:pPr>
        <w:pStyle w:val="Heading1"/>
        <w:spacing w:line="360" w:lineRule="auto"/>
        <w:ind w:left="1326" w:right="431" w:firstLine="549"/>
      </w:pPr>
      <w:r>
        <w:rPr/>
        <w:t>4.1. Лапароскопические операции хирургического стадирования у больных местно-распространенным раком</w:t>
      </w:r>
    </w:p>
    <w:p>
      <w:pPr>
        <w:spacing w:before="6"/>
        <w:ind w:left="1259" w:right="380" w:firstLine="0"/>
        <w:jc w:val="center"/>
        <w:rPr>
          <w:b/>
          <w:sz w:val="28"/>
        </w:rPr>
      </w:pPr>
      <w:r>
        <w:rPr>
          <w:b/>
          <w:sz w:val="28"/>
        </w:rPr>
        <w:t>шейки матки</w:t>
      </w:r>
    </w:p>
    <w:p>
      <w:pPr>
        <w:pStyle w:val="BodyText"/>
        <w:rPr>
          <w:b/>
          <w:sz w:val="30"/>
        </w:rPr>
      </w:pPr>
    </w:p>
    <w:p>
      <w:pPr>
        <w:pStyle w:val="BodyText"/>
        <w:rPr>
          <w:b/>
          <w:sz w:val="30"/>
        </w:rPr>
      </w:pPr>
    </w:p>
    <w:p>
      <w:pPr>
        <w:pStyle w:val="BodyText"/>
        <w:spacing w:before="7"/>
        <w:rPr>
          <w:b/>
          <w:sz w:val="37"/>
        </w:rPr>
      </w:pPr>
    </w:p>
    <w:p>
      <w:pPr>
        <w:pStyle w:val="BodyText"/>
        <w:spacing w:line="360" w:lineRule="auto"/>
        <w:ind w:left="102" w:right="100" w:firstLine="208"/>
        <w:jc w:val="both"/>
      </w:pPr>
      <w:r>
        <w:rPr/>
        <w:t>Максимально объективное представление о степени распространения опухоли у больных раком шейки матки позволяет выбрать оптимальный вариант лечебной тактики в каждом конкретном случае и, как следствие, добиться более высоких отдаленных результатов (Рис. 4.1).</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508" w:lineRule="auto" w:before="224"/>
        <w:ind w:left="1088" w:right="88" w:firstLine="6668"/>
      </w:pPr>
      <w:r>
        <w:rPr/>
        <w:pict>
          <v:group style="position:absolute;margin-left:140.994995pt;margin-top:81.415306pt;width:342.3pt;height:211.2pt;mso-position-horizontal-relative:page;mso-position-vertical-relative:paragraph;z-index:3232;mso-wrap-distance-left:0;mso-wrap-distance-right:0" coordorigin="2820,1628" coordsize="6846,4224">
            <v:shape style="position:absolute;left:3550;top:2247;width:734;height:3218" type="#_x0000_t75" stroked="false">
              <v:imagedata r:id="rId67" o:title=""/>
            </v:shape>
            <v:shape style="position:absolute;left:2827;top:1636;width:6831;height:4209" type="#_x0000_t202" filled="false" stroked="true" strokeweight=".75pt" strokecolor="#4f81bc">
              <v:textbox inset="0,0,0,0">
                <w:txbxContent>
                  <w:p>
                    <w:pPr>
                      <w:spacing w:line="240" w:lineRule="auto" w:before="0"/>
                      <w:rPr>
                        <w:sz w:val="37"/>
                      </w:rPr>
                    </w:pPr>
                  </w:p>
                  <w:p>
                    <w:pPr>
                      <w:spacing w:line="248" w:lineRule="exact" w:before="0"/>
                      <w:ind w:left="3400" w:right="1908" w:firstLine="1"/>
                      <w:jc w:val="center"/>
                      <w:rPr>
                        <w:sz w:val="24"/>
                      </w:rPr>
                    </w:pPr>
                    <w:r>
                      <w:rPr>
                        <w:sz w:val="24"/>
                      </w:rPr>
                      <w:t>Радикальная трахелэктомия</w:t>
                    </w:r>
                  </w:p>
                  <w:p>
                    <w:pPr>
                      <w:spacing w:line="248" w:lineRule="exact" w:before="65"/>
                      <w:ind w:left="3415" w:right="1900" w:hanging="1"/>
                      <w:jc w:val="center"/>
                      <w:rPr>
                        <w:sz w:val="24"/>
                      </w:rPr>
                    </w:pPr>
                    <w:r>
                      <w:rPr>
                        <w:sz w:val="24"/>
                      </w:rPr>
                      <w:t>Радикалиная гистерэктомия</w:t>
                    </w:r>
                  </w:p>
                  <w:p>
                    <w:pPr>
                      <w:spacing w:line="494" w:lineRule="auto" w:before="153"/>
                      <w:ind w:left="2965" w:right="1347" w:hanging="62"/>
                      <w:jc w:val="center"/>
                      <w:rPr>
                        <w:sz w:val="20"/>
                      </w:rPr>
                    </w:pPr>
                    <w:r>
                      <w:rPr>
                        <w:sz w:val="24"/>
                      </w:rPr>
                      <w:t>Химио-лучевая терапия Экзентерация </w:t>
                    </w:r>
                    <w:r>
                      <w:rPr>
                        <w:sz w:val="20"/>
                      </w:rPr>
                      <w:t>Комбинированное лечение</w:t>
                    </w:r>
                  </w:p>
                  <w:p>
                    <w:pPr>
                      <w:spacing w:before="106"/>
                      <w:ind w:left="2990" w:right="1333" w:firstLine="0"/>
                      <w:jc w:val="center"/>
                      <w:rPr>
                        <w:sz w:val="20"/>
                      </w:rPr>
                    </w:pPr>
                    <w:r>
                      <w:rPr>
                        <w:sz w:val="20"/>
                      </w:rPr>
                      <w:t>Паллиативная химиотерапия</w:t>
                    </w:r>
                  </w:p>
                </w:txbxContent>
              </v:textbox>
              <v:stroke dashstyle="solid"/>
              <w10:wrap type="none"/>
            </v:shape>
            <w10:wrap type="topAndBottom"/>
          </v:group>
        </w:pict>
      </w:r>
      <w:r>
        <w:rPr/>
        <w:pict>
          <v:shape style="position:absolute;margin-left:280.959991pt;margin-top:103.470306pt;width:140.950pt;height:164.5pt;mso-position-horizontal-relative:page;mso-position-vertical-relative:paragraph;z-index:-338944" coordorigin="5619,2069" coordsize="2819,3290" path="m5619,2152l5626,2120,5644,2094,5670,2076,5702,2069,5702,2069,5702,2069,5702,2069,5702,2069,8272,2069,8272,2069,8304,2076,8331,2094,8348,2120,8355,2152,8355,2152,8355,2152,8355,2152,8355,2152,8355,2484,8355,2484,8348,2517,8331,2543,8304,2561,8272,2568,8272,2568,8272,2568,8272,2568,8272,2568,5702,2568,5702,2568,5670,2561,5644,2543,5626,2517,5619,2484,5619,2484,5619,2484,5619,2484,5619,2152xm5630,2713l5636,2681,5654,2654,5680,2636,5713,2630,5713,2630,5713,2630,5713,2630,5713,2630,8282,2630,8282,2630,8315,2636,8341,2654,8359,2681,8365,2713,8365,2713,8365,2713,8365,2713,8365,2713,8365,3045,8365,3045,8359,3077,8341,3104,8315,3121,8282,3128,8282,3128,8282,3128,8282,3128,8282,3128,5713,3128,5713,3128,5680,3121,5654,3104,5636,3077,5630,3045,5630,3045,5630,3045,5630,3045,5630,2713xm5650,3263l5657,3231,5675,3204,5701,3186,5733,3180,5733,3180,5733,3180,5733,3180,5733,3180,8303,3180,8303,3180,8335,3186,8362,3204,8379,3231,8386,3263,8386,3263,8386,3263,8386,3263,8386,3263,8386,3595,8386,3595,8379,3627,8362,3654,8335,3671,8303,3678,8303,3678,8303,3678,8303,3678,8303,3678,5733,3678,5733,3678,5701,3671,5675,3654,5657,3627,5650,3595,5650,3595,5650,3595,5650,3595,5650,3263xm5650,3813l5657,3781,5675,3754,5701,3737,5733,3730,5733,3730,5733,3730,5733,3730,5733,3730,8303,3730,8303,3730,8335,3737,8362,3754,8379,3781,8386,3813,8386,3813,8386,3813,8386,3813,8386,3813,8386,4145,8386,4145,8379,4177,8362,4204,8335,4222,8303,4228,8303,4228,8303,4228,8303,4228,8303,4228,5733,4228,5733,4228,5701,4222,5675,4204,5657,4177,5650,4145,5650,4145,5650,4145,5650,4145,5650,3813xm5671,4373l5677,4341,5695,4315,5722,4297,5754,4290,5754,4290,5754,4290,5754,4290,5754,4290,8324,4290,8324,4290,8356,4297,8382,4315,8400,4341,8407,4373,8407,4373,8407,4373,8407,4373,8407,4373,8407,4706,8407,4706,8400,4738,8382,4764,8356,4782,8324,4789,8324,4789,8324,4789,8324,4789,8324,4789,5754,4789,5754,4789,5722,4782,5695,4764,5677,4738,5671,4706,5671,4706,5671,4706,5671,4706,5671,4373xm5702,4944l5709,4912,5726,4886,5753,4868,5785,4861,5785,4861,5785,4861,5785,4861,5785,4861,8355,4861,8355,4861,8387,4868,8413,4886,8431,4912,8438,4944,8438,4944,8438,4944,8438,4944,8438,4944,8438,5276,8438,5276,8431,5309,8413,5335,8387,5353,8355,5359,8355,5359,8355,5359,8355,5359,8355,5359,5785,5359,5785,5359,5753,5353,5726,5335,5709,5309,5702,5276,5702,5276,5702,5276,5702,5276,5702,4944xe" filled="false" stroked="true" strokeweight=".75pt" strokecolor="#4f81bc">
            <v:path arrowok="t"/>
            <v:stroke dashstyle="solid"/>
            <w10:wrap type="none"/>
          </v:shape>
        </w:pict>
      </w:r>
      <w:r>
        <w:rPr/>
        <w:t>Рисунок 4.1 Варианты лечебной тактики у больных раком шейки матки</w:t>
      </w:r>
    </w:p>
    <w:p>
      <w:pPr>
        <w:pStyle w:val="BodyText"/>
        <w:rPr>
          <w:sz w:val="30"/>
        </w:rPr>
      </w:pPr>
    </w:p>
    <w:p>
      <w:pPr>
        <w:pStyle w:val="BodyText"/>
        <w:rPr>
          <w:sz w:val="30"/>
        </w:rPr>
      </w:pPr>
    </w:p>
    <w:p>
      <w:pPr>
        <w:pStyle w:val="BodyText"/>
        <w:spacing w:before="11"/>
        <w:rPr>
          <w:sz w:val="29"/>
        </w:rPr>
      </w:pPr>
    </w:p>
    <w:p>
      <w:pPr>
        <w:pStyle w:val="BodyText"/>
        <w:spacing w:line="360" w:lineRule="auto"/>
        <w:ind w:left="102" w:right="102" w:firstLine="347"/>
        <w:jc w:val="both"/>
      </w:pPr>
      <w:r>
        <w:rPr/>
        <w:t>Как видно из представленного рисунка, методы лечения могут варьировать от органосохраняющих операций до расширенных и комбинированных хирургических вмешательств или паллиативного лечения.</w:t>
      </w:r>
    </w:p>
    <w:p>
      <w:pPr>
        <w:pStyle w:val="BodyText"/>
        <w:rPr>
          <w:sz w:val="30"/>
        </w:rPr>
      </w:pPr>
    </w:p>
    <w:p>
      <w:pPr>
        <w:pStyle w:val="BodyText"/>
        <w:rPr>
          <w:sz w:val="30"/>
        </w:rPr>
      </w:pPr>
    </w:p>
    <w:p>
      <w:pPr>
        <w:pStyle w:val="BodyText"/>
        <w:spacing w:before="5"/>
        <w:rPr>
          <w:sz w:val="36"/>
        </w:rPr>
      </w:pPr>
    </w:p>
    <w:p>
      <w:pPr>
        <w:pStyle w:val="Heading1"/>
        <w:numPr>
          <w:ilvl w:val="2"/>
          <w:numId w:val="25"/>
        </w:numPr>
        <w:tabs>
          <w:tab w:pos="1753" w:val="left" w:leader="none"/>
        </w:tabs>
        <w:spacing w:line="360" w:lineRule="auto" w:before="0" w:after="0"/>
        <w:ind w:left="4225" w:right="177" w:hanging="3173"/>
        <w:jc w:val="left"/>
      </w:pPr>
      <w:r>
        <w:rPr/>
        <w:t>Особенности метастазирования и рецидивирования рака шейки матки</w:t>
      </w:r>
    </w:p>
    <w:p>
      <w:pPr>
        <w:pStyle w:val="BodyText"/>
        <w:spacing w:before="10"/>
        <w:rPr>
          <w:b/>
          <w:sz w:val="41"/>
        </w:rPr>
      </w:pPr>
    </w:p>
    <w:p>
      <w:pPr>
        <w:pStyle w:val="BodyText"/>
        <w:spacing w:line="360" w:lineRule="auto" w:before="1"/>
        <w:ind w:left="102" w:right="101" w:firstLine="347"/>
        <w:jc w:val="both"/>
      </w:pPr>
      <w:r>
        <w:rPr/>
        <w:t>На первом этапе исследования проанализированы отдалённые результаты лечения 1185 больных РШМ IB – IIIB стадии, проходивших лечение в НИИ онкологии им. Н.Н.Петрова в период с 1990 по 2010 годы.</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2"/>
        <w:jc w:val="both"/>
      </w:pPr>
      <w:r>
        <w:rPr/>
        <w:t>С целью выяснения тенденций изменения клинико- морфологических характеристик опухоли, применявшихся методов лечения и их результатов мы проанализировали четыре пятилетних периода (Рис. 4.2).</w:t>
      </w:r>
    </w:p>
    <w:p>
      <w:pPr>
        <w:pStyle w:val="BodyText"/>
        <w:rPr>
          <w:sz w:val="30"/>
        </w:rPr>
      </w:pPr>
    </w:p>
    <w:p>
      <w:pPr>
        <w:pStyle w:val="BodyText"/>
        <w:rPr>
          <w:sz w:val="30"/>
        </w:rPr>
      </w:pPr>
    </w:p>
    <w:p>
      <w:pPr>
        <w:pStyle w:val="BodyText"/>
        <w:spacing w:line="511" w:lineRule="auto" w:before="198"/>
        <w:ind w:left="1333" w:firstLine="6380"/>
      </w:pPr>
      <w:r>
        <w:rPr/>
        <w:t>Рисунок 4.2 Динамика заболеваемости РШМ по стадиям за 20  лет</w:t>
      </w:r>
    </w:p>
    <w:p>
      <w:pPr>
        <w:pStyle w:val="BodyText"/>
        <w:rPr>
          <w:sz w:val="20"/>
        </w:rPr>
      </w:pPr>
    </w:p>
    <w:p>
      <w:pPr>
        <w:pStyle w:val="BodyText"/>
        <w:rPr>
          <w:sz w:val="20"/>
        </w:rPr>
      </w:pPr>
    </w:p>
    <w:p>
      <w:pPr>
        <w:pStyle w:val="BodyText"/>
        <w:spacing w:before="8"/>
        <w:rPr>
          <w:sz w:val="16"/>
        </w:rPr>
      </w:pPr>
      <w:r>
        <w:rPr/>
        <w:pict>
          <v:group style="position:absolute;margin-left:133.475006pt;margin-top:11.551514pt;width:354.7pt;height:215.4pt;mso-position-horizontal-relative:page;mso-position-vertical-relative:paragraph;z-index:3280;mso-wrap-distance-left:0;mso-wrap-distance-right:0" coordorigin="2670,231" coordsize="7094,4308">
            <v:line style="position:absolute" from="3425,3195" to="7829,3195" stroked="true" strokeweight=".72pt" strokecolor="#858585">
              <v:stroke dashstyle="solid"/>
            </v:line>
            <v:line style="position:absolute" from="3425,2867" to="7829,2867" stroked="true" strokeweight=".72pt" strokecolor="#858585">
              <v:stroke dashstyle="solid"/>
            </v:line>
            <v:line style="position:absolute" from="3425,2538" to="7829,2538" stroked="true" strokeweight=".72pt" strokecolor="#858585">
              <v:stroke dashstyle="solid"/>
            </v:line>
            <v:line style="position:absolute" from="3425,2207" to="7829,2207" stroked="true" strokeweight=".72pt" strokecolor="#858585">
              <v:stroke dashstyle="solid"/>
            </v:line>
            <v:shape style="position:absolute;left:3593;top:1971;width:451;height:1245" type="#_x0000_t75" stroked="false">
              <v:imagedata r:id="rId68" o:title=""/>
            </v:shape>
            <v:line style="position:absolute" from="3425,1878" to="7829,1878" stroked="true" strokeweight=".72pt" strokecolor="#858585">
              <v:stroke dashstyle="solid"/>
            </v:line>
            <v:shape style="position:absolute;left:4694;top:1825;width:449;height:1391" type="#_x0000_t75" stroked="false">
              <v:imagedata r:id="rId69" o:title=""/>
            </v:shape>
            <v:shape style="position:absolute;left:5796;top:1796;width:449;height:1420" type="#_x0000_t75" stroked="false">
              <v:imagedata r:id="rId70" o:title=""/>
            </v:shape>
            <v:line style="position:absolute" from="3425,1547" to="7829,1547" stroked="true" strokeweight=".72pt" strokecolor="#858585">
              <v:stroke dashstyle="solid"/>
            </v:line>
            <v:shape style="position:absolute;left:6898;top:1472;width:449;height:1744" type="#_x0000_t75" stroked="false">
              <v:imagedata r:id="rId71" o:title=""/>
            </v:shape>
            <v:line style="position:absolute" from="3425,1218" to="7829,1218" stroked="true" strokeweight=".72pt" strokecolor="#858585">
              <v:stroke dashstyle="solid"/>
            </v:line>
            <v:shape style="position:absolute;left:3910;top:1062;width:449;height:2155" type="#_x0000_t75" stroked="false">
              <v:imagedata r:id="rId72" o:title=""/>
            </v:shape>
            <v:shape style="position:absolute;left:5009;top:1211;width:449;height:2006" type="#_x0000_t75" stroked="false">
              <v:imagedata r:id="rId73" o:title=""/>
            </v:shape>
            <v:shape style="position:absolute;left:6110;top:1237;width:449;height:1979" type="#_x0000_t75" stroked="false">
              <v:imagedata r:id="rId74" o:title=""/>
            </v:shape>
            <v:line style="position:absolute" from="3425,889" to="7829,889" stroked="true" strokeweight=".72pt" strokecolor="#858585">
              <v:stroke dashstyle="solid"/>
            </v:line>
            <v:shape style="position:absolute;left:7212;top:891;width:449;height:2325" type="#_x0000_t75" stroked="false">
              <v:imagedata r:id="rId75" o:title=""/>
            </v:shape>
            <v:shape style="position:absolute;left:3661;top:2002;width:315;height:1194" type="#_x0000_t75" stroked="false">
              <v:imagedata r:id="rId76" o:title=""/>
            </v:shape>
            <v:shape style="position:absolute;left:4762;top:1855;width:315;height:1342" type="#_x0000_t75" stroked="false">
              <v:imagedata r:id="rId77" o:title=""/>
            </v:shape>
            <v:shape style="position:absolute;left:5863;top:1828;width:315;height:1369" type="#_x0000_t75" stroked="false">
              <v:imagedata r:id="rId78" o:title=""/>
            </v:shape>
            <v:shape style="position:absolute;left:6964;top:1503;width:315;height:1694" type="#_x0000_t75" stroked="false">
              <v:imagedata r:id="rId79" o:title=""/>
            </v:shape>
            <v:shape style="position:absolute;left:3976;top:1093;width:315;height:2103" type="#_x0000_t75" stroked="false">
              <v:imagedata r:id="rId80" o:title=""/>
            </v:shape>
            <v:shape style="position:absolute;left:5077;top:1241;width:315;height:1956" type="#_x0000_t75" stroked="false">
              <v:imagedata r:id="rId81" o:title=""/>
            </v:shape>
            <v:shape style="position:absolute;left:6178;top:1268;width:315;height:1929" type="#_x0000_t75" stroked="false">
              <v:imagedata r:id="rId82" o:title=""/>
            </v:shape>
            <v:shape style="position:absolute;left:7278;top:923;width:315;height:2274" type="#_x0000_t75" stroked="false">
              <v:imagedata r:id="rId83" o:title=""/>
            </v:shape>
            <v:line style="position:absolute" from="3425,558" to="7829,558" stroked="true" strokeweight=".72pt" strokecolor="#858585">
              <v:stroke dashstyle="solid"/>
            </v:line>
            <v:shape style="position:absolute;left:2677;top:239;width:7079;height:4293" coordorigin="2677,239" coordsize="7079,4293" path="m2677,439l2693,361,2736,297,2799,254,2877,239,9556,239,9634,254,9697,297,9740,361,9756,439,9756,4331,9740,4409,9697,4473,9634,4515,9556,4531,2877,4531,2799,4515,2736,4473,2693,4409,2677,4331,2677,439xe" filled="false" stroked="true" strokeweight=".75pt" strokecolor="#858585">
              <v:path arrowok="t"/>
              <v:stroke dashstyle="solid"/>
            </v:shape>
            <v:shape style="position:absolute;left:2931;top:239;width:6825;height:4292" type="#_x0000_t75" stroked="false">
              <v:imagedata r:id="rId84" o:title=""/>
            </v:shape>
            <w10:wrap type="topAndBottom"/>
          </v:group>
        </w:pict>
      </w:r>
    </w:p>
    <w:p>
      <w:pPr>
        <w:pStyle w:val="BodyText"/>
        <w:spacing w:before="8"/>
        <w:rPr>
          <w:sz w:val="30"/>
        </w:rPr>
      </w:pPr>
    </w:p>
    <w:p>
      <w:pPr>
        <w:tabs>
          <w:tab w:pos="4117" w:val="left" w:leader="none"/>
        </w:tabs>
        <w:spacing w:before="1"/>
        <w:ind w:left="2838" w:right="0" w:firstLine="0"/>
        <w:jc w:val="left"/>
        <w:rPr>
          <w:b/>
          <w:sz w:val="24"/>
        </w:rPr>
      </w:pPr>
      <w:r>
        <w:rPr>
          <w:b/>
          <w:sz w:val="24"/>
        </w:rPr>
        <w:t>1995-2000</w:t>
        <w:tab/>
        <w:t>2001-2005  2006-2010</w:t>
      </w:r>
      <w:r>
        <w:rPr>
          <w:b/>
          <w:spacing w:val="59"/>
          <w:sz w:val="24"/>
        </w:rPr>
        <w:t> </w:t>
      </w:r>
      <w:r>
        <w:rPr>
          <w:b/>
          <w:sz w:val="24"/>
        </w:rPr>
        <w:t>2011-2015</w:t>
      </w:r>
    </w:p>
    <w:p>
      <w:pPr>
        <w:pStyle w:val="BodyText"/>
        <w:rPr>
          <w:b/>
          <w:sz w:val="26"/>
        </w:rPr>
      </w:pPr>
    </w:p>
    <w:p>
      <w:pPr>
        <w:pStyle w:val="BodyText"/>
        <w:spacing w:before="6"/>
        <w:rPr>
          <w:b/>
          <w:sz w:val="21"/>
        </w:rPr>
      </w:pPr>
    </w:p>
    <w:p>
      <w:pPr>
        <w:pStyle w:val="BodyText"/>
        <w:spacing w:line="360" w:lineRule="auto"/>
        <w:ind w:left="102" w:right="99" w:firstLine="707"/>
        <w:jc w:val="both"/>
      </w:pPr>
      <w:r>
        <w:rPr/>
        <w:t>В отличие от </w:t>
      </w:r>
      <w:r>
        <w:rPr>
          <w:spacing w:val="2"/>
        </w:rPr>
        <w:t>официальных </w:t>
      </w:r>
      <w:r>
        <w:rPr/>
        <w:t>статистических </w:t>
      </w:r>
      <w:r>
        <w:rPr>
          <w:spacing w:val="2"/>
        </w:rPr>
        <w:t>данных, </w:t>
      </w:r>
      <w:r>
        <w:rPr/>
        <w:t>демонстрирующих рост числа больных  начальными  стадиями  рака  шейки матки, мы выявили достоверную </w:t>
      </w:r>
      <w:r>
        <w:rPr>
          <w:spacing w:val="2"/>
        </w:rPr>
        <w:t>тенденцию снижения </w:t>
      </w:r>
      <w:r>
        <w:rPr/>
        <w:t>количества больных I стадией заболевания и </w:t>
      </w:r>
      <w:r>
        <w:rPr>
          <w:spacing w:val="2"/>
        </w:rPr>
        <w:t>пропорциональное </w:t>
      </w:r>
      <w:r>
        <w:rPr/>
        <w:t>увеличение II и </w:t>
      </w:r>
      <w:r>
        <w:rPr>
          <w:spacing w:val="2"/>
        </w:rPr>
        <w:t>III </w:t>
      </w:r>
      <w:r>
        <w:rPr/>
        <w:t>стадий среди первичных пациентов. Отмеченное </w:t>
      </w:r>
      <w:r>
        <w:rPr>
          <w:spacing w:val="2"/>
        </w:rPr>
        <w:t>расхождение </w:t>
      </w:r>
      <w:r>
        <w:rPr/>
        <w:t>в </w:t>
      </w:r>
      <w:r>
        <w:rPr>
          <w:spacing w:val="2"/>
        </w:rPr>
        <w:t>данных </w:t>
      </w:r>
      <w:r>
        <w:rPr/>
        <w:t>объясняется тем, что в </w:t>
      </w:r>
      <w:r>
        <w:rPr>
          <w:spacing w:val="2"/>
        </w:rPr>
        <w:t>официальных </w:t>
      </w:r>
      <w:r>
        <w:rPr/>
        <w:t>статистических </w:t>
      </w:r>
      <w:r>
        <w:rPr>
          <w:spacing w:val="2"/>
        </w:rPr>
        <w:t>сборниках </w:t>
      </w:r>
      <w:r>
        <w:rPr/>
        <w:t>под термином начальный рак объединены I и II стадии </w:t>
      </w:r>
      <w:r>
        <w:rPr>
          <w:spacing w:val="2"/>
        </w:rPr>
        <w:t>заболевания. </w:t>
      </w:r>
      <w:r>
        <w:rPr/>
        <w:t>Нам подобное </w:t>
      </w:r>
      <w:r>
        <w:rPr>
          <w:spacing w:val="2"/>
        </w:rPr>
        <w:t>объединение </w:t>
      </w:r>
      <w:r>
        <w:rPr/>
        <w:t>представляется недопустимым в </w:t>
      </w:r>
      <w:r>
        <w:rPr>
          <w:spacing w:val="2"/>
        </w:rPr>
        <w:t>силу </w:t>
      </w:r>
      <w:r>
        <w:rPr>
          <w:spacing w:val="33"/>
        </w:rPr>
        <w:t> </w:t>
      </w:r>
      <w:r>
        <w:rPr>
          <w:spacing w:val="4"/>
        </w:rPr>
        <w:t>различных</w:t>
      </w:r>
    </w:p>
    <w:p>
      <w:pPr>
        <w:spacing w:after="0" w:line="360" w:lineRule="auto"/>
        <w:jc w:val="both"/>
        <w:sectPr>
          <w:pgSz w:w="11900" w:h="16850"/>
          <w:pgMar w:header="712" w:footer="0" w:top="1020" w:bottom="280" w:left="1600" w:right="1020"/>
        </w:sectPr>
      </w:pPr>
    </w:p>
    <w:p>
      <w:pPr>
        <w:pStyle w:val="BodyText"/>
        <w:rPr>
          <w:sz w:val="20"/>
        </w:rPr>
      </w:pPr>
    </w:p>
    <w:p>
      <w:pPr>
        <w:pStyle w:val="BodyText"/>
        <w:spacing w:line="360" w:lineRule="auto" w:before="252"/>
        <w:ind w:left="202" w:right="176"/>
        <w:jc w:val="both"/>
      </w:pPr>
      <w:r>
        <w:rPr/>
        <w:t>подходов к лечебной тактике и постановке </w:t>
      </w:r>
      <w:r>
        <w:rPr>
          <w:spacing w:val="2"/>
        </w:rPr>
        <w:t>прогноза </w:t>
      </w:r>
      <w:r>
        <w:rPr/>
        <w:t>в этих двух совершенно разных группах </w:t>
      </w:r>
      <w:r>
        <w:rPr>
          <w:spacing w:val="2"/>
        </w:rPr>
        <w:t>больных. </w:t>
      </w:r>
      <w:r>
        <w:rPr/>
        <w:t>За </w:t>
      </w:r>
      <w:r>
        <w:rPr>
          <w:spacing w:val="2"/>
        </w:rPr>
        <w:t>прошедшие </w:t>
      </w:r>
      <w:r>
        <w:rPr/>
        <w:t>20 лет в НИИ онкологии также отмечено увеличение числа  больных  РШМ  находящихся в репродуктивном периоде.  Это  </w:t>
      </w:r>
      <w:r>
        <w:rPr>
          <w:spacing w:val="2"/>
        </w:rPr>
        <w:t>подтверждает </w:t>
      </w:r>
      <w:r>
        <w:rPr/>
        <w:t>литературные данные о смещении пика заболеваемости раком шейки  матки в </w:t>
      </w:r>
      <w:r>
        <w:rPr>
          <w:spacing w:val="2"/>
        </w:rPr>
        <w:t>сторону </w:t>
      </w:r>
      <w:r>
        <w:rPr/>
        <w:t>более молодого </w:t>
      </w:r>
      <w:r>
        <w:rPr>
          <w:spacing w:val="12"/>
        </w:rPr>
        <w:t> </w:t>
      </w:r>
      <w:r>
        <w:rPr/>
        <w:t>возраста.</w:t>
      </w:r>
    </w:p>
    <w:p>
      <w:pPr>
        <w:pStyle w:val="BodyText"/>
        <w:spacing w:line="360" w:lineRule="auto" w:before="5"/>
        <w:ind w:left="202" w:right="178"/>
        <w:jc w:val="both"/>
      </w:pPr>
      <w:r>
        <w:rPr>
          <w:spacing w:val="3"/>
        </w:rPr>
        <w:t>Далее </w:t>
      </w:r>
      <w:r>
        <w:rPr/>
        <w:t>мы </w:t>
      </w:r>
      <w:r>
        <w:rPr>
          <w:spacing w:val="3"/>
        </w:rPr>
        <w:t>проанализировали</w:t>
      </w:r>
      <w:r>
        <w:rPr>
          <w:spacing w:val="76"/>
        </w:rPr>
        <w:t> </w:t>
      </w:r>
      <w:r>
        <w:rPr>
          <w:spacing w:val="2"/>
        </w:rPr>
        <w:t>частоту,  </w:t>
      </w:r>
      <w:r>
        <w:rPr>
          <w:spacing w:val="3"/>
        </w:rPr>
        <w:t>сроки  </w:t>
      </w:r>
      <w:r>
        <w:rPr/>
        <w:t>и  </w:t>
      </w:r>
      <w:r>
        <w:rPr>
          <w:spacing w:val="3"/>
        </w:rPr>
        <w:t>локализацию развившихся рецидивов заболевания (Табл.</w:t>
      </w:r>
      <w:r>
        <w:rPr>
          <w:spacing w:val="56"/>
        </w:rPr>
        <w:t> </w:t>
      </w:r>
      <w:r>
        <w:rPr>
          <w:spacing w:val="3"/>
        </w:rPr>
        <w:t>4.1).</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line="508" w:lineRule="auto" w:before="192"/>
        <w:ind w:left="931" w:firstLine="6865"/>
      </w:pPr>
      <w:r>
        <w:rPr/>
        <w:t>Таблица 4.1 Распределение больных РШМ по стадиям и числу  рецидивов</w:t>
      </w:r>
    </w:p>
    <w:p>
      <w:pPr>
        <w:pStyle w:val="BodyText"/>
        <w:rPr>
          <w:sz w:val="20"/>
        </w:rPr>
      </w:pPr>
    </w:p>
    <w:p>
      <w:pPr>
        <w:pStyle w:val="BodyText"/>
        <w:spacing w:before="2"/>
        <w:rPr>
          <w:sz w:val="19"/>
        </w:rPr>
      </w:pPr>
    </w:p>
    <w:tbl>
      <w:tblPr>
        <w:tblW w:w="0" w:type="auto"/>
        <w:jc w:val="left"/>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8"/>
        <w:gridCol w:w="850"/>
        <w:gridCol w:w="850"/>
        <w:gridCol w:w="852"/>
        <w:gridCol w:w="850"/>
        <w:gridCol w:w="852"/>
        <w:gridCol w:w="850"/>
        <w:gridCol w:w="850"/>
        <w:gridCol w:w="961"/>
        <w:gridCol w:w="710"/>
        <w:gridCol w:w="850"/>
      </w:tblGrid>
      <w:tr>
        <w:trPr>
          <w:trHeight w:val="564" w:hRule="exact"/>
        </w:trPr>
        <w:tc>
          <w:tcPr>
            <w:tcW w:w="708" w:type="dxa"/>
            <w:vMerge w:val="restart"/>
          </w:tcPr>
          <w:p>
            <w:pPr>
              <w:pStyle w:val="TableParagraph"/>
              <w:spacing w:before="3"/>
              <w:rPr>
                <w:sz w:val="41"/>
              </w:rPr>
            </w:pPr>
          </w:p>
          <w:p>
            <w:pPr>
              <w:pStyle w:val="TableParagraph"/>
              <w:spacing w:line="278" w:lineRule="auto"/>
              <w:ind w:left="98" w:right="160"/>
              <w:rPr>
                <w:sz w:val="26"/>
              </w:rPr>
            </w:pPr>
            <w:r>
              <w:rPr>
                <w:color w:val="404040"/>
                <w:sz w:val="26"/>
              </w:rPr>
              <w:t>Ста дии</w:t>
            </w:r>
          </w:p>
        </w:tc>
        <w:tc>
          <w:tcPr>
            <w:tcW w:w="1700" w:type="dxa"/>
            <w:gridSpan w:val="2"/>
          </w:tcPr>
          <w:p>
            <w:pPr>
              <w:pStyle w:val="TableParagraph"/>
              <w:spacing w:before="194"/>
              <w:ind w:left="96"/>
              <w:rPr>
                <w:sz w:val="26"/>
              </w:rPr>
            </w:pPr>
            <w:r>
              <w:rPr>
                <w:color w:val="404040"/>
                <w:sz w:val="26"/>
              </w:rPr>
              <w:t>1995-2000г.</w:t>
            </w:r>
          </w:p>
        </w:tc>
        <w:tc>
          <w:tcPr>
            <w:tcW w:w="1702" w:type="dxa"/>
            <w:gridSpan w:val="2"/>
          </w:tcPr>
          <w:p>
            <w:pPr>
              <w:pStyle w:val="TableParagraph"/>
              <w:spacing w:before="194"/>
              <w:ind w:left="98"/>
              <w:rPr>
                <w:sz w:val="26"/>
              </w:rPr>
            </w:pPr>
            <w:r>
              <w:rPr>
                <w:color w:val="404040"/>
                <w:sz w:val="26"/>
              </w:rPr>
              <w:t>2001-2005г.</w:t>
            </w:r>
          </w:p>
        </w:tc>
        <w:tc>
          <w:tcPr>
            <w:tcW w:w="1702" w:type="dxa"/>
            <w:gridSpan w:val="2"/>
            <w:tcBorders>
              <w:right w:val="single" w:sz="4" w:space="0" w:color="000000"/>
            </w:tcBorders>
          </w:tcPr>
          <w:p>
            <w:pPr>
              <w:pStyle w:val="TableParagraph"/>
              <w:spacing w:before="194"/>
              <w:ind w:left="98"/>
              <w:rPr>
                <w:sz w:val="26"/>
              </w:rPr>
            </w:pPr>
            <w:r>
              <w:rPr>
                <w:color w:val="404040"/>
                <w:sz w:val="26"/>
              </w:rPr>
              <w:t>2006-2010г.</w:t>
            </w:r>
          </w:p>
        </w:tc>
        <w:tc>
          <w:tcPr>
            <w:tcW w:w="1810" w:type="dxa"/>
            <w:gridSpan w:val="2"/>
            <w:tcBorders>
              <w:left w:val="single" w:sz="4" w:space="0" w:color="000000"/>
              <w:right w:val="single" w:sz="4" w:space="0" w:color="000000"/>
            </w:tcBorders>
          </w:tcPr>
          <w:p>
            <w:pPr>
              <w:pStyle w:val="TableParagraph"/>
              <w:spacing w:before="194"/>
              <w:ind w:left="167"/>
              <w:rPr>
                <w:sz w:val="26"/>
              </w:rPr>
            </w:pPr>
            <w:r>
              <w:rPr>
                <w:color w:val="404040"/>
                <w:sz w:val="26"/>
              </w:rPr>
              <w:t>2011-2015г.</w:t>
            </w:r>
          </w:p>
        </w:tc>
        <w:tc>
          <w:tcPr>
            <w:tcW w:w="1560" w:type="dxa"/>
            <w:gridSpan w:val="2"/>
            <w:tcBorders>
              <w:left w:val="single" w:sz="4" w:space="0" w:color="000000"/>
              <w:right w:val="single" w:sz="4" w:space="0" w:color="000000"/>
            </w:tcBorders>
          </w:tcPr>
          <w:p>
            <w:pPr>
              <w:pStyle w:val="TableParagraph"/>
              <w:spacing w:before="194"/>
              <w:ind w:left="103"/>
              <w:rPr>
                <w:sz w:val="26"/>
              </w:rPr>
            </w:pPr>
            <w:r>
              <w:rPr>
                <w:color w:val="404040"/>
                <w:sz w:val="26"/>
              </w:rPr>
              <w:t>Всего</w:t>
            </w:r>
          </w:p>
        </w:tc>
      </w:tr>
      <w:tr>
        <w:trPr>
          <w:trHeight w:val="910" w:hRule="exact"/>
        </w:trPr>
        <w:tc>
          <w:tcPr>
            <w:tcW w:w="708" w:type="dxa"/>
            <w:vMerge/>
          </w:tcPr>
          <w:p>
            <w:pPr/>
          </w:p>
        </w:tc>
        <w:tc>
          <w:tcPr>
            <w:tcW w:w="850" w:type="dxa"/>
            <w:tcBorders>
              <w:right w:val="single" w:sz="4" w:space="0" w:color="000000"/>
            </w:tcBorders>
          </w:tcPr>
          <w:p>
            <w:pPr>
              <w:pStyle w:val="TableParagraph"/>
              <w:rPr>
                <w:sz w:val="28"/>
              </w:rPr>
            </w:pPr>
          </w:p>
          <w:p>
            <w:pPr>
              <w:pStyle w:val="TableParagraph"/>
              <w:spacing w:before="215"/>
              <w:ind w:left="96"/>
              <w:rPr>
                <w:sz w:val="26"/>
              </w:rPr>
            </w:pPr>
            <w:r>
              <w:rPr>
                <w:color w:val="404040"/>
                <w:sz w:val="26"/>
              </w:rPr>
              <w:t>n (%)</w:t>
            </w:r>
          </w:p>
        </w:tc>
        <w:tc>
          <w:tcPr>
            <w:tcW w:w="850" w:type="dxa"/>
            <w:tcBorders>
              <w:left w:val="single" w:sz="4" w:space="0" w:color="000000"/>
            </w:tcBorders>
          </w:tcPr>
          <w:p>
            <w:pPr>
              <w:pStyle w:val="TableParagraph"/>
              <w:rPr>
                <w:sz w:val="28"/>
              </w:rPr>
            </w:pPr>
          </w:p>
          <w:p>
            <w:pPr>
              <w:pStyle w:val="TableParagraph"/>
              <w:spacing w:before="215"/>
              <w:ind w:left="103"/>
              <w:rPr>
                <w:sz w:val="26"/>
              </w:rPr>
            </w:pPr>
            <w:r>
              <w:rPr>
                <w:color w:val="404040"/>
                <w:sz w:val="26"/>
              </w:rPr>
              <w:t>Rec%</w:t>
            </w:r>
          </w:p>
        </w:tc>
        <w:tc>
          <w:tcPr>
            <w:tcW w:w="852" w:type="dxa"/>
            <w:tcBorders>
              <w:right w:val="single" w:sz="4" w:space="0" w:color="000000"/>
            </w:tcBorders>
          </w:tcPr>
          <w:p>
            <w:pPr>
              <w:pStyle w:val="TableParagraph"/>
              <w:rPr>
                <w:sz w:val="28"/>
              </w:rPr>
            </w:pPr>
          </w:p>
          <w:p>
            <w:pPr>
              <w:pStyle w:val="TableParagraph"/>
              <w:spacing w:before="215"/>
              <w:ind w:left="98"/>
              <w:rPr>
                <w:sz w:val="26"/>
              </w:rPr>
            </w:pPr>
            <w:r>
              <w:rPr>
                <w:color w:val="404040"/>
                <w:sz w:val="26"/>
              </w:rPr>
              <w:t>n (%)</w:t>
            </w:r>
          </w:p>
        </w:tc>
        <w:tc>
          <w:tcPr>
            <w:tcW w:w="850" w:type="dxa"/>
            <w:tcBorders>
              <w:left w:val="single" w:sz="4" w:space="0" w:color="000000"/>
            </w:tcBorders>
          </w:tcPr>
          <w:p>
            <w:pPr>
              <w:pStyle w:val="TableParagraph"/>
              <w:rPr>
                <w:sz w:val="28"/>
              </w:rPr>
            </w:pPr>
          </w:p>
          <w:p>
            <w:pPr>
              <w:pStyle w:val="TableParagraph"/>
              <w:spacing w:before="215"/>
              <w:ind w:left="103"/>
              <w:rPr>
                <w:sz w:val="26"/>
              </w:rPr>
            </w:pPr>
            <w:r>
              <w:rPr>
                <w:color w:val="404040"/>
                <w:sz w:val="26"/>
              </w:rPr>
              <w:t>Rec%</w:t>
            </w:r>
          </w:p>
        </w:tc>
        <w:tc>
          <w:tcPr>
            <w:tcW w:w="852" w:type="dxa"/>
            <w:tcBorders>
              <w:right w:val="single" w:sz="4" w:space="0" w:color="000000"/>
            </w:tcBorders>
          </w:tcPr>
          <w:p>
            <w:pPr>
              <w:pStyle w:val="TableParagraph"/>
              <w:rPr>
                <w:sz w:val="28"/>
              </w:rPr>
            </w:pPr>
          </w:p>
          <w:p>
            <w:pPr>
              <w:pStyle w:val="TableParagraph"/>
              <w:spacing w:before="215"/>
              <w:ind w:left="98"/>
              <w:rPr>
                <w:sz w:val="26"/>
              </w:rPr>
            </w:pPr>
            <w:r>
              <w:rPr>
                <w:color w:val="404040"/>
                <w:sz w:val="26"/>
              </w:rPr>
              <w:t>n (%)</w:t>
            </w:r>
          </w:p>
        </w:tc>
        <w:tc>
          <w:tcPr>
            <w:tcW w:w="850" w:type="dxa"/>
            <w:tcBorders>
              <w:left w:val="single" w:sz="4" w:space="0" w:color="000000"/>
            </w:tcBorders>
          </w:tcPr>
          <w:p>
            <w:pPr>
              <w:pStyle w:val="TableParagraph"/>
              <w:rPr>
                <w:sz w:val="28"/>
              </w:rPr>
            </w:pPr>
          </w:p>
          <w:p>
            <w:pPr>
              <w:pStyle w:val="TableParagraph"/>
              <w:spacing w:before="215"/>
              <w:ind w:left="103"/>
              <w:rPr>
                <w:sz w:val="26"/>
              </w:rPr>
            </w:pPr>
            <w:r>
              <w:rPr>
                <w:color w:val="404040"/>
                <w:sz w:val="26"/>
              </w:rPr>
              <w:t>Rec%</w:t>
            </w:r>
          </w:p>
        </w:tc>
        <w:tc>
          <w:tcPr>
            <w:tcW w:w="850" w:type="dxa"/>
            <w:tcBorders>
              <w:right w:val="single" w:sz="4" w:space="0" w:color="000000"/>
            </w:tcBorders>
          </w:tcPr>
          <w:p>
            <w:pPr>
              <w:pStyle w:val="TableParagraph"/>
              <w:rPr>
                <w:sz w:val="28"/>
              </w:rPr>
            </w:pPr>
          </w:p>
          <w:p>
            <w:pPr>
              <w:pStyle w:val="TableParagraph"/>
              <w:spacing w:before="215"/>
              <w:ind w:left="98"/>
              <w:rPr>
                <w:sz w:val="26"/>
              </w:rPr>
            </w:pPr>
            <w:r>
              <w:rPr>
                <w:color w:val="404040"/>
                <w:sz w:val="26"/>
              </w:rPr>
              <w:t>n (%)</w:t>
            </w:r>
          </w:p>
        </w:tc>
        <w:tc>
          <w:tcPr>
            <w:tcW w:w="961" w:type="dxa"/>
            <w:tcBorders>
              <w:left w:val="single" w:sz="4" w:space="0" w:color="000000"/>
            </w:tcBorders>
          </w:tcPr>
          <w:p>
            <w:pPr>
              <w:pStyle w:val="TableParagraph"/>
              <w:rPr>
                <w:sz w:val="28"/>
              </w:rPr>
            </w:pPr>
          </w:p>
          <w:p>
            <w:pPr>
              <w:pStyle w:val="TableParagraph"/>
              <w:spacing w:before="215"/>
              <w:ind w:left="103"/>
              <w:rPr>
                <w:sz w:val="26"/>
              </w:rPr>
            </w:pPr>
            <w:r>
              <w:rPr>
                <w:color w:val="404040"/>
                <w:sz w:val="26"/>
              </w:rPr>
              <w:t>Rec%</w:t>
            </w:r>
          </w:p>
        </w:tc>
        <w:tc>
          <w:tcPr>
            <w:tcW w:w="710" w:type="dxa"/>
          </w:tcPr>
          <w:p>
            <w:pPr>
              <w:pStyle w:val="TableParagraph"/>
              <w:spacing w:line="276" w:lineRule="auto" w:before="194"/>
              <w:ind w:left="98" w:right="202"/>
              <w:rPr>
                <w:sz w:val="26"/>
              </w:rPr>
            </w:pPr>
            <w:r>
              <w:rPr>
                <w:color w:val="404040"/>
                <w:sz w:val="26"/>
              </w:rPr>
              <w:t>n </w:t>
            </w:r>
            <w:r>
              <w:rPr>
                <w:color w:val="404040"/>
                <w:w w:val="95"/>
                <w:sz w:val="26"/>
              </w:rPr>
              <w:t>(%)</w:t>
            </w:r>
          </w:p>
        </w:tc>
        <w:tc>
          <w:tcPr>
            <w:tcW w:w="850" w:type="dxa"/>
          </w:tcPr>
          <w:p>
            <w:pPr>
              <w:pStyle w:val="TableParagraph"/>
              <w:rPr>
                <w:sz w:val="28"/>
              </w:rPr>
            </w:pPr>
          </w:p>
          <w:p>
            <w:pPr>
              <w:pStyle w:val="TableParagraph"/>
              <w:spacing w:before="215"/>
              <w:ind w:left="98"/>
              <w:rPr>
                <w:sz w:val="26"/>
              </w:rPr>
            </w:pPr>
            <w:r>
              <w:rPr>
                <w:color w:val="404040"/>
                <w:sz w:val="26"/>
              </w:rPr>
              <w:t>Rec%</w:t>
            </w:r>
          </w:p>
        </w:tc>
      </w:tr>
      <w:tr>
        <w:trPr>
          <w:trHeight w:val="1445" w:hRule="exact"/>
        </w:trPr>
        <w:tc>
          <w:tcPr>
            <w:tcW w:w="708" w:type="dxa"/>
            <w:tcBorders>
              <w:bottom w:val="single" w:sz="4" w:space="0" w:color="000000"/>
            </w:tcBorders>
          </w:tcPr>
          <w:p>
            <w:pPr>
              <w:pStyle w:val="TableParagraph"/>
              <w:rPr>
                <w:sz w:val="28"/>
              </w:rPr>
            </w:pPr>
          </w:p>
          <w:p>
            <w:pPr>
              <w:pStyle w:val="TableParagraph"/>
              <w:spacing w:before="3"/>
              <w:rPr>
                <w:sz w:val="27"/>
              </w:rPr>
            </w:pPr>
          </w:p>
          <w:p>
            <w:pPr>
              <w:pStyle w:val="TableParagraph"/>
              <w:ind w:left="98"/>
              <w:rPr>
                <w:sz w:val="26"/>
              </w:rPr>
            </w:pPr>
            <w:r>
              <w:rPr>
                <w:color w:val="404040"/>
                <w:w w:val="99"/>
                <w:sz w:val="26"/>
              </w:rPr>
              <w:t>I</w:t>
            </w:r>
          </w:p>
        </w:tc>
        <w:tc>
          <w:tcPr>
            <w:tcW w:w="850" w:type="dxa"/>
            <w:tcBorders>
              <w:bottom w:val="single" w:sz="4" w:space="0" w:color="000000"/>
              <w:right w:val="single" w:sz="4" w:space="0" w:color="000000"/>
            </w:tcBorders>
          </w:tcPr>
          <w:p>
            <w:pPr>
              <w:pStyle w:val="TableParagraph"/>
              <w:rPr>
                <w:sz w:val="28"/>
              </w:rPr>
            </w:pPr>
          </w:p>
          <w:p>
            <w:pPr>
              <w:pStyle w:val="TableParagraph"/>
              <w:spacing w:before="213"/>
              <w:ind w:left="96"/>
              <w:rPr>
                <w:sz w:val="26"/>
              </w:rPr>
            </w:pPr>
            <w:r>
              <w:rPr>
                <w:color w:val="404040"/>
                <w:sz w:val="26"/>
              </w:rPr>
              <w:t>88</w:t>
            </w:r>
          </w:p>
          <w:p>
            <w:pPr>
              <w:pStyle w:val="TableParagraph"/>
              <w:spacing w:before="246"/>
              <w:ind w:left="96"/>
              <w:rPr>
                <w:sz w:val="26"/>
              </w:rPr>
            </w:pPr>
            <w:r>
              <w:rPr>
                <w:color w:val="404040"/>
                <w:sz w:val="26"/>
              </w:rPr>
              <w:t>(36,8)</w:t>
            </w:r>
          </w:p>
        </w:tc>
        <w:tc>
          <w:tcPr>
            <w:tcW w:w="850" w:type="dxa"/>
            <w:tcBorders>
              <w:left w:val="single" w:sz="4" w:space="0" w:color="000000"/>
              <w:bottom w:val="single" w:sz="4" w:space="0" w:color="000000"/>
            </w:tcBorders>
          </w:tcPr>
          <w:p>
            <w:pPr>
              <w:pStyle w:val="TableParagraph"/>
              <w:rPr>
                <w:sz w:val="28"/>
              </w:rPr>
            </w:pPr>
          </w:p>
          <w:p>
            <w:pPr>
              <w:pStyle w:val="TableParagraph"/>
              <w:spacing w:before="213"/>
              <w:ind w:left="103"/>
              <w:rPr>
                <w:sz w:val="26"/>
              </w:rPr>
            </w:pPr>
            <w:r>
              <w:rPr>
                <w:color w:val="404040"/>
                <w:w w:val="99"/>
                <w:sz w:val="26"/>
              </w:rPr>
              <w:t>9</w:t>
            </w:r>
          </w:p>
          <w:p>
            <w:pPr>
              <w:pStyle w:val="TableParagraph"/>
              <w:spacing w:before="246"/>
              <w:ind w:left="103"/>
              <w:rPr>
                <w:sz w:val="26"/>
              </w:rPr>
            </w:pPr>
            <w:r>
              <w:rPr>
                <w:color w:val="404040"/>
                <w:sz w:val="26"/>
              </w:rPr>
              <w:t>(10,2)</w:t>
            </w:r>
          </w:p>
        </w:tc>
        <w:tc>
          <w:tcPr>
            <w:tcW w:w="852" w:type="dxa"/>
            <w:tcBorders>
              <w:bottom w:val="single" w:sz="4" w:space="0" w:color="000000"/>
              <w:right w:val="single" w:sz="4" w:space="0" w:color="000000"/>
            </w:tcBorders>
          </w:tcPr>
          <w:p>
            <w:pPr>
              <w:pStyle w:val="TableParagraph"/>
              <w:rPr>
                <w:sz w:val="28"/>
              </w:rPr>
            </w:pPr>
          </w:p>
          <w:p>
            <w:pPr>
              <w:pStyle w:val="TableParagraph"/>
              <w:spacing w:before="213"/>
              <w:ind w:left="98"/>
              <w:rPr>
                <w:sz w:val="26"/>
              </w:rPr>
            </w:pPr>
            <w:r>
              <w:rPr>
                <w:color w:val="404040"/>
                <w:sz w:val="26"/>
              </w:rPr>
              <w:t>126</w:t>
            </w:r>
          </w:p>
          <w:p>
            <w:pPr>
              <w:pStyle w:val="TableParagraph"/>
              <w:spacing w:before="46"/>
              <w:ind w:left="98"/>
              <w:rPr>
                <w:sz w:val="26"/>
              </w:rPr>
            </w:pPr>
            <w:r>
              <w:rPr>
                <w:sz w:val="26"/>
              </w:rPr>
              <w:t>(36,1)</w:t>
            </w:r>
          </w:p>
        </w:tc>
        <w:tc>
          <w:tcPr>
            <w:tcW w:w="850" w:type="dxa"/>
            <w:tcBorders>
              <w:left w:val="single" w:sz="4" w:space="0" w:color="000000"/>
              <w:bottom w:val="single" w:sz="4" w:space="0" w:color="000000"/>
              <w:right w:val="single" w:sz="4" w:space="0" w:color="000000"/>
            </w:tcBorders>
          </w:tcPr>
          <w:p>
            <w:pPr>
              <w:pStyle w:val="TableParagraph"/>
              <w:rPr>
                <w:sz w:val="28"/>
              </w:rPr>
            </w:pPr>
          </w:p>
          <w:p>
            <w:pPr>
              <w:pStyle w:val="TableParagraph"/>
              <w:spacing w:before="213"/>
              <w:ind w:left="103"/>
              <w:rPr>
                <w:sz w:val="26"/>
              </w:rPr>
            </w:pPr>
            <w:r>
              <w:rPr>
                <w:color w:val="404040"/>
                <w:sz w:val="26"/>
              </w:rPr>
              <w:t>15</w:t>
            </w:r>
          </w:p>
          <w:p>
            <w:pPr>
              <w:pStyle w:val="TableParagraph"/>
              <w:spacing w:before="46"/>
              <w:ind w:left="103"/>
              <w:rPr>
                <w:sz w:val="26"/>
              </w:rPr>
            </w:pPr>
            <w:r>
              <w:rPr>
                <w:sz w:val="26"/>
              </w:rPr>
              <w:t>(11,9)</w:t>
            </w:r>
          </w:p>
        </w:tc>
        <w:tc>
          <w:tcPr>
            <w:tcW w:w="852" w:type="dxa"/>
            <w:tcBorders>
              <w:left w:val="single" w:sz="4" w:space="0" w:color="000000"/>
              <w:bottom w:val="single" w:sz="4" w:space="0" w:color="000000"/>
              <w:right w:val="single" w:sz="4" w:space="0" w:color="000000"/>
            </w:tcBorders>
          </w:tcPr>
          <w:p>
            <w:pPr>
              <w:pStyle w:val="TableParagraph"/>
              <w:rPr>
                <w:sz w:val="28"/>
              </w:rPr>
            </w:pPr>
          </w:p>
          <w:p>
            <w:pPr>
              <w:pStyle w:val="TableParagraph"/>
              <w:spacing w:before="213"/>
              <w:ind w:left="103"/>
              <w:rPr>
                <w:sz w:val="26"/>
              </w:rPr>
            </w:pPr>
            <w:r>
              <w:rPr>
                <w:color w:val="404040"/>
                <w:sz w:val="26"/>
              </w:rPr>
              <w:t>45</w:t>
            </w:r>
          </w:p>
          <w:p>
            <w:pPr>
              <w:pStyle w:val="TableParagraph"/>
              <w:spacing w:before="246"/>
              <w:ind w:left="103"/>
              <w:rPr>
                <w:sz w:val="26"/>
              </w:rPr>
            </w:pPr>
            <w:r>
              <w:rPr>
                <w:color w:val="404040"/>
                <w:sz w:val="26"/>
              </w:rPr>
              <w:t>(28,3)</w:t>
            </w:r>
          </w:p>
        </w:tc>
        <w:tc>
          <w:tcPr>
            <w:tcW w:w="850" w:type="dxa"/>
            <w:tcBorders>
              <w:left w:val="single" w:sz="4" w:space="0" w:color="000000"/>
              <w:bottom w:val="single" w:sz="4" w:space="0" w:color="000000"/>
              <w:right w:val="single" w:sz="4" w:space="0" w:color="000000"/>
            </w:tcBorders>
          </w:tcPr>
          <w:p>
            <w:pPr>
              <w:pStyle w:val="TableParagraph"/>
              <w:rPr>
                <w:sz w:val="28"/>
              </w:rPr>
            </w:pPr>
          </w:p>
          <w:p>
            <w:pPr>
              <w:pStyle w:val="TableParagraph"/>
              <w:spacing w:before="213"/>
              <w:ind w:left="103"/>
              <w:rPr>
                <w:sz w:val="26"/>
              </w:rPr>
            </w:pPr>
            <w:r>
              <w:rPr>
                <w:color w:val="404040"/>
                <w:sz w:val="26"/>
              </w:rPr>
              <w:t>10</w:t>
            </w:r>
          </w:p>
          <w:p>
            <w:pPr>
              <w:pStyle w:val="TableParagraph"/>
              <w:spacing w:before="246"/>
              <w:ind w:left="103"/>
              <w:rPr>
                <w:sz w:val="26"/>
              </w:rPr>
            </w:pPr>
            <w:r>
              <w:rPr>
                <w:color w:val="404040"/>
                <w:sz w:val="26"/>
              </w:rPr>
              <w:t>(22,2)</w:t>
            </w:r>
          </w:p>
        </w:tc>
        <w:tc>
          <w:tcPr>
            <w:tcW w:w="850" w:type="dxa"/>
            <w:tcBorders>
              <w:left w:val="single" w:sz="4" w:space="0" w:color="000000"/>
              <w:bottom w:val="single" w:sz="4" w:space="0" w:color="000000"/>
              <w:right w:val="single" w:sz="4" w:space="0" w:color="000000"/>
            </w:tcBorders>
          </w:tcPr>
          <w:p>
            <w:pPr>
              <w:pStyle w:val="TableParagraph"/>
              <w:rPr>
                <w:sz w:val="28"/>
              </w:rPr>
            </w:pPr>
          </w:p>
          <w:p>
            <w:pPr>
              <w:pStyle w:val="TableParagraph"/>
              <w:spacing w:before="213"/>
              <w:ind w:left="103"/>
              <w:rPr>
                <w:sz w:val="26"/>
              </w:rPr>
            </w:pPr>
            <w:r>
              <w:rPr>
                <w:color w:val="404040"/>
                <w:sz w:val="26"/>
              </w:rPr>
              <w:t>115</w:t>
            </w:r>
          </w:p>
          <w:p>
            <w:pPr>
              <w:pStyle w:val="TableParagraph"/>
              <w:spacing w:before="246"/>
              <w:ind w:left="103"/>
              <w:rPr>
                <w:sz w:val="26"/>
              </w:rPr>
            </w:pPr>
            <w:r>
              <w:rPr>
                <w:color w:val="404040"/>
                <w:sz w:val="26"/>
              </w:rPr>
              <w:t>(26,3)</w:t>
            </w:r>
          </w:p>
        </w:tc>
        <w:tc>
          <w:tcPr>
            <w:tcW w:w="961" w:type="dxa"/>
            <w:tcBorders>
              <w:left w:val="single" w:sz="4" w:space="0" w:color="000000"/>
              <w:bottom w:val="single" w:sz="4" w:space="0" w:color="000000"/>
              <w:right w:val="single" w:sz="4" w:space="0" w:color="000000"/>
            </w:tcBorders>
          </w:tcPr>
          <w:p>
            <w:pPr>
              <w:pStyle w:val="TableParagraph"/>
              <w:rPr>
                <w:sz w:val="28"/>
              </w:rPr>
            </w:pPr>
          </w:p>
          <w:p>
            <w:pPr>
              <w:pStyle w:val="TableParagraph"/>
              <w:spacing w:before="213"/>
              <w:ind w:left="103"/>
              <w:rPr>
                <w:sz w:val="26"/>
              </w:rPr>
            </w:pPr>
            <w:r>
              <w:rPr>
                <w:color w:val="404040"/>
                <w:w w:val="99"/>
                <w:sz w:val="26"/>
              </w:rPr>
              <w:t>8</w:t>
            </w:r>
          </w:p>
          <w:p>
            <w:pPr>
              <w:pStyle w:val="TableParagraph"/>
              <w:spacing w:before="246"/>
              <w:ind w:left="103"/>
              <w:rPr>
                <w:sz w:val="26"/>
              </w:rPr>
            </w:pPr>
            <w:r>
              <w:rPr>
                <w:color w:val="404040"/>
                <w:sz w:val="26"/>
              </w:rPr>
              <w:t>(6,9)</w:t>
            </w:r>
          </w:p>
        </w:tc>
        <w:tc>
          <w:tcPr>
            <w:tcW w:w="710" w:type="dxa"/>
            <w:tcBorders>
              <w:left w:val="single" w:sz="4" w:space="0" w:color="000000"/>
              <w:bottom w:val="single" w:sz="4" w:space="0" w:color="000000"/>
            </w:tcBorders>
          </w:tcPr>
          <w:p>
            <w:pPr>
              <w:pStyle w:val="TableParagraph"/>
              <w:spacing w:before="191"/>
              <w:ind w:left="103"/>
              <w:rPr>
                <w:sz w:val="26"/>
              </w:rPr>
            </w:pPr>
            <w:r>
              <w:rPr>
                <w:color w:val="404040"/>
                <w:sz w:val="26"/>
              </w:rPr>
              <w:t>374</w:t>
            </w:r>
          </w:p>
          <w:p>
            <w:pPr>
              <w:pStyle w:val="TableParagraph"/>
              <w:spacing w:before="242"/>
              <w:ind w:left="103"/>
              <w:rPr>
                <w:sz w:val="26"/>
              </w:rPr>
            </w:pPr>
            <w:r>
              <w:rPr>
                <w:color w:val="404040"/>
                <w:sz w:val="26"/>
              </w:rPr>
              <w:t>(31,</w:t>
            </w:r>
          </w:p>
          <w:p>
            <w:pPr>
              <w:pStyle w:val="TableParagraph"/>
              <w:spacing w:before="46"/>
              <w:ind w:left="103"/>
              <w:rPr>
                <w:sz w:val="26"/>
              </w:rPr>
            </w:pPr>
            <w:r>
              <w:rPr>
                <w:color w:val="404040"/>
                <w:sz w:val="26"/>
              </w:rPr>
              <w:t>5)</w:t>
            </w:r>
          </w:p>
        </w:tc>
        <w:tc>
          <w:tcPr>
            <w:tcW w:w="850" w:type="dxa"/>
            <w:tcBorders>
              <w:bottom w:val="single" w:sz="4" w:space="0" w:color="000000"/>
            </w:tcBorders>
          </w:tcPr>
          <w:p>
            <w:pPr>
              <w:pStyle w:val="TableParagraph"/>
              <w:rPr>
                <w:sz w:val="28"/>
              </w:rPr>
            </w:pPr>
          </w:p>
          <w:p>
            <w:pPr>
              <w:pStyle w:val="TableParagraph"/>
              <w:spacing w:before="213"/>
              <w:ind w:left="98"/>
              <w:rPr>
                <w:sz w:val="26"/>
              </w:rPr>
            </w:pPr>
            <w:r>
              <w:rPr>
                <w:color w:val="404040"/>
                <w:sz w:val="26"/>
              </w:rPr>
              <w:t>42</w:t>
            </w:r>
          </w:p>
          <w:p>
            <w:pPr>
              <w:pStyle w:val="TableParagraph"/>
              <w:spacing w:before="246"/>
              <w:ind w:left="98"/>
              <w:rPr>
                <w:sz w:val="26"/>
              </w:rPr>
            </w:pPr>
            <w:r>
              <w:rPr>
                <w:color w:val="404040"/>
                <w:sz w:val="26"/>
              </w:rPr>
              <w:t>(11,2)</w:t>
            </w:r>
          </w:p>
        </w:tc>
      </w:tr>
      <w:tr>
        <w:trPr>
          <w:trHeight w:val="1442" w:hRule="exact"/>
        </w:trPr>
        <w:tc>
          <w:tcPr>
            <w:tcW w:w="708" w:type="dxa"/>
            <w:tcBorders>
              <w:top w:val="single" w:sz="4" w:space="0" w:color="000000"/>
              <w:bottom w:val="single" w:sz="4" w:space="0" w:color="000000"/>
            </w:tcBorders>
          </w:tcPr>
          <w:p>
            <w:pPr>
              <w:pStyle w:val="TableParagraph"/>
              <w:rPr>
                <w:sz w:val="28"/>
              </w:rPr>
            </w:pPr>
          </w:p>
          <w:p>
            <w:pPr>
              <w:pStyle w:val="TableParagraph"/>
              <w:rPr>
                <w:sz w:val="28"/>
              </w:rPr>
            </w:pPr>
          </w:p>
          <w:p>
            <w:pPr>
              <w:pStyle w:val="TableParagraph"/>
              <w:spacing w:before="10"/>
              <w:rPr>
                <w:sz w:val="37"/>
              </w:rPr>
            </w:pPr>
          </w:p>
          <w:p>
            <w:pPr>
              <w:pStyle w:val="TableParagraph"/>
              <w:ind w:left="98"/>
              <w:rPr>
                <w:sz w:val="26"/>
              </w:rPr>
            </w:pPr>
            <w:r>
              <w:rPr>
                <w:color w:val="404040"/>
                <w:sz w:val="26"/>
              </w:rPr>
              <w:t>II</w:t>
            </w:r>
          </w:p>
        </w:tc>
        <w:tc>
          <w:tcPr>
            <w:tcW w:w="850" w:type="dxa"/>
            <w:tcBorders>
              <w:top w:val="single" w:sz="4" w:space="0" w:color="000000"/>
              <w:bottom w:val="single" w:sz="4" w:space="0" w:color="000000"/>
              <w:right w:val="single" w:sz="4" w:space="0" w:color="000000"/>
            </w:tcBorders>
          </w:tcPr>
          <w:p>
            <w:pPr>
              <w:pStyle w:val="TableParagraph"/>
              <w:rPr>
                <w:sz w:val="28"/>
              </w:rPr>
            </w:pPr>
          </w:p>
          <w:p>
            <w:pPr>
              <w:pStyle w:val="TableParagraph"/>
              <w:spacing w:before="215"/>
              <w:ind w:left="96"/>
              <w:rPr>
                <w:sz w:val="26"/>
              </w:rPr>
            </w:pPr>
            <w:r>
              <w:rPr>
                <w:color w:val="404040"/>
                <w:sz w:val="26"/>
              </w:rPr>
              <w:t>99</w:t>
            </w:r>
          </w:p>
          <w:p>
            <w:pPr>
              <w:pStyle w:val="TableParagraph"/>
              <w:spacing w:before="243"/>
              <w:ind w:left="96"/>
              <w:rPr>
                <w:sz w:val="26"/>
              </w:rPr>
            </w:pPr>
            <w:r>
              <w:rPr>
                <w:color w:val="404040"/>
                <w:sz w:val="26"/>
              </w:rPr>
              <w:t>(41,4)</w:t>
            </w:r>
          </w:p>
        </w:tc>
        <w:tc>
          <w:tcPr>
            <w:tcW w:w="850" w:type="dxa"/>
            <w:tcBorders>
              <w:top w:val="single" w:sz="4" w:space="0" w:color="000000"/>
              <w:left w:val="single" w:sz="4" w:space="0" w:color="000000"/>
              <w:bottom w:val="single" w:sz="4" w:space="0" w:color="000000"/>
            </w:tcBorders>
          </w:tcPr>
          <w:p>
            <w:pPr>
              <w:pStyle w:val="TableParagraph"/>
              <w:rPr>
                <w:sz w:val="28"/>
              </w:rPr>
            </w:pPr>
          </w:p>
          <w:p>
            <w:pPr>
              <w:pStyle w:val="TableParagraph"/>
              <w:spacing w:before="215"/>
              <w:ind w:left="103"/>
              <w:rPr>
                <w:sz w:val="26"/>
              </w:rPr>
            </w:pPr>
            <w:r>
              <w:rPr>
                <w:color w:val="404040"/>
                <w:sz w:val="26"/>
              </w:rPr>
              <w:t>22</w:t>
            </w:r>
          </w:p>
          <w:p>
            <w:pPr>
              <w:pStyle w:val="TableParagraph"/>
              <w:spacing w:before="243"/>
              <w:ind w:left="103"/>
              <w:rPr>
                <w:sz w:val="26"/>
              </w:rPr>
            </w:pPr>
            <w:r>
              <w:rPr>
                <w:color w:val="404040"/>
                <w:sz w:val="26"/>
              </w:rPr>
              <w:t>(22,2)</w:t>
            </w:r>
          </w:p>
        </w:tc>
        <w:tc>
          <w:tcPr>
            <w:tcW w:w="852" w:type="dxa"/>
            <w:tcBorders>
              <w:top w:val="single" w:sz="4" w:space="0" w:color="000000"/>
              <w:bottom w:val="single" w:sz="4" w:space="0" w:color="000000"/>
              <w:right w:val="single" w:sz="4" w:space="0" w:color="000000"/>
            </w:tcBorders>
          </w:tcPr>
          <w:p>
            <w:pPr>
              <w:pStyle w:val="TableParagraph"/>
              <w:rPr>
                <w:sz w:val="28"/>
              </w:rPr>
            </w:pPr>
          </w:p>
          <w:p>
            <w:pPr>
              <w:pStyle w:val="TableParagraph"/>
              <w:spacing w:before="215"/>
              <w:ind w:left="98"/>
              <w:rPr>
                <w:sz w:val="26"/>
              </w:rPr>
            </w:pPr>
            <w:r>
              <w:rPr>
                <w:color w:val="404040"/>
                <w:sz w:val="26"/>
              </w:rPr>
              <w:t>155</w:t>
            </w:r>
          </w:p>
          <w:p>
            <w:pPr>
              <w:pStyle w:val="TableParagraph"/>
              <w:spacing w:before="44"/>
              <w:ind w:left="98"/>
              <w:rPr>
                <w:sz w:val="26"/>
              </w:rPr>
            </w:pPr>
            <w:r>
              <w:rPr>
                <w:sz w:val="26"/>
              </w:rPr>
              <w:t>(44,4)</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rPr>
                <w:sz w:val="28"/>
              </w:rPr>
            </w:pPr>
          </w:p>
          <w:p>
            <w:pPr>
              <w:pStyle w:val="TableParagraph"/>
              <w:spacing w:before="215"/>
              <w:ind w:left="103"/>
              <w:rPr>
                <w:sz w:val="26"/>
              </w:rPr>
            </w:pPr>
            <w:r>
              <w:rPr>
                <w:color w:val="404040"/>
                <w:sz w:val="26"/>
              </w:rPr>
              <w:t>44</w:t>
            </w:r>
          </w:p>
          <w:p>
            <w:pPr>
              <w:pStyle w:val="TableParagraph"/>
              <w:spacing w:before="44"/>
              <w:ind w:left="103"/>
              <w:rPr>
                <w:sz w:val="26"/>
              </w:rPr>
            </w:pPr>
            <w:r>
              <w:rPr>
                <w:sz w:val="26"/>
              </w:rPr>
              <w:t>(28,3)</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sz w:val="28"/>
              </w:rPr>
            </w:pPr>
          </w:p>
          <w:p>
            <w:pPr>
              <w:pStyle w:val="TableParagraph"/>
              <w:spacing w:before="215"/>
              <w:ind w:left="103"/>
              <w:rPr>
                <w:sz w:val="26"/>
              </w:rPr>
            </w:pPr>
            <w:r>
              <w:rPr>
                <w:color w:val="404040"/>
                <w:sz w:val="26"/>
              </w:rPr>
              <w:t>75</w:t>
            </w:r>
          </w:p>
          <w:p>
            <w:pPr>
              <w:pStyle w:val="TableParagraph"/>
              <w:spacing w:before="243"/>
              <w:ind w:left="103"/>
              <w:rPr>
                <w:sz w:val="26"/>
              </w:rPr>
            </w:pPr>
            <w:r>
              <w:rPr>
                <w:color w:val="404040"/>
                <w:sz w:val="26"/>
              </w:rPr>
              <w:t>(47,2)</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rPr>
                <w:sz w:val="28"/>
              </w:rPr>
            </w:pPr>
          </w:p>
          <w:p>
            <w:pPr>
              <w:pStyle w:val="TableParagraph"/>
              <w:spacing w:before="215"/>
              <w:ind w:left="103"/>
              <w:rPr>
                <w:sz w:val="26"/>
              </w:rPr>
            </w:pPr>
            <w:r>
              <w:rPr>
                <w:color w:val="404040"/>
                <w:sz w:val="26"/>
              </w:rPr>
              <w:t>16</w:t>
            </w:r>
          </w:p>
          <w:p>
            <w:pPr>
              <w:pStyle w:val="TableParagraph"/>
              <w:spacing w:before="243"/>
              <w:ind w:left="103"/>
              <w:rPr>
                <w:sz w:val="26"/>
              </w:rPr>
            </w:pPr>
            <w:r>
              <w:rPr>
                <w:color w:val="404040"/>
                <w:sz w:val="26"/>
              </w:rPr>
              <w:t>(21,3)</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rPr>
                <w:sz w:val="28"/>
              </w:rPr>
            </w:pPr>
          </w:p>
          <w:p>
            <w:pPr>
              <w:pStyle w:val="TableParagraph"/>
              <w:spacing w:before="215"/>
              <w:ind w:left="103"/>
              <w:rPr>
                <w:sz w:val="26"/>
              </w:rPr>
            </w:pPr>
            <w:r>
              <w:rPr>
                <w:color w:val="404040"/>
                <w:sz w:val="26"/>
              </w:rPr>
              <w:t>224</w:t>
            </w:r>
          </w:p>
          <w:p>
            <w:pPr>
              <w:pStyle w:val="TableParagraph"/>
              <w:spacing w:before="243"/>
              <w:ind w:left="103"/>
              <w:rPr>
                <w:sz w:val="26"/>
              </w:rPr>
            </w:pPr>
            <w:r>
              <w:rPr>
                <w:color w:val="404040"/>
                <w:sz w:val="26"/>
              </w:rPr>
              <w:t>(51,1)</w:t>
            </w:r>
          </w:p>
        </w:tc>
        <w:tc>
          <w:tcPr>
            <w:tcW w:w="961" w:type="dxa"/>
            <w:tcBorders>
              <w:top w:val="single" w:sz="4" w:space="0" w:color="000000"/>
              <w:left w:val="single" w:sz="4" w:space="0" w:color="000000"/>
              <w:bottom w:val="single" w:sz="4" w:space="0" w:color="000000"/>
              <w:right w:val="single" w:sz="4" w:space="0" w:color="000000"/>
            </w:tcBorders>
          </w:tcPr>
          <w:p>
            <w:pPr>
              <w:pStyle w:val="TableParagraph"/>
              <w:rPr>
                <w:sz w:val="28"/>
              </w:rPr>
            </w:pPr>
          </w:p>
          <w:p>
            <w:pPr>
              <w:pStyle w:val="TableParagraph"/>
              <w:spacing w:before="215"/>
              <w:ind w:left="103"/>
              <w:rPr>
                <w:sz w:val="26"/>
              </w:rPr>
            </w:pPr>
            <w:r>
              <w:rPr>
                <w:color w:val="404040"/>
                <w:sz w:val="26"/>
              </w:rPr>
              <w:t>56</w:t>
            </w:r>
          </w:p>
          <w:p>
            <w:pPr>
              <w:pStyle w:val="TableParagraph"/>
              <w:spacing w:before="243"/>
              <w:ind w:left="103"/>
              <w:rPr>
                <w:sz w:val="26"/>
              </w:rPr>
            </w:pPr>
            <w:r>
              <w:rPr>
                <w:color w:val="404040"/>
                <w:sz w:val="26"/>
              </w:rPr>
              <w:t>(25,0)</w:t>
            </w:r>
          </w:p>
        </w:tc>
        <w:tc>
          <w:tcPr>
            <w:tcW w:w="710" w:type="dxa"/>
            <w:tcBorders>
              <w:top w:val="single" w:sz="4" w:space="0" w:color="000000"/>
              <w:left w:val="single" w:sz="4" w:space="0" w:color="000000"/>
              <w:bottom w:val="single" w:sz="4" w:space="0" w:color="000000"/>
            </w:tcBorders>
          </w:tcPr>
          <w:p>
            <w:pPr>
              <w:pStyle w:val="TableParagraph"/>
              <w:spacing w:before="191"/>
              <w:ind w:left="103"/>
              <w:rPr>
                <w:sz w:val="26"/>
              </w:rPr>
            </w:pPr>
            <w:r>
              <w:rPr>
                <w:color w:val="404040"/>
                <w:sz w:val="26"/>
              </w:rPr>
              <w:t>553</w:t>
            </w:r>
          </w:p>
          <w:p>
            <w:pPr>
              <w:pStyle w:val="TableParagraph"/>
              <w:spacing w:before="245"/>
              <w:ind w:left="103"/>
              <w:rPr>
                <w:sz w:val="26"/>
              </w:rPr>
            </w:pPr>
            <w:r>
              <w:rPr>
                <w:color w:val="404040"/>
                <w:sz w:val="26"/>
              </w:rPr>
              <w:t>(46,</w:t>
            </w:r>
          </w:p>
          <w:p>
            <w:pPr>
              <w:pStyle w:val="TableParagraph"/>
              <w:spacing w:before="46"/>
              <w:ind w:left="103"/>
              <w:rPr>
                <w:sz w:val="26"/>
              </w:rPr>
            </w:pPr>
            <w:r>
              <w:rPr>
                <w:color w:val="404040"/>
                <w:sz w:val="26"/>
              </w:rPr>
              <w:t>7)</w:t>
            </w:r>
          </w:p>
        </w:tc>
        <w:tc>
          <w:tcPr>
            <w:tcW w:w="850" w:type="dxa"/>
            <w:tcBorders>
              <w:top w:val="single" w:sz="4" w:space="0" w:color="000000"/>
              <w:bottom w:val="single" w:sz="4" w:space="0" w:color="000000"/>
            </w:tcBorders>
          </w:tcPr>
          <w:p>
            <w:pPr>
              <w:pStyle w:val="TableParagraph"/>
              <w:rPr>
                <w:sz w:val="28"/>
              </w:rPr>
            </w:pPr>
          </w:p>
          <w:p>
            <w:pPr>
              <w:pStyle w:val="TableParagraph"/>
              <w:spacing w:before="215"/>
              <w:ind w:left="98"/>
              <w:rPr>
                <w:sz w:val="26"/>
              </w:rPr>
            </w:pPr>
            <w:r>
              <w:rPr>
                <w:color w:val="404040"/>
                <w:sz w:val="26"/>
              </w:rPr>
              <w:t>138</w:t>
            </w:r>
          </w:p>
          <w:p>
            <w:pPr>
              <w:pStyle w:val="TableParagraph"/>
              <w:spacing w:before="243"/>
              <w:ind w:left="98"/>
              <w:rPr>
                <w:sz w:val="26"/>
              </w:rPr>
            </w:pPr>
            <w:r>
              <w:rPr>
                <w:color w:val="404040"/>
                <w:sz w:val="26"/>
              </w:rPr>
              <w:t>(24,9)</w:t>
            </w:r>
          </w:p>
        </w:tc>
      </w:tr>
      <w:tr>
        <w:trPr>
          <w:trHeight w:val="1646" w:hRule="exact"/>
        </w:trPr>
        <w:tc>
          <w:tcPr>
            <w:tcW w:w="708" w:type="dxa"/>
            <w:tcBorders>
              <w:top w:val="single" w:sz="4" w:space="0" w:color="000000"/>
            </w:tcBorders>
          </w:tcPr>
          <w:p>
            <w:pPr>
              <w:pStyle w:val="TableParagraph"/>
              <w:rPr>
                <w:sz w:val="28"/>
              </w:rPr>
            </w:pPr>
          </w:p>
          <w:p>
            <w:pPr>
              <w:pStyle w:val="TableParagraph"/>
              <w:rPr>
                <w:sz w:val="28"/>
              </w:rPr>
            </w:pPr>
          </w:p>
          <w:p>
            <w:pPr>
              <w:pStyle w:val="TableParagraph"/>
              <w:rPr>
                <w:sz w:val="28"/>
              </w:rPr>
            </w:pPr>
          </w:p>
          <w:p>
            <w:pPr>
              <w:pStyle w:val="TableParagraph"/>
              <w:spacing w:before="2"/>
              <w:rPr>
                <w:sz w:val="27"/>
              </w:rPr>
            </w:pPr>
          </w:p>
          <w:p>
            <w:pPr>
              <w:pStyle w:val="TableParagraph"/>
              <w:ind w:left="98"/>
              <w:rPr>
                <w:sz w:val="26"/>
              </w:rPr>
            </w:pPr>
            <w:r>
              <w:rPr>
                <w:color w:val="404040"/>
                <w:sz w:val="26"/>
              </w:rPr>
              <w:t>III</w:t>
            </w:r>
          </w:p>
        </w:tc>
        <w:tc>
          <w:tcPr>
            <w:tcW w:w="850" w:type="dxa"/>
            <w:tcBorders>
              <w:top w:val="single" w:sz="4" w:space="0" w:color="000000"/>
              <w:right w:val="single" w:sz="4" w:space="0" w:color="000000"/>
            </w:tcBorders>
          </w:tcPr>
          <w:p>
            <w:pPr>
              <w:pStyle w:val="TableParagraph"/>
              <w:rPr>
                <w:sz w:val="28"/>
              </w:rPr>
            </w:pPr>
          </w:p>
          <w:p>
            <w:pPr>
              <w:pStyle w:val="TableParagraph"/>
              <w:rPr>
                <w:sz w:val="36"/>
              </w:rPr>
            </w:pPr>
          </w:p>
          <w:p>
            <w:pPr>
              <w:pStyle w:val="TableParagraph"/>
              <w:ind w:left="96"/>
              <w:rPr>
                <w:sz w:val="26"/>
              </w:rPr>
            </w:pPr>
            <w:r>
              <w:rPr>
                <w:color w:val="404040"/>
                <w:sz w:val="26"/>
              </w:rPr>
              <w:t>52</w:t>
            </w:r>
          </w:p>
          <w:p>
            <w:pPr>
              <w:pStyle w:val="TableParagraph"/>
              <w:spacing w:before="243"/>
              <w:ind w:left="96"/>
              <w:rPr>
                <w:sz w:val="26"/>
              </w:rPr>
            </w:pPr>
            <w:r>
              <w:rPr>
                <w:color w:val="404040"/>
                <w:sz w:val="26"/>
              </w:rPr>
              <w:t>(21,8)</w:t>
            </w:r>
          </w:p>
        </w:tc>
        <w:tc>
          <w:tcPr>
            <w:tcW w:w="850" w:type="dxa"/>
            <w:tcBorders>
              <w:top w:val="single" w:sz="4" w:space="0" w:color="000000"/>
              <w:left w:val="single" w:sz="4" w:space="0" w:color="000000"/>
            </w:tcBorders>
          </w:tcPr>
          <w:p>
            <w:pPr>
              <w:pStyle w:val="TableParagraph"/>
              <w:rPr>
                <w:sz w:val="28"/>
              </w:rPr>
            </w:pPr>
          </w:p>
          <w:p>
            <w:pPr>
              <w:pStyle w:val="TableParagraph"/>
              <w:rPr>
                <w:sz w:val="36"/>
              </w:rPr>
            </w:pPr>
          </w:p>
          <w:p>
            <w:pPr>
              <w:pStyle w:val="TableParagraph"/>
              <w:ind w:left="103"/>
              <w:rPr>
                <w:sz w:val="26"/>
              </w:rPr>
            </w:pPr>
            <w:r>
              <w:rPr>
                <w:color w:val="404040"/>
                <w:sz w:val="26"/>
              </w:rPr>
              <w:t>13</w:t>
            </w:r>
          </w:p>
          <w:p>
            <w:pPr>
              <w:pStyle w:val="TableParagraph"/>
              <w:spacing w:before="243"/>
              <w:ind w:left="103"/>
              <w:rPr>
                <w:sz w:val="26"/>
              </w:rPr>
            </w:pPr>
            <w:r>
              <w:rPr>
                <w:color w:val="404040"/>
                <w:sz w:val="26"/>
              </w:rPr>
              <w:t>(25,0)</w:t>
            </w:r>
          </w:p>
        </w:tc>
        <w:tc>
          <w:tcPr>
            <w:tcW w:w="852" w:type="dxa"/>
            <w:tcBorders>
              <w:top w:val="single" w:sz="4" w:space="0" w:color="000000"/>
              <w:right w:val="single" w:sz="4" w:space="0" w:color="000000"/>
            </w:tcBorders>
          </w:tcPr>
          <w:p>
            <w:pPr>
              <w:pStyle w:val="TableParagraph"/>
              <w:rPr>
                <w:sz w:val="28"/>
              </w:rPr>
            </w:pPr>
          </w:p>
          <w:p>
            <w:pPr>
              <w:pStyle w:val="TableParagraph"/>
              <w:rPr>
                <w:sz w:val="36"/>
              </w:rPr>
            </w:pPr>
          </w:p>
          <w:p>
            <w:pPr>
              <w:pStyle w:val="TableParagraph"/>
              <w:ind w:left="98"/>
              <w:rPr>
                <w:sz w:val="26"/>
              </w:rPr>
            </w:pPr>
            <w:r>
              <w:rPr>
                <w:color w:val="404040"/>
                <w:sz w:val="26"/>
              </w:rPr>
              <w:t>68</w:t>
            </w:r>
          </w:p>
          <w:p>
            <w:pPr>
              <w:pStyle w:val="TableParagraph"/>
              <w:spacing w:before="43"/>
              <w:ind w:left="98"/>
              <w:rPr>
                <w:sz w:val="26"/>
              </w:rPr>
            </w:pPr>
            <w:r>
              <w:rPr>
                <w:sz w:val="26"/>
              </w:rPr>
              <w:t>(19,5)</w:t>
            </w:r>
          </w:p>
        </w:tc>
        <w:tc>
          <w:tcPr>
            <w:tcW w:w="850" w:type="dxa"/>
            <w:tcBorders>
              <w:top w:val="single" w:sz="4" w:space="0" w:color="000000"/>
              <w:left w:val="single" w:sz="4" w:space="0" w:color="000000"/>
              <w:right w:val="single" w:sz="4" w:space="0" w:color="000000"/>
            </w:tcBorders>
          </w:tcPr>
          <w:p>
            <w:pPr>
              <w:pStyle w:val="TableParagraph"/>
              <w:spacing w:before="191"/>
              <w:ind w:left="103"/>
              <w:rPr>
                <w:sz w:val="26"/>
              </w:rPr>
            </w:pPr>
            <w:r>
              <w:rPr>
                <w:color w:val="404040"/>
                <w:sz w:val="26"/>
              </w:rPr>
              <w:t>36</w:t>
            </w:r>
          </w:p>
          <w:p>
            <w:pPr>
              <w:pStyle w:val="TableParagraph"/>
              <w:spacing w:before="46"/>
              <w:ind w:left="103"/>
              <w:rPr>
                <w:sz w:val="26"/>
              </w:rPr>
            </w:pPr>
            <w:r>
              <w:rPr>
                <w:sz w:val="26"/>
              </w:rPr>
              <w:t>(52,9)</w:t>
            </w:r>
          </w:p>
        </w:tc>
        <w:tc>
          <w:tcPr>
            <w:tcW w:w="852" w:type="dxa"/>
            <w:tcBorders>
              <w:top w:val="single" w:sz="4" w:space="0" w:color="000000"/>
              <w:left w:val="single" w:sz="4" w:space="0" w:color="000000"/>
              <w:right w:val="single" w:sz="4" w:space="0" w:color="000000"/>
            </w:tcBorders>
          </w:tcPr>
          <w:p>
            <w:pPr>
              <w:pStyle w:val="TableParagraph"/>
              <w:rPr>
                <w:sz w:val="28"/>
              </w:rPr>
            </w:pPr>
          </w:p>
          <w:p>
            <w:pPr>
              <w:pStyle w:val="TableParagraph"/>
              <w:rPr>
                <w:sz w:val="36"/>
              </w:rPr>
            </w:pPr>
          </w:p>
          <w:p>
            <w:pPr>
              <w:pStyle w:val="TableParagraph"/>
              <w:ind w:left="103"/>
              <w:rPr>
                <w:sz w:val="26"/>
              </w:rPr>
            </w:pPr>
            <w:r>
              <w:rPr>
                <w:color w:val="404040"/>
                <w:sz w:val="26"/>
              </w:rPr>
              <w:t>39</w:t>
            </w:r>
          </w:p>
          <w:p>
            <w:pPr>
              <w:pStyle w:val="TableParagraph"/>
              <w:spacing w:before="243"/>
              <w:ind w:left="103"/>
              <w:rPr>
                <w:sz w:val="26"/>
              </w:rPr>
            </w:pPr>
            <w:r>
              <w:rPr>
                <w:color w:val="404040"/>
                <w:sz w:val="26"/>
              </w:rPr>
              <w:t>(24,5)</w:t>
            </w:r>
          </w:p>
        </w:tc>
        <w:tc>
          <w:tcPr>
            <w:tcW w:w="850" w:type="dxa"/>
            <w:tcBorders>
              <w:top w:val="single" w:sz="4" w:space="0" w:color="000000"/>
              <w:left w:val="single" w:sz="4" w:space="0" w:color="000000"/>
              <w:right w:val="single" w:sz="4" w:space="0" w:color="000000"/>
            </w:tcBorders>
          </w:tcPr>
          <w:p>
            <w:pPr>
              <w:pStyle w:val="TableParagraph"/>
              <w:rPr>
                <w:sz w:val="28"/>
              </w:rPr>
            </w:pPr>
          </w:p>
          <w:p>
            <w:pPr>
              <w:pStyle w:val="TableParagraph"/>
              <w:rPr>
                <w:sz w:val="36"/>
              </w:rPr>
            </w:pPr>
          </w:p>
          <w:p>
            <w:pPr>
              <w:pStyle w:val="TableParagraph"/>
              <w:ind w:left="103"/>
              <w:rPr>
                <w:sz w:val="26"/>
              </w:rPr>
            </w:pPr>
            <w:r>
              <w:rPr>
                <w:color w:val="404040"/>
                <w:sz w:val="26"/>
              </w:rPr>
              <w:t>15</w:t>
            </w:r>
          </w:p>
          <w:p>
            <w:pPr>
              <w:pStyle w:val="TableParagraph"/>
              <w:spacing w:before="243"/>
              <w:ind w:left="103"/>
              <w:rPr>
                <w:sz w:val="26"/>
              </w:rPr>
            </w:pPr>
            <w:r>
              <w:rPr>
                <w:color w:val="404040"/>
                <w:sz w:val="26"/>
              </w:rPr>
              <w:t>(38,4)</w:t>
            </w:r>
          </w:p>
        </w:tc>
        <w:tc>
          <w:tcPr>
            <w:tcW w:w="850" w:type="dxa"/>
            <w:tcBorders>
              <w:top w:val="single" w:sz="4" w:space="0" w:color="000000"/>
              <w:left w:val="single" w:sz="4" w:space="0" w:color="000000"/>
              <w:right w:val="single" w:sz="4" w:space="0" w:color="000000"/>
            </w:tcBorders>
          </w:tcPr>
          <w:p>
            <w:pPr>
              <w:pStyle w:val="TableParagraph"/>
              <w:rPr>
                <w:sz w:val="28"/>
              </w:rPr>
            </w:pPr>
          </w:p>
          <w:p>
            <w:pPr>
              <w:pStyle w:val="TableParagraph"/>
              <w:rPr>
                <w:sz w:val="36"/>
              </w:rPr>
            </w:pPr>
          </w:p>
          <w:p>
            <w:pPr>
              <w:pStyle w:val="TableParagraph"/>
              <w:ind w:left="103"/>
              <w:rPr>
                <w:sz w:val="26"/>
              </w:rPr>
            </w:pPr>
            <w:r>
              <w:rPr>
                <w:color w:val="404040"/>
                <w:sz w:val="26"/>
              </w:rPr>
              <w:t>99</w:t>
            </w:r>
          </w:p>
          <w:p>
            <w:pPr>
              <w:pStyle w:val="TableParagraph"/>
              <w:spacing w:before="243"/>
              <w:ind w:left="103"/>
              <w:rPr>
                <w:sz w:val="26"/>
              </w:rPr>
            </w:pPr>
            <w:r>
              <w:rPr>
                <w:color w:val="404040"/>
                <w:sz w:val="26"/>
              </w:rPr>
              <w:t>(22,6)</w:t>
            </w:r>
          </w:p>
        </w:tc>
        <w:tc>
          <w:tcPr>
            <w:tcW w:w="961" w:type="dxa"/>
            <w:tcBorders>
              <w:top w:val="single" w:sz="4" w:space="0" w:color="000000"/>
              <w:left w:val="single" w:sz="4" w:space="0" w:color="000000"/>
              <w:right w:val="single" w:sz="4" w:space="0" w:color="000000"/>
            </w:tcBorders>
          </w:tcPr>
          <w:p>
            <w:pPr>
              <w:pStyle w:val="TableParagraph"/>
              <w:rPr>
                <w:sz w:val="28"/>
              </w:rPr>
            </w:pPr>
          </w:p>
          <w:p>
            <w:pPr>
              <w:pStyle w:val="TableParagraph"/>
              <w:rPr>
                <w:sz w:val="36"/>
              </w:rPr>
            </w:pPr>
          </w:p>
          <w:p>
            <w:pPr>
              <w:pStyle w:val="TableParagraph"/>
              <w:ind w:left="103"/>
              <w:rPr>
                <w:sz w:val="26"/>
              </w:rPr>
            </w:pPr>
            <w:r>
              <w:rPr>
                <w:color w:val="404040"/>
                <w:sz w:val="26"/>
              </w:rPr>
              <w:t>15</w:t>
            </w:r>
          </w:p>
          <w:p>
            <w:pPr>
              <w:pStyle w:val="TableParagraph"/>
              <w:spacing w:before="243"/>
              <w:ind w:left="103"/>
              <w:rPr>
                <w:sz w:val="26"/>
              </w:rPr>
            </w:pPr>
            <w:r>
              <w:rPr>
                <w:color w:val="404040"/>
                <w:sz w:val="26"/>
              </w:rPr>
              <w:t>(15,2)</w:t>
            </w:r>
          </w:p>
        </w:tc>
        <w:tc>
          <w:tcPr>
            <w:tcW w:w="710" w:type="dxa"/>
            <w:tcBorders>
              <w:top w:val="single" w:sz="4" w:space="0" w:color="000000"/>
              <w:left w:val="single" w:sz="4" w:space="0" w:color="000000"/>
            </w:tcBorders>
          </w:tcPr>
          <w:p>
            <w:pPr>
              <w:pStyle w:val="TableParagraph"/>
              <w:spacing w:before="11"/>
              <w:rPr>
                <w:sz w:val="33"/>
              </w:rPr>
            </w:pPr>
          </w:p>
          <w:p>
            <w:pPr>
              <w:pStyle w:val="TableParagraph"/>
              <w:ind w:left="103"/>
              <w:rPr>
                <w:sz w:val="26"/>
              </w:rPr>
            </w:pPr>
            <w:r>
              <w:rPr>
                <w:color w:val="404040"/>
                <w:sz w:val="26"/>
              </w:rPr>
              <w:t>258</w:t>
            </w:r>
          </w:p>
          <w:p>
            <w:pPr>
              <w:pStyle w:val="TableParagraph"/>
              <w:spacing w:before="245"/>
              <w:ind w:left="103"/>
              <w:rPr>
                <w:sz w:val="26"/>
              </w:rPr>
            </w:pPr>
            <w:r>
              <w:rPr>
                <w:color w:val="404040"/>
                <w:sz w:val="26"/>
              </w:rPr>
              <w:t>(21,</w:t>
            </w:r>
          </w:p>
          <w:p>
            <w:pPr>
              <w:pStyle w:val="TableParagraph"/>
              <w:spacing w:before="46"/>
              <w:ind w:left="103"/>
              <w:rPr>
                <w:sz w:val="26"/>
              </w:rPr>
            </w:pPr>
            <w:r>
              <w:rPr>
                <w:color w:val="404040"/>
                <w:sz w:val="26"/>
              </w:rPr>
              <w:t>8)</w:t>
            </w:r>
          </w:p>
        </w:tc>
        <w:tc>
          <w:tcPr>
            <w:tcW w:w="850" w:type="dxa"/>
            <w:tcBorders>
              <w:top w:val="single" w:sz="4" w:space="0" w:color="000000"/>
            </w:tcBorders>
          </w:tcPr>
          <w:p>
            <w:pPr>
              <w:pStyle w:val="TableParagraph"/>
              <w:rPr>
                <w:sz w:val="28"/>
              </w:rPr>
            </w:pPr>
          </w:p>
          <w:p>
            <w:pPr>
              <w:pStyle w:val="TableParagraph"/>
              <w:rPr>
                <w:sz w:val="36"/>
              </w:rPr>
            </w:pPr>
          </w:p>
          <w:p>
            <w:pPr>
              <w:pStyle w:val="TableParagraph"/>
              <w:ind w:left="98"/>
              <w:rPr>
                <w:sz w:val="26"/>
              </w:rPr>
            </w:pPr>
            <w:r>
              <w:rPr>
                <w:color w:val="404040"/>
                <w:sz w:val="26"/>
              </w:rPr>
              <w:t>79</w:t>
            </w:r>
          </w:p>
          <w:p>
            <w:pPr>
              <w:pStyle w:val="TableParagraph"/>
              <w:spacing w:before="243"/>
              <w:ind w:left="98"/>
              <w:rPr>
                <w:sz w:val="26"/>
              </w:rPr>
            </w:pPr>
            <w:r>
              <w:rPr>
                <w:color w:val="404040"/>
                <w:sz w:val="26"/>
              </w:rPr>
              <w:t>(30,6)</w:t>
            </w:r>
          </w:p>
        </w:tc>
      </w:tr>
    </w:tbl>
    <w:p>
      <w:pPr>
        <w:spacing w:after="0"/>
        <w:rPr>
          <w:sz w:val="26"/>
        </w:rPr>
        <w:sectPr>
          <w:pgSz w:w="11900" w:h="16850"/>
          <w:pgMar w:header="712" w:footer="0" w:top="1020" w:bottom="280" w:left="1500" w:right="960"/>
        </w:sectPr>
      </w:pPr>
    </w:p>
    <w:p>
      <w:pPr>
        <w:pStyle w:val="BodyText"/>
        <w:rPr>
          <w:sz w:val="20"/>
        </w:rPr>
      </w:pPr>
    </w:p>
    <w:p>
      <w:pPr>
        <w:pStyle w:val="BodyText"/>
        <w:rPr>
          <w:sz w:val="20"/>
        </w:rPr>
      </w:pPr>
    </w:p>
    <w:p>
      <w:pPr>
        <w:pStyle w:val="BodyText"/>
        <w:spacing w:line="360" w:lineRule="auto" w:before="224"/>
        <w:ind w:left="122" w:right="106" w:firstLine="707"/>
        <w:jc w:val="both"/>
      </w:pPr>
      <w:r>
        <w:rPr>
          <w:spacing w:val="5"/>
        </w:rPr>
        <w:t>Общее </w:t>
      </w:r>
      <w:r>
        <w:rPr>
          <w:spacing w:val="4"/>
        </w:rPr>
        <w:t>число </w:t>
      </w:r>
      <w:r>
        <w:rPr>
          <w:spacing w:val="5"/>
        </w:rPr>
        <w:t>больных </w:t>
      </w:r>
      <w:r>
        <w:rPr/>
        <w:t>I </w:t>
      </w:r>
      <w:r>
        <w:rPr>
          <w:spacing w:val="4"/>
        </w:rPr>
        <w:t>стадии </w:t>
      </w:r>
      <w:r>
        <w:rPr>
          <w:spacing w:val="5"/>
        </w:rPr>
        <w:t>составило </w:t>
      </w:r>
      <w:r>
        <w:rPr>
          <w:spacing w:val="3"/>
        </w:rPr>
        <w:t>374 </w:t>
      </w:r>
      <w:r>
        <w:rPr>
          <w:spacing w:val="5"/>
        </w:rPr>
        <w:t>(31,6%), </w:t>
      </w:r>
      <w:r>
        <w:rPr>
          <w:spacing w:val="3"/>
        </w:rPr>
        <w:t>II </w:t>
      </w:r>
      <w:r>
        <w:rPr>
          <w:spacing w:val="4"/>
        </w:rPr>
        <w:t>стадии </w:t>
      </w:r>
      <w:r>
        <w:rPr/>
        <w:t>- </w:t>
      </w:r>
      <w:r>
        <w:rPr>
          <w:spacing w:val="4"/>
        </w:rPr>
        <w:t>553 </w:t>
      </w:r>
      <w:r>
        <w:rPr>
          <w:spacing w:val="5"/>
        </w:rPr>
        <w:t>(46,7%), </w:t>
      </w:r>
      <w:r>
        <w:rPr>
          <w:spacing w:val="3"/>
        </w:rPr>
        <w:t>III </w:t>
      </w:r>
      <w:r>
        <w:rPr>
          <w:spacing w:val="5"/>
        </w:rPr>
        <w:t>стадии </w:t>
      </w:r>
      <w:r>
        <w:rPr/>
        <w:t>- </w:t>
      </w:r>
      <w:r>
        <w:rPr>
          <w:spacing w:val="4"/>
        </w:rPr>
        <w:t>258 (21,8%). </w:t>
      </w:r>
      <w:r>
        <w:rPr>
          <w:spacing w:val="5"/>
        </w:rPr>
        <w:t>Частота рецидивов нарастала </w:t>
      </w:r>
      <w:r>
        <w:rPr>
          <w:spacing w:val="4"/>
        </w:rPr>
        <w:t>от </w:t>
      </w:r>
      <w:r>
        <w:rPr>
          <w:spacing w:val="5"/>
        </w:rPr>
        <w:t>11% </w:t>
      </w:r>
      <w:r>
        <w:rPr>
          <w:spacing w:val="4"/>
        </w:rPr>
        <w:t>при </w:t>
      </w:r>
      <w:r>
        <w:rPr/>
        <w:t>I </w:t>
      </w:r>
      <w:r>
        <w:rPr>
          <w:spacing w:val="4"/>
        </w:rPr>
        <w:t>стадии </w:t>
      </w:r>
      <w:r>
        <w:rPr>
          <w:spacing w:val="3"/>
        </w:rPr>
        <w:t>до </w:t>
      </w:r>
      <w:r>
        <w:rPr>
          <w:spacing w:val="4"/>
        </w:rPr>
        <w:t>30% </w:t>
      </w:r>
      <w:r>
        <w:rPr>
          <w:spacing w:val="3"/>
        </w:rPr>
        <w:t>при </w:t>
      </w:r>
      <w:r>
        <w:rPr>
          <w:spacing w:val="5"/>
        </w:rPr>
        <w:t>III. </w:t>
      </w:r>
      <w:r>
        <w:rPr>
          <w:spacing w:val="4"/>
        </w:rPr>
        <w:t>Всего </w:t>
      </w:r>
      <w:r>
        <w:rPr>
          <w:spacing w:val="3"/>
        </w:rPr>
        <w:t>же </w:t>
      </w:r>
      <w:r>
        <w:rPr>
          <w:spacing w:val="4"/>
        </w:rPr>
        <w:t>рецидивы </w:t>
      </w:r>
      <w:r>
        <w:rPr>
          <w:spacing w:val="6"/>
        </w:rPr>
        <w:t>заболевания </w:t>
      </w:r>
      <w:r>
        <w:rPr>
          <w:spacing w:val="5"/>
        </w:rPr>
        <w:t>диагностированы </w:t>
      </w:r>
      <w:r>
        <w:rPr/>
        <w:t>у </w:t>
      </w:r>
      <w:r>
        <w:rPr>
          <w:spacing w:val="3"/>
        </w:rPr>
        <w:t>259 </w:t>
      </w:r>
      <w:r>
        <w:rPr>
          <w:spacing w:val="5"/>
        </w:rPr>
        <w:t>больных, </w:t>
      </w:r>
      <w:r>
        <w:rPr>
          <w:spacing w:val="3"/>
        </w:rPr>
        <w:t>что </w:t>
      </w:r>
      <w:r>
        <w:rPr>
          <w:spacing w:val="5"/>
        </w:rPr>
        <w:t>составило 21,9%. </w:t>
      </w:r>
      <w:r>
        <w:rPr>
          <w:spacing w:val="4"/>
        </w:rPr>
        <w:t>Нам </w:t>
      </w:r>
      <w:r>
        <w:rPr>
          <w:spacing w:val="2"/>
        </w:rPr>
        <w:t>не </w:t>
      </w:r>
      <w:r>
        <w:rPr>
          <w:spacing w:val="4"/>
        </w:rPr>
        <w:t>удалось </w:t>
      </w:r>
      <w:r>
        <w:rPr>
          <w:spacing w:val="5"/>
        </w:rPr>
        <w:t>обнаружить какой-либо отчетливой тенденции </w:t>
      </w:r>
      <w:r>
        <w:rPr/>
        <w:t>к </w:t>
      </w:r>
      <w:r>
        <w:rPr>
          <w:spacing w:val="2"/>
        </w:rPr>
        <w:t>их </w:t>
      </w:r>
      <w:r>
        <w:rPr>
          <w:spacing w:val="5"/>
        </w:rPr>
        <w:t>снижению </w:t>
      </w:r>
      <w:r>
        <w:rPr>
          <w:spacing w:val="2"/>
        </w:rPr>
        <w:t>на </w:t>
      </w:r>
      <w:r>
        <w:rPr>
          <w:spacing w:val="5"/>
        </w:rPr>
        <w:t>протяжении последних </w:t>
      </w:r>
      <w:r>
        <w:rPr>
          <w:spacing w:val="2"/>
        </w:rPr>
        <w:t>20 </w:t>
      </w:r>
      <w:r>
        <w:rPr>
          <w:spacing w:val="4"/>
        </w:rPr>
        <w:t>лет. </w:t>
      </w:r>
      <w:r>
        <w:rPr>
          <w:spacing w:val="5"/>
        </w:rPr>
        <w:t>Подавляющее </w:t>
      </w:r>
      <w:r>
        <w:rPr>
          <w:spacing w:val="4"/>
        </w:rPr>
        <w:t>число </w:t>
      </w:r>
      <w:r>
        <w:rPr>
          <w:spacing w:val="5"/>
        </w:rPr>
        <w:t>рецидивов  развилось </w:t>
      </w:r>
      <w:r>
        <w:rPr/>
        <w:t>в </w:t>
      </w:r>
      <w:r>
        <w:rPr>
          <w:spacing w:val="4"/>
        </w:rPr>
        <w:t>течение первых двух лет </w:t>
      </w:r>
      <w:r>
        <w:rPr>
          <w:spacing w:val="15"/>
        </w:rPr>
        <w:t> </w:t>
      </w:r>
      <w:r>
        <w:rPr>
          <w:spacing w:val="5"/>
        </w:rPr>
        <w:t>наблюдения.</w:t>
      </w:r>
    </w:p>
    <w:p>
      <w:pPr>
        <w:pStyle w:val="BodyText"/>
        <w:tabs>
          <w:tab w:pos="1818" w:val="left" w:leader="none"/>
          <w:tab w:pos="2682" w:val="left" w:leader="none"/>
          <w:tab w:pos="4150" w:val="left" w:leader="none"/>
          <w:tab w:pos="5911" w:val="left" w:leader="none"/>
          <w:tab w:pos="7660" w:val="left" w:leader="none"/>
          <w:tab w:pos="8046" w:val="left" w:leader="none"/>
        </w:tabs>
        <w:spacing w:line="360" w:lineRule="auto" w:before="207"/>
        <w:ind w:left="122" w:right="114"/>
      </w:pPr>
      <w:r>
        <w:rPr>
          <w:spacing w:val="3"/>
        </w:rPr>
        <w:t>Достоверно</w:t>
        <w:tab/>
        <w:t>чаще</w:t>
        <w:tab/>
      </w:r>
      <w:r>
        <w:rPr>
          <w:spacing w:val="4"/>
        </w:rPr>
        <w:t>рецидивы</w:t>
        <w:tab/>
      </w:r>
      <w:r>
        <w:rPr>
          <w:spacing w:val="3"/>
        </w:rPr>
        <w:t>заболевания</w:t>
        <w:tab/>
        <w:t>развивались</w:t>
        <w:tab/>
      </w:r>
      <w:r>
        <w:rPr/>
        <w:t>у</w:t>
        <w:tab/>
      </w:r>
      <w:r>
        <w:rPr>
          <w:spacing w:val="3"/>
        </w:rPr>
        <w:t>больных, прошедших </w:t>
      </w:r>
      <w:r>
        <w:rPr>
          <w:spacing w:val="2"/>
        </w:rPr>
        <w:t>курс </w:t>
      </w:r>
      <w:r>
        <w:rPr>
          <w:spacing w:val="3"/>
        </w:rPr>
        <w:t>сочетанной </w:t>
      </w:r>
      <w:r>
        <w:rPr>
          <w:spacing w:val="2"/>
        </w:rPr>
        <w:t>лучевой </w:t>
      </w:r>
      <w:r>
        <w:rPr>
          <w:spacing w:val="3"/>
        </w:rPr>
        <w:t>терапии </w:t>
      </w:r>
      <w:r>
        <w:rPr>
          <w:spacing w:val="2"/>
        </w:rPr>
        <w:t>(Рис. </w:t>
      </w:r>
      <w:r>
        <w:rPr>
          <w:spacing w:val="11"/>
        </w:rPr>
        <w:t> </w:t>
      </w:r>
      <w:r>
        <w:rPr>
          <w:spacing w:val="6"/>
        </w:rPr>
        <w:t>4.3).</w:t>
      </w:r>
    </w:p>
    <w:p>
      <w:pPr>
        <w:pStyle w:val="BodyText"/>
        <w:spacing w:before="204"/>
        <w:ind w:left="153" w:firstLine="7571"/>
      </w:pPr>
      <w:r>
        <w:rPr/>
        <w:t>Рисунок 4.3</w:t>
      </w:r>
    </w:p>
    <w:p>
      <w:pPr>
        <w:pStyle w:val="BodyText"/>
        <w:spacing w:before="5"/>
        <w:rPr>
          <w:sz w:val="31"/>
        </w:rPr>
      </w:pPr>
    </w:p>
    <w:p>
      <w:pPr>
        <w:pStyle w:val="BodyText"/>
        <w:spacing w:line="360" w:lineRule="auto"/>
        <w:ind w:left="4161" w:hanging="4009"/>
      </w:pPr>
      <w:r>
        <w:rPr/>
        <w:t>Частота рецидивов рака шейки матки в зависимости от вида первичного лечения</w:t>
      </w:r>
    </w:p>
    <w:p>
      <w:pPr>
        <w:pStyle w:val="BodyText"/>
        <w:spacing w:before="4"/>
        <w:rPr>
          <w:sz w:val="14"/>
        </w:rPr>
      </w:pPr>
      <w:r>
        <w:rPr/>
        <w:pict>
          <v:group style="position:absolute;margin-left:84.675003pt;margin-top:10.221450pt;width:415pt;height:276.3pt;mso-position-horizontal-relative:page;mso-position-vertical-relative:paragraph;z-index:3496;mso-wrap-distance-left:0;mso-wrap-distance-right:0" coordorigin="1694,204" coordsize="8300,5526">
            <v:line style="position:absolute" from="2402,4945" to="8753,4945" stroked="true" strokeweight=".72pt" strokecolor="#858585">
              <v:stroke dashstyle="solid"/>
            </v:line>
            <v:line style="position:absolute" from="7694,4213" to="8753,4213" stroked="true" strokeweight=".72pt" strokecolor="#858585">
              <v:stroke dashstyle="solid"/>
            </v:line>
            <v:line style="position:absolute" from="5577,4213" to="7089,4213" stroked="true" strokeweight=".72pt" strokecolor="#858585">
              <v:stroke dashstyle="solid"/>
            </v:line>
            <v:line style="position:absolute" from="4065,4213" to="4972,4213" stroked="true" strokeweight=".72pt" strokecolor="#858585">
              <v:stroke dashstyle="solid"/>
            </v:line>
            <v:line style="position:absolute" from="2402,4213" to="2855,4213" stroked="true" strokeweight=".72pt" strokecolor="#858585">
              <v:stroke dashstyle="solid"/>
            </v:line>
            <v:line style="position:absolute" from="7694,3479" to="8753,3479" stroked="true" strokeweight=".72pt" strokecolor="#858585">
              <v:stroke dashstyle="solid"/>
            </v:line>
            <v:line style="position:absolute" from="3460,3479" to="7089,3479" stroked="true" strokeweight=".72pt" strokecolor="#858585">
              <v:stroke dashstyle="solid"/>
            </v:line>
            <v:line style="position:absolute" from="2402,3479" to="2855,3479" stroked="true" strokeweight=".72pt" strokecolor="#858585">
              <v:stroke dashstyle="solid"/>
            </v:line>
            <v:line style="position:absolute" from="7694,2747" to="8753,2747" stroked="true" strokeweight=".72pt" strokecolor="#858585">
              <v:stroke dashstyle="solid"/>
            </v:line>
            <v:line style="position:absolute" from="3460,2747" to="7089,2747" stroked="true" strokeweight=".72pt" strokecolor="#858585">
              <v:stroke dashstyle="solid"/>
            </v:line>
            <v:line style="position:absolute" from="2402,2747" to="2855,2747" stroked="true" strokeweight=".72pt" strokecolor="#858585">
              <v:stroke dashstyle="solid"/>
            </v:line>
            <v:line style="position:absolute" from="7694,2012" to="8753,2012" stroked="true" strokeweight=".72pt" strokecolor="#858585">
              <v:stroke dashstyle="solid"/>
            </v:line>
            <v:line style="position:absolute" from="3460,2012" to="7089,2012" stroked="true" strokeweight=".72pt" strokecolor="#858585">
              <v:stroke dashstyle="solid"/>
            </v:line>
            <v:line style="position:absolute" from="2402,2012" to="2855,2012" stroked="true" strokeweight=".72pt" strokecolor="#858585">
              <v:stroke dashstyle="solid"/>
            </v:line>
            <v:line style="position:absolute" from="3460,1280" to="8753,1280" stroked="true" strokeweight=".72pt" strokecolor="#858585">
              <v:stroke dashstyle="solid"/>
            </v:line>
            <v:line style="position:absolute" from="2402,1280" to="2855,1280" stroked="true" strokeweight=".72pt" strokecolor="#858585">
              <v:stroke dashstyle="solid"/>
            </v:line>
            <v:line style="position:absolute" from="2402,546" to="8753,546" stroked="true" strokeweight=".72pt" strokecolor="#858585">
              <v:stroke dashstyle="solid"/>
            </v:line>
            <v:rect style="position:absolute;left:2402;top:546;width:6350;height:4399" filled="false" stroked="true" strokeweight=".72pt" strokecolor="#000000">
              <v:stroke dashstyle="solid"/>
            </v:rect>
            <v:shape style="position:absolute;left:2782;top:860;width:4987;height:4105" type="#_x0000_t75" stroked="false">
              <v:imagedata r:id="rId85" o:title=""/>
            </v:shape>
            <v:shape style="position:absolute;left:3384;top:3784;width:4992;height:1182" type="#_x0000_t75" stroked="false">
              <v:imagedata r:id="rId86" o:title=""/>
            </v:shape>
            <v:rect style="position:absolute;left:2855;top:898;width:605;height:4047" filled="true" fillcolor="#edebe0" stroked="false">
              <v:fill type="solid"/>
            </v:rect>
            <v:rect style="position:absolute;left:4972;top:3538;width:605;height:1407" filled="true" fillcolor="#edebe0" stroked="false">
              <v:fill type="solid"/>
            </v:rect>
            <v:rect style="position:absolute;left:7089;top:1712;width:605;height:3233" filled="true" fillcolor="#edebe0" stroked="false">
              <v:fill type="solid"/>
            </v:rect>
            <v:rect style="position:absolute;left:2855;top:898;width:605;height:4047" filled="false" stroked="true" strokeweight=".75pt" strokecolor="#000000">
              <v:stroke dashstyle="solid"/>
            </v:rect>
            <v:rect style="position:absolute;left:4972;top:3538;width:605;height:1407" filled="false" stroked="true" strokeweight=".75pt" strokecolor="#000000">
              <v:stroke dashstyle="solid"/>
            </v:rect>
            <v:rect style="position:absolute;left:7089;top:1712;width:605;height:3233" filled="false" stroked="true" strokeweight=".75pt" strokecolor="#000000">
              <v:stroke dashstyle="solid"/>
            </v:rect>
            <v:rect style="position:absolute;left:3460;top:3824;width:605;height:1121" filled="true" fillcolor="#800000" stroked="false">
              <v:fill type="solid"/>
            </v:rect>
            <v:rect style="position:absolute;left:5577;top:4726;width:605;height:219" filled="true" fillcolor="#800000" stroked="false">
              <v:fill type="solid"/>
            </v:rect>
            <v:rect style="position:absolute;left:7694;top:4388;width:605;height:557" filled="true" fillcolor="#800000" stroked="false">
              <v:fill type="solid"/>
            </v:rect>
            <v:rect style="position:absolute;left:3460;top:3824;width:605;height:1121" filled="false" stroked="true" strokeweight="1.0pt" strokecolor="#000000">
              <v:stroke dashstyle="solid"/>
            </v:rect>
            <v:rect style="position:absolute;left:5577;top:4726;width:605;height:219" filled="false" stroked="true" strokeweight="1.0pt" strokecolor="#000000">
              <v:stroke dashstyle="solid"/>
            </v:rect>
            <v:rect style="position:absolute;left:7694;top:4388;width:605;height:557" filled="false" stroked="true" strokeweight="1pt" strokecolor="#000000">
              <v:stroke dashstyle="solid"/>
            </v:rect>
            <v:rect style="position:absolute;left:3348;top:553;width:108;height:108" filled="true" fillcolor="#edebe0" stroked="false">
              <v:fill type="solid"/>
            </v:rect>
            <v:rect style="position:absolute;left:3348;top:553;width:106;height:106" filled="false" stroked="true" strokeweight=".72pt" strokecolor="#000000">
              <v:stroke dashstyle="solid"/>
            </v:rect>
            <v:rect style="position:absolute;left:4466;top:3042;width:108;height:108" filled="true" fillcolor="#edebe0" stroked="false">
              <v:fill type="solid"/>
            </v:rect>
            <v:rect style="position:absolute;left:4466;top:3042;width:106;height:106" filled="false" stroked="true" strokeweight=".72pt" strokecolor="#000000">
              <v:stroke dashstyle="solid"/>
            </v:rect>
            <v:rect style="position:absolute;left:6581;top:983;width:108;height:108" filled="true" fillcolor="#edebe0" stroked="false">
              <v:fill type="solid"/>
            </v:rect>
            <v:rect style="position:absolute;left:6581;top:983;width:106;height:106" filled="false" stroked="true" strokeweight=".72pt" strokecolor="#000000">
              <v:stroke dashstyle="solid"/>
            </v:rect>
            <v:line style="position:absolute" from="3383,3011" to="3383,3109" stroked="true" strokeweight="4.92pt" strokecolor="#800000">
              <v:stroke dashstyle="solid"/>
            </v:line>
            <v:rect style="position:absolute;left:3334;top:3011;width:96;height:96" filled="false" stroked="true" strokeweight=".96pt" strokecolor="#000000">
              <v:stroke dashstyle="solid"/>
            </v:rect>
            <v:line style="position:absolute" from="5500,4040" to="5500,4139" stroked="true" strokeweight="4.92pt" strokecolor="#800000">
              <v:stroke dashstyle="solid"/>
            </v:line>
            <v:rect style="position:absolute;left:5450;top:4040;width:96;height:96" filled="false" stroked="true" strokeweight=".96pt" strokecolor="#000000">
              <v:stroke dashstyle="solid"/>
            </v:rect>
            <v:line style="position:absolute" from="7616,3678" to="7616,3776" stroked="true" strokeweight="4.92pt" strokecolor="#800000">
              <v:stroke dashstyle="solid"/>
            </v:line>
            <v:rect style="position:absolute;left:7567;top:3678;width:96;height:96" filled="false" stroked="true" strokeweight=".96pt" strokecolor="#000000">
              <v:stroke dashstyle="solid"/>
            </v:rect>
            <v:rect style="position:absolute;left:9324;top:2740;width:108;height:108" filled="true" fillcolor="#edebe0" stroked="false">
              <v:fill type="solid"/>
            </v:rect>
            <v:rect style="position:absolute;left:9324;top:2740;width:106;height:106" filled="false" stroked="true" strokeweight=".72pt" strokecolor="#000000">
              <v:stroke dashstyle="solid"/>
            </v:rect>
            <v:rect style="position:absolute;left:9324;top:3090;width:108;height:108" filled="true" fillcolor="#800000" stroked="false">
              <v:fill type="solid"/>
            </v:rect>
            <v:rect style="position:absolute;left:9324;top:3090;width:106;height:106" filled="false" stroked="true" strokeweight=".96pt" strokecolor="#000000">
              <v:stroke dashstyle="solid"/>
            </v:rect>
            <v:shape style="position:absolute;left:1701;top:212;width:8285;height:5511" coordorigin="1701,212" coordsize="8285,5511" path="m1701,412l1717,334,1760,271,1823,228,1901,212,9786,212,9864,228,9927,271,9970,334,9986,412,9986,5523,9970,5601,9927,5664,9864,5707,9786,5723,1901,5723,1823,5707,1760,5664,1717,5601,1701,5523,1701,412xe" filled="false" stroked="true" strokeweight=".75pt" strokecolor="#858585">
              <v:path arrowok="t"/>
              <v:stroke dashstyle="solid"/>
            </v:shape>
            <v:shape style="position:absolute;left:3519;top:2955;width:758;height:423" type="#_x0000_t202" filled="false" stroked="false">
              <v:textbox inset="0,0,0,0">
                <w:txbxContent>
                  <w:p>
                    <w:pPr>
                      <w:spacing w:before="0"/>
                      <w:ind w:left="0" w:right="16" w:firstLine="0"/>
                      <w:jc w:val="center"/>
                      <w:rPr>
                        <w:rFonts w:ascii="Cambria"/>
                        <w:sz w:val="18"/>
                      </w:rPr>
                    </w:pPr>
                    <w:r>
                      <w:rPr>
                        <w:rFonts w:ascii="Cambria"/>
                        <w:sz w:val="18"/>
                      </w:rPr>
                      <w:t>153</w:t>
                    </w:r>
                  </w:p>
                  <w:p>
                    <w:pPr>
                      <w:spacing w:before="0"/>
                      <w:ind w:left="0" w:right="18" w:firstLine="0"/>
                      <w:jc w:val="center"/>
                      <w:rPr>
                        <w:rFonts w:ascii="Cambria"/>
                        <w:sz w:val="18"/>
                      </w:rPr>
                    </w:pPr>
                    <w:r>
                      <w:rPr>
                        <w:rFonts w:ascii="Cambria"/>
                        <w:sz w:val="18"/>
                      </w:rPr>
                      <w:t>(27,72%)</w:t>
                    </w:r>
                  </w:p>
                </w:txbxContent>
              </v:textbox>
              <w10:wrap type="none"/>
            </v:shape>
            <v:shape style="position:absolute;left:4715;top:2981;width:1453;height:469" type="#_x0000_t202" filled="false" stroked="false">
              <v:textbox inset="0,0,0,0">
                <w:txbxContent>
                  <w:p>
                    <w:pPr>
                      <w:spacing w:before="0"/>
                      <w:ind w:left="531" w:right="-7" w:hanging="531"/>
                      <w:jc w:val="left"/>
                      <w:rPr>
                        <w:rFonts w:ascii="Cambria" w:hAnsi="Cambria"/>
                        <w:sz w:val="20"/>
                      </w:rPr>
                    </w:pPr>
                    <w:r>
                      <w:rPr>
                        <w:rFonts w:ascii="Cambria" w:hAnsi="Cambria"/>
                        <w:sz w:val="20"/>
                      </w:rPr>
                      <w:t>Хирургический, 192</w:t>
                    </w:r>
                  </w:p>
                </w:txbxContent>
              </v:textbox>
              <w10:wrap type="none"/>
            </v:shape>
            <v:shape style="position:absolute;left:5905;top:3985;width:222;height:212" type="#_x0000_t202" filled="false" stroked="false">
              <v:textbox inset="0,0,0,0">
                <w:txbxContent>
                  <w:p>
                    <w:pPr>
                      <w:spacing w:before="0"/>
                      <w:ind w:left="0" w:right="0" w:firstLine="0"/>
                      <w:jc w:val="left"/>
                      <w:rPr>
                        <w:rFonts w:ascii="Cambria"/>
                        <w:sz w:val="18"/>
                      </w:rPr>
                    </w:pPr>
                    <w:r>
                      <w:rPr>
                        <w:rFonts w:ascii="Cambria"/>
                        <w:sz w:val="18"/>
                      </w:rPr>
                      <w:t>30</w:t>
                    </w:r>
                  </w:p>
                </w:txbxContent>
              </v:textbox>
              <w10:wrap type="none"/>
            </v:shape>
            <v:shape style="position:absolute;left:7694;top:3479;width:1059;height:735" type="#_x0000_t202" filled="false" stroked="false">
              <v:textbox inset="0,0,0,0">
                <w:txbxContent>
                  <w:p>
                    <w:pPr>
                      <w:spacing w:before="143"/>
                      <w:ind w:left="42" w:right="241" w:firstLine="0"/>
                      <w:jc w:val="center"/>
                      <w:rPr>
                        <w:rFonts w:ascii="Cambria"/>
                        <w:sz w:val="18"/>
                      </w:rPr>
                    </w:pPr>
                    <w:r>
                      <w:rPr>
                        <w:rFonts w:ascii="Cambria"/>
                        <w:sz w:val="18"/>
                      </w:rPr>
                      <w:t>76</w:t>
                    </w:r>
                  </w:p>
                  <w:p>
                    <w:pPr>
                      <w:spacing w:before="0"/>
                      <w:ind w:left="42" w:right="243" w:firstLine="0"/>
                      <w:jc w:val="center"/>
                      <w:rPr>
                        <w:rFonts w:ascii="Cambria"/>
                        <w:sz w:val="18"/>
                      </w:rPr>
                    </w:pPr>
                    <w:r>
                      <w:rPr>
                        <w:rFonts w:ascii="Cambria"/>
                        <w:sz w:val="18"/>
                      </w:rPr>
                      <w:t>(17,23%)</w:t>
                    </w:r>
                  </w:p>
                </w:txbxContent>
              </v:textbox>
              <w10:wrap type="none"/>
            </v:shape>
            <v:shape style="position:absolute;left:3552;top:490;width:1179;height:469" type="#_x0000_t202" filled="false" stroked="false">
              <v:textbox inset="0,0,0,0">
                <w:txbxContent>
                  <w:p>
                    <w:pPr>
                      <w:spacing w:before="0"/>
                      <w:ind w:left="0" w:right="-5" w:firstLine="228"/>
                      <w:jc w:val="left"/>
                      <w:rPr>
                        <w:rFonts w:ascii="Cambria" w:hAnsi="Cambria"/>
                        <w:sz w:val="20"/>
                      </w:rPr>
                    </w:pPr>
                    <w:r>
                      <w:rPr>
                        <w:rFonts w:ascii="Cambria" w:hAnsi="Cambria"/>
                        <w:sz w:val="20"/>
                      </w:rPr>
                      <w:t>Лучевая терапия, 552</w:t>
                    </w:r>
                  </w:p>
                </w:txbxContent>
              </v:textbox>
              <w10:wrap type="none"/>
            </v:shape>
            <v:shape style="position:absolute;left:6786;top:1156;width:1503;height:469" type="#_x0000_t202" filled="false" stroked="false">
              <v:textbox inset="0,0,0,0">
                <w:txbxContent>
                  <w:p>
                    <w:pPr>
                      <w:spacing w:before="0"/>
                      <w:ind w:left="401" w:right="0" w:hanging="402"/>
                      <w:jc w:val="left"/>
                      <w:rPr>
                        <w:rFonts w:ascii="Cambria" w:hAnsi="Cambria"/>
                        <w:sz w:val="20"/>
                      </w:rPr>
                    </w:pPr>
                    <w:r>
                      <w:rPr>
                        <w:rFonts w:ascii="Cambria" w:hAnsi="Cambria"/>
                        <w:w w:val="95"/>
                        <w:sz w:val="20"/>
                      </w:rPr>
                      <w:t>Комбинированн </w:t>
                    </w:r>
                    <w:r>
                      <w:rPr>
                        <w:rFonts w:ascii="Cambria" w:hAnsi="Cambria"/>
                        <w:sz w:val="20"/>
                      </w:rPr>
                      <w:t>ый, 441</w:t>
                    </w:r>
                  </w:p>
                </w:txbxContent>
              </v:textbox>
              <w10:wrap type="none"/>
            </v:shape>
            <v:shape style="position:absolute;left:9475;top:2667;width:329;height:586" type="#_x0000_t202" filled="false" stroked="false">
              <v:textbox inset="0,0,0,0">
                <w:txbxContent>
                  <w:p>
                    <w:pPr>
                      <w:spacing w:line="234" w:lineRule="exact" w:before="0"/>
                      <w:ind w:left="0" w:right="0" w:firstLine="0"/>
                      <w:jc w:val="left"/>
                      <w:rPr>
                        <w:rFonts w:ascii="Cambria"/>
                        <w:sz w:val="20"/>
                      </w:rPr>
                    </w:pPr>
                    <w:r>
                      <w:rPr>
                        <w:rFonts w:ascii="Cambria"/>
                        <w:sz w:val="20"/>
                      </w:rPr>
                      <w:t>(n)</w:t>
                    </w:r>
                  </w:p>
                  <w:p>
                    <w:pPr>
                      <w:spacing w:before="117"/>
                      <w:ind w:left="0" w:right="0" w:firstLine="0"/>
                      <w:jc w:val="left"/>
                      <w:rPr>
                        <w:rFonts w:ascii="Cambria"/>
                        <w:sz w:val="20"/>
                      </w:rPr>
                    </w:pPr>
                    <w:r>
                      <w:rPr>
                        <w:rFonts w:ascii="Cambria"/>
                        <w:sz w:val="20"/>
                      </w:rPr>
                      <w:t>Rec</w:t>
                    </w:r>
                  </w:p>
                </w:txbxContent>
              </v:textbox>
              <w10:wrap type="none"/>
            </v:shape>
            <v:shape style="position:absolute;left:5636;top:4196;width:758;height:212" type="#_x0000_t202" filled="false" stroked="false">
              <v:textbox inset="0,0,0,0">
                <w:txbxContent>
                  <w:p>
                    <w:pPr>
                      <w:spacing w:before="0"/>
                      <w:ind w:left="0" w:right="0" w:firstLine="0"/>
                      <w:jc w:val="left"/>
                      <w:rPr>
                        <w:rFonts w:ascii="Cambria"/>
                        <w:sz w:val="18"/>
                      </w:rPr>
                    </w:pPr>
                    <w:r>
                      <w:rPr>
                        <w:rFonts w:ascii="Cambria"/>
                        <w:sz w:val="18"/>
                      </w:rPr>
                      <w:t>(15,63%)</w:t>
                    </w:r>
                  </w:p>
                </w:txbxContent>
              </v:textbox>
              <w10:wrap type="none"/>
            </v:shape>
            <w10:wrap type="topAndBottom"/>
          </v:group>
        </w:pict>
      </w:r>
    </w:p>
    <w:p>
      <w:pPr>
        <w:pStyle w:val="BodyText"/>
        <w:rPr>
          <w:sz w:val="30"/>
        </w:rPr>
      </w:pPr>
    </w:p>
    <w:p>
      <w:pPr>
        <w:pStyle w:val="BodyText"/>
        <w:rPr>
          <w:sz w:val="30"/>
        </w:rPr>
      </w:pPr>
    </w:p>
    <w:p>
      <w:pPr>
        <w:pStyle w:val="BodyText"/>
        <w:spacing w:before="4"/>
        <w:rPr>
          <w:sz w:val="31"/>
        </w:rPr>
      </w:pPr>
    </w:p>
    <w:p>
      <w:pPr>
        <w:pStyle w:val="BodyText"/>
        <w:ind w:left="198"/>
      </w:pPr>
      <w:r>
        <w:rPr/>
        <w:t>В </w:t>
      </w:r>
      <w:r>
        <w:rPr>
          <w:spacing w:val="5"/>
        </w:rPr>
        <w:t>соответствии </w:t>
      </w:r>
      <w:r>
        <w:rPr/>
        <w:t>с </w:t>
      </w:r>
      <w:r>
        <w:rPr>
          <w:spacing w:val="4"/>
        </w:rPr>
        <w:t>задачами </w:t>
      </w:r>
      <w:r>
        <w:rPr>
          <w:spacing w:val="5"/>
        </w:rPr>
        <w:t>настоящего исследования </w:t>
      </w:r>
      <w:r>
        <w:rPr>
          <w:spacing w:val="3"/>
        </w:rPr>
        <w:t>нас </w:t>
      </w:r>
      <w:r>
        <w:rPr>
          <w:spacing w:val="5"/>
        </w:rPr>
        <w:t>прежде  </w:t>
      </w:r>
      <w:r>
        <w:rPr>
          <w:spacing w:val="4"/>
        </w:rPr>
        <w:t>всего</w:t>
      </w:r>
    </w:p>
    <w:p>
      <w:pPr>
        <w:spacing w:after="0"/>
        <w:sectPr>
          <w:pgSz w:w="11900" w:h="16850"/>
          <w:pgMar w:header="712" w:footer="0" w:top="1020" w:bottom="280" w:left="1580" w:right="1020"/>
        </w:sectPr>
      </w:pPr>
    </w:p>
    <w:p>
      <w:pPr>
        <w:pStyle w:val="BodyText"/>
        <w:rPr>
          <w:sz w:val="20"/>
        </w:rPr>
      </w:pPr>
    </w:p>
    <w:p>
      <w:pPr>
        <w:pStyle w:val="BodyText"/>
        <w:rPr>
          <w:sz w:val="20"/>
        </w:rPr>
      </w:pPr>
    </w:p>
    <w:p>
      <w:pPr>
        <w:pStyle w:val="BodyText"/>
        <w:spacing w:line="360" w:lineRule="auto" w:before="224"/>
        <w:ind w:left="102" w:right="102"/>
        <w:jc w:val="both"/>
      </w:pPr>
      <w:r>
        <w:rPr>
          <w:spacing w:val="5"/>
        </w:rPr>
        <w:t>интересовала локализация развившихся рецидивов </w:t>
      </w:r>
      <w:r>
        <w:rPr/>
        <w:t>и </w:t>
      </w:r>
      <w:r>
        <w:rPr>
          <w:spacing w:val="5"/>
        </w:rPr>
        <w:t>принципиальная возможность предупреждения </w:t>
      </w:r>
      <w:r>
        <w:rPr>
          <w:spacing w:val="2"/>
        </w:rPr>
        <w:t>их </w:t>
      </w:r>
      <w:r>
        <w:rPr>
          <w:spacing w:val="5"/>
        </w:rPr>
        <w:t>клинического проявления </w:t>
      </w:r>
      <w:r>
        <w:rPr>
          <w:spacing w:val="3"/>
        </w:rPr>
        <w:t>на </w:t>
      </w:r>
      <w:r>
        <w:rPr>
          <w:spacing w:val="4"/>
        </w:rPr>
        <w:t>этапе </w:t>
      </w:r>
      <w:r>
        <w:rPr>
          <w:spacing w:val="5"/>
        </w:rPr>
        <w:t>планирования первичного лечения пациенток. </w:t>
      </w:r>
      <w:r>
        <w:rPr/>
        <w:t>Локализация рецидивов представлена на следующем графике (Рис.</w:t>
      </w:r>
      <w:r>
        <w:rPr>
          <w:spacing w:val="56"/>
        </w:rPr>
        <w:t> </w:t>
      </w:r>
      <w:r>
        <w:rPr/>
        <w:t>4.4).</w:t>
      </w:r>
    </w:p>
    <w:p>
      <w:pPr>
        <w:pStyle w:val="BodyText"/>
        <w:spacing w:line="572" w:lineRule="exact" w:before="11"/>
        <w:ind w:left="553" w:right="85" w:firstLine="7206"/>
      </w:pPr>
      <w:r>
        <w:rPr/>
        <w:t>Рисунок 4.4 Локализация рецидивов при местно – распространённом раке шейки</w:t>
      </w:r>
    </w:p>
    <w:p>
      <w:pPr>
        <w:pStyle w:val="BodyText"/>
        <w:spacing w:line="316" w:lineRule="exact"/>
        <w:ind w:left="380" w:right="380"/>
        <w:jc w:val="center"/>
      </w:pPr>
      <w:r>
        <w:rPr/>
        <w:t>матки</w:t>
      </w:r>
    </w:p>
    <w:p>
      <w:pPr>
        <w:pStyle w:val="BodyText"/>
        <w:rPr>
          <w:sz w:val="20"/>
        </w:rPr>
      </w:pPr>
    </w:p>
    <w:p>
      <w:pPr>
        <w:pStyle w:val="BodyText"/>
        <w:spacing w:before="2"/>
        <w:rPr>
          <w:sz w:val="21"/>
        </w:rPr>
      </w:pPr>
    </w:p>
    <w:p>
      <w:pPr>
        <w:spacing w:before="96"/>
        <w:ind w:left="1328" w:right="0" w:firstLine="0"/>
        <w:jc w:val="left"/>
        <w:rPr>
          <w:rFonts w:ascii="Arial"/>
          <w:b/>
          <w:sz w:val="16"/>
        </w:rPr>
      </w:pPr>
      <w:r>
        <w:rPr/>
        <w:pict>
          <v:group style="position:absolute;margin-left:150.820007pt;margin-top:-5.586123pt;width:199pt;height:191.05pt;mso-position-horizontal-relative:page;mso-position-vertical-relative:paragraph;z-index:-338560" coordorigin="3016,-112" coordsize="3980,3821">
            <v:shape style="position:absolute;left:3308;top:-112;width:3607;height:3744" type="#_x0000_t75" stroked="false">
              <v:imagedata r:id="rId88" o:title=""/>
            </v:shape>
            <v:shape style="position:absolute;left:3284;top:186;width:3252;height:3477" coordorigin="3284,186" coordsize="3252,3477" path="m3332,3613l3284,3613m3332,3270l3284,3270m3332,2929l3284,2929m3332,2586l3284,2586m3332,2243l3284,2243m3332,1899l3284,1899m3332,1556l3284,1556m3332,1215l3284,1215m3332,872l3284,872m3332,529l3284,529m3332,186l3284,186m3332,3613l3332,3662m6536,3613l6536,3662e" filled="false" stroked="true" strokeweight=".36039pt" strokecolor="#000000">
              <v:path arrowok="t"/>
              <v:stroke dashstyle="solid"/>
            </v:shape>
            <v:shape style="position:absolute;left:3016;top:101;width:199;height:2580" type="#_x0000_t202" filled="false" stroked="false">
              <v:textbox inset="0,0,0,0">
                <w:txbxContent>
                  <w:p>
                    <w:pPr>
                      <w:spacing w:line="179" w:lineRule="exact" w:before="0"/>
                      <w:ind w:left="0" w:right="0" w:firstLine="0"/>
                      <w:jc w:val="left"/>
                      <w:rPr>
                        <w:rFonts w:ascii="Arial"/>
                        <w:b/>
                        <w:sz w:val="16"/>
                      </w:rPr>
                    </w:pPr>
                    <w:r>
                      <w:rPr>
                        <w:rFonts w:ascii="Arial"/>
                        <w:b/>
                        <w:sz w:val="16"/>
                      </w:rPr>
                      <w:t>00</w:t>
                    </w:r>
                  </w:p>
                  <w:p>
                    <w:pPr>
                      <w:spacing w:before="159"/>
                      <w:ind w:left="0" w:right="0" w:firstLine="0"/>
                      <w:jc w:val="left"/>
                      <w:rPr>
                        <w:rFonts w:ascii="Arial"/>
                        <w:b/>
                        <w:sz w:val="16"/>
                      </w:rPr>
                    </w:pPr>
                    <w:r>
                      <w:rPr>
                        <w:rFonts w:ascii="Arial"/>
                        <w:b/>
                        <w:sz w:val="16"/>
                      </w:rPr>
                      <w:t>90</w:t>
                    </w:r>
                  </w:p>
                  <w:p>
                    <w:pPr>
                      <w:spacing w:before="159"/>
                      <w:ind w:left="0" w:right="0" w:firstLine="0"/>
                      <w:jc w:val="left"/>
                      <w:rPr>
                        <w:rFonts w:ascii="Arial"/>
                        <w:b/>
                        <w:sz w:val="16"/>
                      </w:rPr>
                    </w:pPr>
                    <w:r>
                      <w:rPr>
                        <w:rFonts w:ascii="Arial"/>
                        <w:b/>
                        <w:sz w:val="16"/>
                      </w:rPr>
                      <w:t>80</w:t>
                    </w:r>
                  </w:p>
                  <w:p>
                    <w:pPr>
                      <w:spacing w:before="159"/>
                      <w:ind w:left="0" w:right="0" w:firstLine="0"/>
                      <w:jc w:val="left"/>
                      <w:rPr>
                        <w:rFonts w:ascii="Arial"/>
                        <w:b/>
                        <w:sz w:val="16"/>
                      </w:rPr>
                    </w:pPr>
                    <w:r>
                      <w:rPr>
                        <w:rFonts w:ascii="Arial"/>
                        <w:b/>
                        <w:sz w:val="16"/>
                      </w:rPr>
                      <w:t>70</w:t>
                    </w:r>
                  </w:p>
                  <w:p>
                    <w:pPr>
                      <w:spacing w:before="159"/>
                      <w:ind w:left="0" w:right="0" w:firstLine="0"/>
                      <w:jc w:val="left"/>
                      <w:rPr>
                        <w:rFonts w:ascii="Arial"/>
                        <w:b/>
                        <w:sz w:val="16"/>
                      </w:rPr>
                    </w:pPr>
                    <w:r>
                      <w:rPr>
                        <w:rFonts w:ascii="Arial"/>
                        <w:b/>
                        <w:sz w:val="16"/>
                      </w:rPr>
                      <w:t>60</w:t>
                    </w:r>
                  </w:p>
                  <w:p>
                    <w:pPr>
                      <w:spacing w:before="158"/>
                      <w:ind w:left="0" w:right="0" w:firstLine="0"/>
                      <w:jc w:val="left"/>
                      <w:rPr>
                        <w:rFonts w:ascii="Arial"/>
                        <w:b/>
                        <w:sz w:val="16"/>
                      </w:rPr>
                    </w:pPr>
                    <w:r>
                      <w:rPr>
                        <w:rFonts w:ascii="Arial"/>
                        <w:b/>
                        <w:sz w:val="16"/>
                      </w:rPr>
                      <w:t>50</w:t>
                    </w:r>
                  </w:p>
                  <w:p>
                    <w:pPr>
                      <w:spacing w:before="158"/>
                      <w:ind w:left="0" w:right="0" w:firstLine="0"/>
                      <w:jc w:val="left"/>
                      <w:rPr>
                        <w:rFonts w:ascii="Arial"/>
                        <w:b/>
                        <w:sz w:val="16"/>
                      </w:rPr>
                    </w:pPr>
                    <w:r>
                      <w:rPr>
                        <w:rFonts w:ascii="Arial"/>
                        <w:b/>
                        <w:sz w:val="16"/>
                      </w:rPr>
                      <w:t>40</w:t>
                    </w:r>
                  </w:p>
                  <w:p>
                    <w:pPr>
                      <w:spacing w:before="159"/>
                      <w:ind w:left="0" w:right="0" w:firstLine="0"/>
                      <w:jc w:val="left"/>
                      <w:rPr>
                        <w:rFonts w:ascii="Arial"/>
                        <w:b/>
                        <w:sz w:val="16"/>
                      </w:rPr>
                    </w:pPr>
                    <w:r>
                      <w:rPr>
                        <w:rFonts w:ascii="Arial"/>
                        <w:b/>
                        <w:sz w:val="16"/>
                      </w:rPr>
                      <w:t>30</w:t>
                    </w:r>
                  </w:p>
                </w:txbxContent>
              </v:textbox>
              <w10:wrap type="none"/>
            </v:shape>
            <v:shape style="position:absolute;left:3679;top:1814;width:1774;height:961" type="#_x0000_t202" filled="false" stroked="false">
              <v:textbox inset="0,0,0,0">
                <w:txbxContent>
                  <w:p>
                    <w:pPr>
                      <w:spacing w:line="266" w:lineRule="exact" w:before="0"/>
                      <w:ind w:left="0" w:right="0" w:firstLine="0"/>
                      <w:jc w:val="left"/>
                      <w:rPr>
                        <w:b/>
                        <w:sz w:val="24"/>
                      </w:rPr>
                    </w:pPr>
                    <w:r>
                      <w:rPr>
                        <w:b/>
                        <w:sz w:val="24"/>
                      </w:rPr>
                      <w:t>36,2%</w:t>
                    </w:r>
                  </w:p>
                  <w:p>
                    <w:pPr>
                      <w:spacing w:before="98"/>
                      <w:ind w:left="563" w:right="0" w:firstLine="0"/>
                      <w:jc w:val="left"/>
                      <w:rPr>
                        <w:b/>
                        <w:sz w:val="24"/>
                      </w:rPr>
                    </w:pPr>
                    <w:r>
                      <w:rPr>
                        <w:b/>
                        <w:sz w:val="24"/>
                      </w:rPr>
                      <w:t>22,5%</w:t>
                    </w:r>
                  </w:p>
                  <w:p>
                    <w:pPr>
                      <w:spacing w:before="44"/>
                      <w:ind w:left="1093" w:right="0" w:firstLine="0"/>
                      <w:jc w:val="left"/>
                      <w:rPr>
                        <w:b/>
                        <w:sz w:val="24"/>
                      </w:rPr>
                    </w:pPr>
                    <w:r>
                      <w:rPr>
                        <w:b/>
                        <w:sz w:val="24"/>
                      </w:rPr>
                      <w:t>10,8%</w:t>
                    </w:r>
                  </w:p>
                </w:txbxContent>
              </v:textbox>
              <w10:wrap type="none"/>
            </v:shape>
            <v:shape style="position:absolute;left:3016;top:2843;width:198;height:180" type="#_x0000_t202" filled="false" stroked="false">
              <v:textbox inset="0,0,0,0">
                <w:txbxContent>
                  <w:p>
                    <w:pPr>
                      <w:spacing w:line="179" w:lineRule="exact" w:before="0"/>
                      <w:ind w:left="0" w:right="0" w:firstLine="0"/>
                      <w:jc w:val="left"/>
                      <w:rPr>
                        <w:rFonts w:ascii="Arial"/>
                        <w:b/>
                        <w:sz w:val="16"/>
                      </w:rPr>
                    </w:pPr>
                    <w:r>
                      <w:rPr>
                        <w:rFonts w:ascii="Arial"/>
                        <w:b/>
                        <w:sz w:val="16"/>
                      </w:rPr>
                      <w:t>20</w:t>
                    </w:r>
                  </w:p>
                </w:txbxContent>
              </v:textbox>
              <w10:wrap type="none"/>
            </v:shape>
            <v:shape style="position:absolute;left:5864;top:2425;width:1132;height:558" type="#_x0000_t202" filled="false" stroked="false">
              <v:textbox inset="0,0,0,0">
                <w:txbxContent>
                  <w:p>
                    <w:pPr>
                      <w:spacing w:line="266" w:lineRule="exact" w:before="0"/>
                      <w:ind w:left="0" w:right="0" w:firstLine="0"/>
                      <w:jc w:val="left"/>
                      <w:rPr>
                        <w:b/>
                        <w:sz w:val="24"/>
                      </w:rPr>
                    </w:pPr>
                    <w:r>
                      <w:rPr>
                        <w:b/>
                        <w:sz w:val="24"/>
                      </w:rPr>
                      <w:t>21,6%</w:t>
                    </w:r>
                  </w:p>
                  <w:p>
                    <w:pPr>
                      <w:spacing w:before="62"/>
                      <w:ind w:left="659" w:right="0" w:firstLine="0"/>
                      <w:jc w:val="left"/>
                      <w:rPr>
                        <w:rFonts w:ascii="Arial"/>
                        <w:b/>
                        <w:sz w:val="20"/>
                      </w:rPr>
                    </w:pPr>
                    <w:r>
                      <w:rPr>
                        <w:rFonts w:ascii="Arial"/>
                        <w:b/>
                        <w:sz w:val="20"/>
                      </w:rPr>
                      <w:t>8,9%</w:t>
                    </w:r>
                  </w:p>
                </w:txbxContent>
              </v:textbox>
              <w10:wrap type="none"/>
            </v:shape>
            <v:shape style="position:absolute;left:3016;top:3186;width:200;height:523" type="#_x0000_t202" filled="false" stroked="false">
              <v:textbox inset="0,0,0,0">
                <w:txbxContent>
                  <w:p>
                    <w:pPr>
                      <w:spacing w:line="179" w:lineRule="exact" w:before="0"/>
                      <w:ind w:left="0" w:right="0" w:firstLine="0"/>
                      <w:jc w:val="left"/>
                      <w:rPr>
                        <w:rFonts w:ascii="Arial"/>
                        <w:b/>
                        <w:sz w:val="16"/>
                      </w:rPr>
                    </w:pPr>
                    <w:r>
                      <w:rPr>
                        <w:rFonts w:ascii="Arial"/>
                        <w:b/>
                        <w:sz w:val="16"/>
                      </w:rPr>
                      <w:t>10</w:t>
                    </w:r>
                  </w:p>
                  <w:p>
                    <w:pPr>
                      <w:spacing w:before="159"/>
                      <w:ind w:left="90" w:right="0" w:firstLine="0"/>
                      <w:jc w:val="left"/>
                      <w:rPr>
                        <w:rFonts w:ascii="Arial"/>
                        <w:b/>
                        <w:sz w:val="16"/>
                      </w:rPr>
                    </w:pPr>
                    <w:r>
                      <w:rPr>
                        <w:rFonts w:ascii="Arial"/>
                        <w:b/>
                        <w:w w:val="100"/>
                        <w:sz w:val="16"/>
                      </w:rPr>
                      <w:t>0</w:t>
                    </w:r>
                  </w:p>
                </w:txbxContent>
              </v:textbox>
              <w10:wrap type="none"/>
            </v:shape>
            <w10:wrap type="none"/>
          </v:group>
        </w:pict>
      </w:r>
      <w:r>
        <w:rPr>
          <w:rFonts w:ascii="Arial"/>
          <w:b/>
          <w:spacing w:val="-1"/>
          <w:w w:val="100"/>
          <w:sz w:val="16"/>
        </w:rPr>
        <w:t>1</w:t>
      </w:r>
    </w:p>
    <w:p>
      <w:pPr>
        <w:pStyle w:val="BodyText"/>
        <w:rPr>
          <w:rFonts w:ascii="Arial"/>
          <w:b/>
          <w:sz w:val="20"/>
        </w:rPr>
      </w:pPr>
    </w:p>
    <w:p>
      <w:pPr>
        <w:pStyle w:val="BodyText"/>
        <w:rPr>
          <w:rFonts w:ascii="Arial"/>
          <w:b/>
          <w:sz w:val="20"/>
        </w:rPr>
      </w:pPr>
    </w:p>
    <w:p>
      <w:pPr>
        <w:pStyle w:val="BodyText"/>
        <w:spacing w:before="5"/>
        <w:rPr>
          <w:rFonts w:ascii="Arial"/>
          <w:b/>
          <w:sz w:val="20"/>
        </w:rPr>
      </w:pPr>
    </w:p>
    <w:p>
      <w:pPr>
        <w:spacing w:before="0"/>
        <w:ind w:left="0" w:right="661" w:firstLine="0"/>
        <w:jc w:val="right"/>
        <w:rPr>
          <w:rFonts w:ascii="Arial" w:hAnsi="Arial"/>
          <w:b/>
          <w:sz w:val="16"/>
        </w:rPr>
      </w:pPr>
      <w:r>
        <w:rPr/>
        <w:pict>
          <v:group style="position:absolute;margin-left:395.054993pt;margin-top:1.858117pt;width:8.1pt;height:5.5pt;mso-position-horizontal-relative:page;mso-position-vertical-relative:paragraph;z-index:-338536" coordorigin="7901,37" coordsize="162,110">
            <v:line style="position:absolute" from="7942,92" to="8022,92" stroked="true" strokeweight="4.020800pt" strokecolor="#808080">
              <v:stroke dashstyle="solid"/>
            </v:line>
            <v:rect style="position:absolute;left:7942;top:52;width:80;height:80" filled="false" stroked="true" strokeweight="1.4416pt" strokecolor="#000000">
              <v:stroke dashstyle="solid"/>
            </v:rect>
            <w10:wrap type="none"/>
          </v:group>
        </w:pict>
      </w:r>
      <w:r>
        <w:rPr>
          <w:rFonts w:ascii="Arial" w:hAnsi="Arial"/>
          <w:b/>
          <w:sz w:val="16"/>
        </w:rPr>
        <w:t>Параметральная клетчатка</w:t>
      </w:r>
    </w:p>
    <w:p>
      <w:pPr>
        <w:pStyle w:val="BodyText"/>
        <w:rPr>
          <w:rFonts w:ascii="Arial"/>
          <w:b/>
          <w:sz w:val="20"/>
        </w:rPr>
      </w:pPr>
    </w:p>
    <w:p>
      <w:pPr>
        <w:pStyle w:val="BodyText"/>
        <w:spacing w:before="6"/>
        <w:rPr>
          <w:rFonts w:ascii="Arial"/>
          <w:b/>
          <w:sz w:val="22"/>
        </w:rPr>
      </w:pPr>
    </w:p>
    <w:p>
      <w:pPr>
        <w:spacing w:before="0"/>
        <w:ind w:left="6456" w:right="0" w:firstLine="0"/>
        <w:jc w:val="left"/>
        <w:rPr>
          <w:rFonts w:ascii="Arial" w:hAnsi="Arial"/>
          <w:b/>
          <w:sz w:val="16"/>
        </w:rPr>
      </w:pPr>
      <w:r>
        <w:rPr/>
        <w:pict>
          <v:rect style="position:absolute;margin-left:397.079987pt;margin-top:2.593116pt;width:4.020800pt;height:4.020800pt;mso-position-horizontal-relative:page;mso-position-vertical-relative:paragraph;z-index:3688" filled="false" stroked="true" strokeweight="1.4416pt" strokecolor="#000000">
            <v:stroke dashstyle="solid"/>
            <w10:wrap type="none"/>
          </v:rect>
        </w:pict>
      </w:r>
      <w:r>
        <w:rPr>
          <w:rFonts w:ascii="Arial" w:hAnsi="Arial"/>
          <w:b/>
          <w:sz w:val="16"/>
        </w:rPr>
        <w:t>Область первичной опухоли</w:t>
      </w:r>
    </w:p>
    <w:p>
      <w:pPr>
        <w:pStyle w:val="BodyText"/>
        <w:rPr>
          <w:rFonts w:ascii="Arial"/>
          <w:b/>
          <w:sz w:val="18"/>
        </w:rPr>
      </w:pPr>
    </w:p>
    <w:p>
      <w:pPr>
        <w:pStyle w:val="BodyText"/>
        <w:spacing w:before="7"/>
        <w:rPr>
          <w:rFonts w:ascii="Arial"/>
          <w:b/>
          <w:sz w:val="24"/>
        </w:rPr>
      </w:pPr>
    </w:p>
    <w:p>
      <w:pPr>
        <w:spacing w:before="0"/>
        <w:ind w:left="0" w:right="994" w:firstLine="0"/>
        <w:jc w:val="right"/>
        <w:rPr>
          <w:rFonts w:ascii="Arial" w:hAnsi="Arial"/>
          <w:b/>
          <w:sz w:val="16"/>
        </w:rPr>
      </w:pPr>
      <w:r>
        <w:rPr/>
        <w:pict>
          <v:group style="position:absolute;margin-left:396.355011pt;margin-top:1.848116pt;width:5.5pt;height:5.5pt;mso-position-horizontal-relative:page;mso-position-vertical-relative:paragraph;z-index:3712" coordorigin="7927,37" coordsize="110,110">
            <v:shape style="position:absolute;left:7942;top:51;width:80;height:80" type="#_x0000_t75" stroked="false">
              <v:imagedata r:id="rId89" o:title=""/>
            </v:shape>
            <v:rect style="position:absolute;left:7942;top:51;width:80;height:80" filled="false" stroked="true" strokeweight="1.4416pt" strokecolor="#000000">
              <v:stroke dashstyle="solid"/>
            </v:rect>
            <w10:wrap type="none"/>
          </v:group>
        </w:pict>
      </w:r>
      <w:r>
        <w:rPr>
          <w:rFonts w:ascii="Arial" w:hAnsi="Arial"/>
          <w:b/>
          <w:sz w:val="16"/>
        </w:rPr>
        <w:t>Переход на тело матки</w:t>
      </w:r>
    </w:p>
    <w:p>
      <w:pPr>
        <w:pStyle w:val="BodyText"/>
        <w:rPr>
          <w:rFonts w:ascii="Arial"/>
          <w:b/>
          <w:sz w:val="20"/>
        </w:rPr>
      </w:pPr>
    </w:p>
    <w:p>
      <w:pPr>
        <w:pStyle w:val="BodyText"/>
        <w:spacing w:before="7"/>
        <w:rPr>
          <w:rFonts w:ascii="Arial"/>
          <w:b/>
          <w:sz w:val="22"/>
        </w:rPr>
      </w:pPr>
    </w:p>
    <w:p>
      <w:pPr>
        <w:spacing w:before="0"/>
        <w:ind w:left="6456" w:right="0" w:firstLine="0"/>
        <w:jc w:val="left"/>
        <w:rPr>
          <w:rFonts w:ascii="Arial" w:hAnsi="Arial"/>
          <w:b/>
          <w:sz w:val="16"/>
        </w:rPr>
      </w:pPr>
      <w:r>
        <w:rPr/>
        <w:pict>
          <v:group style="position:absolute;margin-left:396.355011pt;margin-top:1.858115pt;width:5.5pt;height:5.5pt;mso-position-horizontal-relative:page;mso-position-vertical-relative:paragraph;z-index:3736" coordorigin="7927,37" coordsize="110,110">
            <v:shape style="position:absolute;left:7942;top:52;width:80;height:80" type="#_x0000_t75" stroked="false">
              <v:imagedata r:id="rId90" o:title=""/>
            </v:shape>
            <v:rect style="position:absolute;left:7942;top:52;width:80;height:80" filled="false" stroked="true" strokeweight="1.4416pt" strokecolor="#000000">
              <v:stroke dashstyle="solid"/>
            </v:rect>
            <w10:wrap type="none"/>
          </v:group>
        </w:pict>
      </w:r>
      <w:r>
        <w:rPr>
          <w:rFonts w:ascii="Arial" w:hAnsi="Arial"/>
          <w:b/>
          <w:sz w:val="16"/>
        </w:rPr>
        <w:t>Отдаленное метастазирование (лёгкие, парааортальные лимфатические узлы)</w:t>
      </w:r>
    </w:p>
    <w:p>
      <w:pPr>
        <w:spacing w:before="123"/>
        <w:ind w:left="0" w:right="2004" w:firstLine="0"/>
        <w:jc w:val="right"/>
        <w:rPr>
          <w:rFonts w:ascii="Arial" w:hAnsi="Arial"/>
          <w:b/>
          <w:sz w:val="16"/>
        </w:rPr>
      </w:pPr>
      <w:r>
        <w:rPr/>
        <w:pict>
          <v:group style="position:absolute;margin-left:395.054993pt;margin-top:7.988094pt;width:8.1pt;height:5.5pt;mso-position-horizontal-relative:page;mso-position-vertical-relative:paragraph;z-index:-338440" coordorigin="7901,160" coordsize="162,110">
            <v:line style="position:absolute" from="7942,214" to="8022,214" stroked="true" strokeweight="4.020800pt" strokecolor="#404040">
              <v:stroke dashstyle="solid"/>
            </v:line>
            <v:rect style="position:absolute;left:7942;top:174;width:80;height:80" filled="false" stroked="true" strokeweight="1.4416pt" strokecolor="#000000">
              <v:stroke dashstyle="solid"/>
            </v:rect>
            <w10:wrap type="none"/>
          </v:group>
        </w:pict>
      </w:r>
      <w:r>
        <w:rPr>
          <w:rFonts w:ascii="Arial" w:hAnsi="Arial"/>
          <w:b/>
          <w:sz w:val="16"/>
        </w:rPr>
        <w:t>сочетание</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19"/>
        </w:rPr>
      </w:pPr>
    </w:p>
    <w:p>
      <w:pPr>
        <w:pStyle w:val="BodyText"/>
        <w:spacing w:line="360" w:lineRule="auto" w:before="89"/>
        <w:ind w:left="102" w:right="100" w:firstLine="278"/>
        <w:jc w:val="both"/>
      </w:pPr>
      <w:r>
        <w:rPr/>
        <w:t>В 167 наблюдениях (64,5%) случаев рецидивы развились в зоне первичной опухоли. Местные рецидивы рака шейки матки возникают в результате значительного распространения опухоли к моменту начала специального лечения и связанной с этим недостаточной эффективностью применяемых лечебных воздействий. У 56 пациенток (21,6%) рецидивы заболевания проявились в виде отдаленных метастазов. Это может свидетельствовать о диагностических ошибках, не позволивших адекватно оценить степень распространения опухоли и, как следствие, приведших к ошибкам в планировании лечения. Подавляющее большинство отдалённых</w:t>
      </w:r>
    </w:p>
    <w:p>
      <w:pPr>
        <w:spacing w:after="0" w:line="360" w:lineRule="auto"/>
        <w:jc w:val="both"/>
        <w:sectPr>
          <w:headerReference w:type="default" r:id="rId87"/>
          <w:pgSz w:w="11900" w:h="16850"/>
          <w:pgMar w:header="712" w:footer="0" w:top="1020" w:bottom="280" w:left="1600" w:right="1020"/>
          <w:pgNumType w:start="160"/>
        </w:sectPr>
      </w:pPr>
    </w:p>
    <w:p>
      <w:pPr>
        <w:pStyle w:val="BodyText"/>
        <w:rPr>
          <w:sz w:val="20"/>
        </w:rPr>
      </w:pPr>
    </w:p>
    <w:p>
      <w:pPr>
        <w:pStyle w:val="BodyText"/>
        <w:rPr>
          <w:sz w:val="20"/>
        </w:rPr>
      </w:pPr>
    </w:p>
    <w:p>
      <w:pPr>
        <w:pStyle w:val="BodyText"/>
        <w:spacing w:line="360" w:lineRule="auto" w:before="224"/>
        <w:ind w:left="102" w:right="98"/>
        <w:jc w:val="both"/>
      </w:pPr>
      <w:r>
        <w:rPr/>
        <w:t>метастазов, выявленных в короткие сроки после окончания первичного лечения, локализовалось в парааортальных лимфатических узлах. Уточнение состояния парааортальных лимфатических узлов до начала лучевого лечения, как было показано в обзоре литературы, может способствовать индивидуализации планирования полей облучения и, как следствие, приводить к повышению отдаленных результатов лечения. Достаточно высокая частота метастазирования рака шейки матки в парааортальные лимфатические узлы обуславливает высокую  актуальность изучения показаний и особенностей выполнения лапароскопических операций хирургического стадирования. Помимо лимфодиссекции, ревизия органов брюшной полости и малого таза также может внести коррективы в план лечебных</w:t>
      </w:r>
      <w:r>
        <w:rPr>
          <w:spacing w:val="-20"/>
        </w:rPr>
        <w:t> </w:t>
      </w:r>
      <w:r>
        <w:rPr/>
        <w:t>мероприятий.</w:t>
      </w:r>
    </w:p>
    <w:p>
      <w:pPr>
        <w:pStyle w:val="BodyText"/>
        <w:rPr>
          <w:sz w:val="30"/>
        </w:rPr>
      </w:pPr>
    </w:p>
    <w:p>
      <w:pPr>
        <w:pStyle w:val="BodyText"/>
        <w:rPr>
          <w:sz w:val="30"/>
        </w:rPr>
      </w:pPr>
    </w:p>
    <w:p>
      <w:pPr>
        <w:pStyle w:val="Heading1"/>
        <w:numPr>
          <w:ilvl w:val="2"/>
          <w:numId w:val="25"/>
        </w:numPr>
        <w:tabs>
          <w:tab w:pos="1297" w:val="left" w:leader="none"/>
        </w:tabs>
        <w:spacing w:line="362" w:lineRule="auto" w:before="204" w:after="0"/>
        <w:ind w:left="2072" w:right="599" w:hanging="1476"/>
        <w:jc w:val="left"/>
      </w:pPr>
      <w:r>
        <w:rPr/>
        <w:t>Техника и основные характеристики лапароскопической операции хирургического</w:t>
      </w:r>
      <w:r>
        <w:rPr>
          <w:spacing w:val="-11"/>
        </w:rPr>
        <w:t> </w:t>
      </w:r>
      <w:r>
        <w:rPr/>
        <w:t>стадирования</w:t>
      </w:r>
    </w:p>
    <w:p>
      <w:pPr>
        <w:pStyle w:val="BodyText"/>
        <w:spacing w:before="196"/>
        <w:ind w:left="450"/>
      </w:pPr>
      <w:r>
        <w:rPr/>
        <w:t>В период с  2011 по 2013 год в онкогинекологическом отделении  ФГБУ</w:t>
      </w:r>
    </w:p>
    <w:p>
      <w:pPr>
        <w:pStyle w:val="BodyText"/>
        <w:spacing w:line="360" w:lineRule="auto" w:before="159"/>
        <w:ind w:left="102" w:right="106"/>
        <w:jc w:val="both"/>
      </w:pPr>
      <w:r>
        <w:rPr/>
        <w:t>«НИИ онкологии им. Н.Н.Петрова» Минздрава России 57 пациенткам с местно-распространёнными формами рака шейки матки после проведённого комплексного клинического обследования выполнены операции хирургического стадирования.</w:t>
      </w:r>
    </w:p>
    <w:p>
      <w:pPr>
        <w:pStyle w:val="BodyText"/>
        <w:tabs>
          <w:tab w:pos="3414" w:val="left" w:leader="none"/>
        </w:tabs>
        <w:spacing w:line="360" w:lineRule="auto" w:before="206"/>
        <w:ind w:left="102" w:right="98" w:firstLine="417"/>
      </w:pPr>
      <w:r>
        <w:rPr/>
        <w:t>У 51</w:t>
      </w:r>
      <w:r>
        <w:rPr>
          <w:spacing w:val="29"/>
        </w:rPr>
        <w:t> </w:t>
      </w:r>
      <w:r>
        <w:rPr/>
        <w:t>больной</w:t>
      </w:r>
      <w:r>
        <w:rPr>
          <w:spacing w:val="15"/>
        </w:rPr>
        <w:t> </w:t>
      </w:r>
      <w:r>
        <w:rPr/>
        <w:t>(89,5%)</w:t>
        <w:tab/>
        <w:t>опухоль располагалась в</w:t>
      </w:r>
      <w:r>
        <w:rPr>
          <w:spacing w:val="35"/>
        </w:rPr>
        <w:t> </w:t>
      </w:r>
      <w:r>
        <w:rPr/>
        <w:t>области</w:t>
      </w:r>
      <w:r>
        <w:rPr>
          <w:spacing w:val="13"/>
        </w:rPr>
        <w:t> </w:t>
      </w:r>
      <w:r>
        <w:rPr/>
        <w:t>эктоцервикса,</w:t>
      </w:r>
      <w:r>
        <w:rPr>
          <w:w w:val="100"/>
        </w:rPr>
        <w:t> </w:t>
      </w:r>
      <w:r>
        <w:rPr/>
        <w:t>поражение эндоцервикса выявлено у 6 (10,5%)</w:t>
      </w:r>
      <w:r>
        <w:rPr>
          <w:spacing w:val="-16"/>
        </w:rPr>
        <w:t> </w:t>
      </w:r>
      <w:r>
        <w:rPr/>
        <w:t>пациенток.</w:t>
      </w:r>
    </w:p>
    <w:p>
      <w:pPr>
        <w:pStyle w:val="BodyText"/>
        <w:tabs>
          <w:tab w:pos="5716" w:val="left" w:leader="none"/>
        </w:tabs>
        <w:spacing w:line="360" w:lineRule="auto" w:before="206"/>
        <w:ind w:left="102" w:right="101" w:firstLine="487"/>
      </w:pPr>
      <w:r>
        <w:rPr/>
        <w:t>Преобладала   экзофитная </w:t>
      </w:r>
      <w:r>
        <w:rPr>
          <w:spacing w:val="46"/>
        </w:rPr>
        <w:t> </w:t>
      </w:r>
      <w:r>
        <w:rPr/>
        <w:t>форма </w:t>
      </w:r>
      <w:r>
        <w:rPr>
          <w:spacing w:val="58"/>
        </w:rPr>
        <w:t> </w:t>
      </w:r>
      <w:r>
        <w:rPr/>
        <w:t>роста</w:t>
        <w:tab/>
        <w:t>(73,6%), </w:t>
      </w:r>
      <w:r>
        <w:rPr>
          <w:spacing w:val="54"/>
        </w:rPr>
        <w:t> </w:t>
      </w:r>
      <w:r>
        <w:rPr/>
        <w:t>смешанная </w:t>
      </w:r>
      <w:r>
        <w:rPr>
          <w:spacing w:val="55"/>
        </w:rPr>
        <w:t> </w:t>
      </w:r>
      <w:r>
        <w:rPr/>
        <w:t>форма</w:t>
      </w:r>
      <w:r>
        <w:rPr>
          <w:w w:val="100"/>
        </w:rPr>
        <w:t> </w:t>
      </w:r>
      <w:r>
        <w:rPr/>
        <w:t>выявлена у 15 больных</w:t>
      </w:r>
      <w:r>
        <w:rPr>
          <w:spacing w:val="-5"/>
        </w:rPr>
        <w:t> </w:t>
      </w:r>
      <w:r>
        <w:rPr/>
        <w:t>(26,3%).</w:t>
      </w:r>
    </w:p>
    <w:p>
      <w:pPr>
        <w:pStyle w:val="BodyText"/>
        <w:spacing w:line="362" w:lineRule="auto" w:before="204"/>
        <w:ind w:left="102" w:firstLine="208"/>
      </w:pPr>
      <w:r>
        <w:rPr/>
        <w:t>Распределение по степени распространения опухоли, установленной на основании данных клинического обследования  57 больным раком шейки</w:t>
      </w:r>
    </w:p>
    <w:p>
      <w:pPr>
        <w:spacing w:after="0" w:line="362" w:lineRule="auto"/>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22" w:right="129"/>
        <w:jc w:val="both"/>
      </w:pPr>
      <w:r>
        <w:rPr/>
        <w:t>матки, вошедших в этот раздел исследования, суммировано в следующей таблице (Табл. 4.2).</w:t>
      </w:r>
    </w:p>
    <w:p>
      <w:pPr>
        <w:pStyle w:val="BodyText"/>
        <w:rPr>
          <w:sz w:val="30"/>
        </w:rPr>
      </w:pPr>
    </w:p>
    <w:p>
      <w:pPr>
        <w:pStyle w:val="BodyText"/>
        <w:rPr>
          <w:sz w:val="30"/>
        </w:rPr>
      </w:pPr>
    </w:p>
    <w:p>
      <w:pPr>
        <w:pStyle w:val="BodyText"/>
        <w:spacing w:before="198"/>
        <w:ind w:right="122"/>
        <w:jc w:val="right"/>
      </w:pPr>
      <w:r>
        <w:rPr/>
        <w:t>Таблица 4.2</w:t>
      </w:r>
    </w:p>
    <w:p>
      <w:pPr>
        <w:pStyle w:val="BodyText"/>
        <w:spacing w:before="4"/>
        <w:rPr>
          <w:sz w:val="31"/>
        </w:rPr>
      </w:pPr>
    </w:p>
    <w:p>
      <w:pPr>
        <w:pStyle w:val="BodyText"/>
        <w:spacing w:before="1"/>
        <w:ind w:left="2236"/>
      </w:pPr>
      <w:r>
        <w:rPr/>
        <w:t>Результаты клинического</w:t>
      </w:r>
      <w:r>
        <w:rPr>
          <w:spacing w:val="64"/>
        </w:rPr>
        <w:t> </w:t>
      </w:r>
      <w:r>
        <w:rPr/>
        <w:t>стадирования</w:t>
      </w:r>
    </w:p>
    <w:p>
      <w:pPr>
        <w:pStyle w:val="BodyText"/>
        <w:rPr>
          <w:sz w:val="20"/>
        </w:rPr>
      </w:pPr>
    </w:p>
    <w:p>
      <w:pPr>
        <w:pStyle w:val="BodyText"/>
        <w:spacing w:before="10"/>
        <w:rPr>
          <w:sz w:val="11"/>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1347"/>
        <w:gridCol w:w="1277"/>
        <w:gridCol w:w="1277"/>
        <w:gridCol w:w="1416"/>
        <w:gridCol w:w="1136"/>
        <w:gridCol w:w="1133"/>
      </w:tblGrid>
      <w:tr>
        <w:trPr>
          <w:trHeight w:val="951" w:hRule="exact"/>
        </w:trPr>
        <w:tc>
          <w:tcPr>
            <w:tcW w:w="1488" w:type="dxa"/>
          </w:tcPr>
          <w:p>
            <w:pPr>
              <w:pStyle w:val="TableParagraph"/>
              <w:spacing w:line="278" w:lineRule="auto"/>
              <w:ind w:left="319" w:right="294" w:hanging="10"/>
              <w:rPr>
                <w:sz w:val="28"/>
              </w:rPr>
            </w:pPr>
            <w:r>
              <w:rPr>
                <w:sz w:val="28"/>
              </w:rPr>
              <w:t>Стадия (FIGO)</w:t>
            </w:r>
          </w:p>
        </w:tc>
        <w:tc>
          <w:tcPr>
            <w:tcW w:w="1347" w:type="dxa"/>
          </w:tcPr>
          <w:p>
            <w:pPr>
              <w:pStyle w:val="TableParagraph"/>
              <w:spacing w:before="123"/>
              <w:ind w:left="193" w:right="193"/>
              <w:jc w:val="center"/>
              <w:rPr>
                <w:sz w:val="28"/>
              </w:rPr>
            </w:pPr>
            <w:r>
              <w:rPr>
                <w:sz w:val="28"/>
              </w:rPr>
              <w:t>IB</w:t>
            </w:r>
          </w:p>
        </w:tc>
        <w:tc>
          <w:tcPr>
            <w:tcW w:w="1277" w:type="dxa"/>
          </w:tcPr>
          <w:p>
            <w:pPr>
              <w:pStyle w:val="TableParagraph"/>
              <w:spacing w:before="123"/>
              <w:ind w:left="227" w:right="226"/>
              <w:jc w:val="center"/>
              <w:rPr>
                <w:sz w:val="28"/>
              </w:rPr>
            </w:pPr>
            <w:r>
              <w:rPr>
                <w:sz w:val="28"/>
              </w:rPr>
              <w:t>IIA</w:t>
            </w:r>
          </w:p>
        </w:tc>
        <w:tc>
          <w:tcPr>
            <w:tcW w:w="1277" w:type="dxa"/>
          </w:tcPr>
          <w:p>
            <w:pPr>
              <w:pStyle w:val="TableParagraph"/>
              <w:spacing w:before="123"/>
              <w:ind w:left="157" w:right="157"/>
              <w:jc w:val="center"/>
              <w:rPr>
                <w:sz w:val="28"/>
              </w:rPr>
            </w:pPr>
            <w:r>
              <w:rPr>
                <w:sz w:val="28"/>
              </w:rPr>
              <w:t>IIB</w:t>
            </w:r>
          </w:p>
        </w:tc>
        <w:tc>
          <w:tcPr>
            <w:tcW w:w="1416" w:type="dxa"/>
          </w:tcPr>
          <w:p>
            <w:pPr>
              <w:pStyle w:val="TableParagraph"/>
              <w:spacing w:before="123"/>
              <w:ind w:left="115" w:right="115"/>
              <w:jc w:val="center"/>
              <w:rPr>
                <w:sz w:val="28"/>
              </w:rPr>
            </w:pPr>
            <w:r>
              <w:rPr>
                <w:sz w:val="28"/>
              </w:rPr>
              <w:t>IIIB</w:t>
            </w:r>
          </w:p>
        </w:tc>
        <w:tc>
          <w:tcPr>
            <w:tcW w:w="1136" w:type="dxa"/>
          </w:tcPr>
          <w:p>
            <w:pPr>
              <w:pStyle w:val="TableParagraph"/>
              <w:spacing w:before="123"/>
              <w:ind w:left="59" w:right="59"/>
              <w:jc w:val="center"/>
              <w:rPr>
                <w:sz w:val="28"/>
              </w:rPr>
            </w:pPr>
            <w:r>
              <w:rPr>
                <w:sz w:val="28"/>
              </w:rPr>
              <w:t>IVA</w:t>
            </w:r>
          </w:p>
        </w:tc>
        <w:tc>
          <w:tcPr>
            <w:tcW w:w="1133" w:type="dxa"/>
          </w:tcPr>
          <w:p>
            <w:pPr>
              <w:pStyle w:val="TableParagraph"/>
              <w:spacing w:before="123"/>
              <w:ind w:left="58" w:right="58"/>
              <w:jc w:val="center"/>
              <w:rPr>
                <w:sz w:val="28"/>
              </w:rPr>
            </w:pPr>
            <w:r>
              <w:rPr>
                <w:sz w:val="28"/>
              </w:rPr>
              <w:t>IVB</w:t>
            </w:r>
          </w:p>
        </w:tc>
      </w:tr>
      <w:tr>
        <w:trPr>
          <w:trHeight w:val="581" w:hRule="exact"/>
        </w:trPr>
        <w:tc>
          <w:tcPr>
            <w:tcW w:w="1488" w:type="dxa"/>
          </w:tcPr>
          <w:p>
            <w:pPr>
              <w:pStyle w:val="TableParagraph"/>
              <w:spacing w:line="315" w:lineRule="exact"/>
              <w:ind w:left="381" w:right="380"/>
              <w:jc w:val="center"/>
              <w:rPr>
                <w:sz w:val="28"/>
              </w:rPr>
            </w:pPr>
            <w:r>
              <w:rPr>
                <w:sz w:val="28"/>
              </w:rPr>
              <w:t>n (57)</w:t>
            </w:r>
          </w:p>
        </w:tc>
        <w:tc>
          <w:tcPr>
            <w:tcW w:w="1347" w:type="dxa"/>
          </w:tcPr>
          <w:p>
            <w:pPr>
              <w:pStyle w:val="TableParagraph"/>
              <w:spacing w:line="315" w:lineRule="exact"/>
              <w:ind w:left="3"/>
              <w:jc w:val="center"/>
              <w:rPr>
                <w:sz w:val="28"/>
              </w:rPr>
            </w:pPr>
            <w:r>
              <w:rPr>
                <w:w w:val="100"/>
                <w:sz w:val="28"/>
              </w:rPr>
              <w:t>6</w:t>
            </w:r>
          </w:p>
        </w:tc>
        <w:tc>
          <w:tcPr>
            <w:tcW w:w="1277" w:type="dxa"/>
          </w:tcPr>
          <w:p>
            <w:pPr>
              <w:pStyle w:val="TableParagraph"/>
              <w:spacing w:line="315" w:lineRule="exact"/>
              <w:ind w:left="1"/>
              <w:jc w:val="center"/>
              <w:rPr>
                <w:sz w:val="28"/>
              </w:rPr>
            </w:pPr>
            <w:r>
              <w:rPr>
                <w:w w:val="100"/>
                <w:sz w:val="28"/>
              </w:rPr>
              <w:t>4</w:t>
            </w:r>
          </w:p>
        </w:tc>
        <w:tc>
          <w:tcPr>
            <w:tcW w:w="1277" w:type="dxa"/>
          </w:tcPr>
          <w:p>
            <w:pPr>
              <w:pStyle w:val="TableParagraph"/>
              <w:spacing w:line="315" w:lineRule="exact"/>
              <w:ind w:left="157" w:right="157"/>
              <w:jc w:val="center"/>
              <w:rPr>
                <w:sz w:val="28"/>
              </w:rPr>
            </w:pPr>
            <w:r>
              <w:rPr>
                <w:sz w:val="28"/>
              </w:rPr>
              <w:t>19</w:t>
            </w:r>
          </w:p>
        </w:tc>
        <w:tc>
          <w:tcPr>
            <w:tcW w:w="1416" w:type="dxa"/>
          </w:tcPr>
          <w:p>
            <w:pPr>
              <w:pStyle w:val="TableParagraph"/>
              <w:spacing w:line="315" w:lineRule="exact"/>
              <w:ind w:left="115" w:right="115"/>
              <w:jc w:val="center"/>
              <w:rPr>
                <w:sz w:val="28"/>
              </w:rPr>
            </w:pPr>
            <w:r>
              <w:rPr>
                <w:sz w:val="28"/>
              </w:rPr>
              <w:t>22</w:t>
            </w:r>
          </w:p>
        </w:tc>
        <w:tc>
          <w:tcPr>
            <w:tcW w:w="1136" w:type="dxa"/>
          </w:tcPr>
          <w:p>
            <w:pPr>
              <w:pStyle w:val="TableParagraph"/>
              <w:spacing w:line="315" w:lineRule="exact"/>
              <w:jc w:val="center"/>
              <w:rPr>
                <w:sz w:val="28"/>
              </w:rPr>
            </w:pPr>
            <w:r>
              <w:rPr>
                <w:w w:val="100"/>
                <w:sz w:val="28"/>
              </w:rPr>
              <w:t>1</w:t>
            </w:r>
          </w:p>
        </w:tc>
        <w:tc>
          <w:tcPr>
            <w:tcW w:w="1133" w:type="dxa"/>
          </w:tcPr>
          <w:p>
            <w:pPr>
              <w:pStyle w:val="TableParagraph"/>
              <w:spacing w:line="315" w:lineRule="exact"/>
              <w:ind w:right="1"/>
              <w:jc w:val="center"/>
              <w:rPr>
                <w:sz w:val="28"/>
              </w:rPr>
            </w:pPr>
            <w:r>
              <w:rPr>
                <w:w w:val="100"/>
                <w:sz w:val="28"/>
              </w:rPr>
              <w:t>5</w:t>
            </w:r>
          </w:p>
        </w:tc>
      </w:tr>
      <w:tr>
        <w:trPr>
          <w:trHeight w:val="694" w:hRule="exact"/>
        </w:trPr>
        <w:tc>
          <w:tcPr>
            <w:tcW w:w="1488" w:type="dxa"/>
          </w:tcPr>
          <w:p>
            <w:pPr>
              <w:pStyle w:val="TableParagraph"/>
              <w:spacing w:line="315" w:lineRule="exact"/>
              <w:ind w:left="3"/>
              <w:jc w:val="center"/>
              <w:rPr>
                <w:sz w:val="28"/>
              </w:rPr>
            </w:pPr>
            <w:r>
              <w:rPr>
                <w:w w:val="100"/>
                <w:sz w:val="28"/>
              </w:rPr>
              <w:t>%</w:t>
            </w:r>
          </w:p>
        </w:tc>
        <w:tc>
          <w:tcPr>
            <w:tcW w:w="1347" w:type="dxa"/>
          </w:tcPr>
          <w:p>
            <w:pPr>
              <w:pStyle w:val="TableParagraph"/>
              <w:spacing w:line="315" w:lineRule="exact"/>
              <w:ind w:left="194" w:right="193"/>
              <w:jc w:val="center"/>
              <w:rPr>
                <w:sz w:val="28"/>
              </w:rPr>
            </w:pPr>
            <w:r>
              <w:rPr>
                <w:sz w:val="28"/>
              </w:rPr>
              <w:t>(10,5%)</w:t>
            </w:r>
          </w:p>
        </w:tc>
        <w:tc>
          <w:tcPr>
            <w:tcW w:w="1277" w:type="dxa"/>
          </w:tcPr>
          <w:p>
            <w:pPr>
              <w:pStyle w:val="TableParagraph"/>
              <w:spacing w:line="315" w:lineRule="exact"/>
              <w:ind w:left="231" w:right="226"/>
              <w:jc w:val="center"/>
              <w:rPr>
                <w:sz w:val="28"/>
              </w:rPr>
            </w:pPr>
            <w:r>
              <w:rPr>
                <w:sz w:val="28"/>
              </w:rPr>
              <w:t>(7,0%)</w:t>
            </w:r>
          </w:p>
        </w:tc>
        <w:tc>
          <w:tcPr>
            <w:tcW w:w="1277" w:type="dxa"/>
          </w:tcPr>
          <w:p>
            <w:pPr>
              <w:pStyle w:val="TableParagraph"/>
              <w:spacing w:line="315" w:lineRule="exact"/>
              <w:ind w:left="160" w:right="157"/>
              <w:jc w:val="center"/>
              <w:rPr>
                <w:sz w:val="28"/>
              </w:rPr>
            </w:pPr>
            <w:r>
              <w:rPr>
                <w:sz w:val="28"/>
              </w:rPr>
              <w:t>(33,3%)</w:t>
            </w:r>
          </w:p>
        </w:tc>
        <w:tc>
          <w:tcPr>
            <w:tcW w:w="1416" w:type="dxa"/>
          </w:tcPr>
          <w:p>
            <w:pPr>
              <w:pStyle w:val="TableParagraph"/>
              <w:spacing w:line="315" w:lineRule="exact"/>
              <w:ind w:left="115" w:right="116"/>
              <w:jc w:val="center"/>
              <w:rPr>
                <w:sz w:val="28"/>
              </w:rPr>
            </w:pPr>
            <w:r>
              <w:rPr>
                <w:sz w:val="28"/>
              </w:rPr>
              <w:t>(38,6%)</w:t>
            </w:r>
          </w:p>
        </w:tc>
        <w:tc>
          <w:tcPr>
            <w:tcW w:w="1136" w:type="dxa"/>
          </w:tcPr>
          <w:p>
            <w:pPr>
              <w:pStyle w:val="TableParagraph"/>
              <w:spacing w:line="315" w:lineRule="exact"/>
              <w:ind w:left="61" w:right="59"/>
              <w:jc w:val="center"/>
              <w:rPr>
                <w:sz w:val="28"/>
              </w:rPr>
            </w:pPr>
            <w:r>
              <w:rPr>
                <w:sz w:val="28"/>
              </w:rPr>
              <w:t>(1,8%)</w:t>
            </w:r>
          </w:p>
        </w:tc>
        <w:tc>
          <w:tcPr>
            <w:tcW w:w="1133" w:type="dxa"/>
          </w:tcPr>
          <w:p>
            <w:pPr>
              <w:pStyle w:val="TableParagraph"/>
              <w:spacing w:line="315" w:lineRule="exact"/>
              <w:ind w:left="57" w:right="58"/>
              <w:jc w:val="center"/>
              <w:rPr>
                <w:sz w:val="28"/>
              </w:rPr>
            </w:pPr>
            <w:r>
              <w:rPr>
                <w:sz w:val="28"/>
              </w:rPr>
              <w:t>(8,8%)</w:t>
            </w:r>
          </w:p>
        </w:tc>
      </w:tr>
    </w:tbl>
    <w:p>
      <w:pPr>
        <w:pStyle w:val="BodyText"/>
        <w:rPr>
          <w:sz w:val="30"/>
        </w:rPr>
      </w:pPr>
    </w:p>
    <w:p>
      <w:pPr>
        <w:pStyle w:val="BodyText"/>
        <w:spacing w:before="10"/>
      </w:pPr>
    </w:p>
    <w:p>
      <w:pPr>
        <w:pStyle w:val="BodyText"/>
        <w:spacing w:line="360" w:lineRule="auto"/>
        <w:ind w:left="122" w:right="122" w:firstLine="278"/>
        <w:jc w:val="both"/>
      </w:pPr>
      <w:r>
        <w:rPr/>
        <w:t>На первом этапе лечения 57 больных раком шейки матки подверглись операциям хирургического стадирования, заключавшихся в тщательной ревизии органов малого таза и брюшной полости,  биопсии подозрительных на опухолевое поражение участков брюшины, парааортальной и в ряде случаев подвздошной лимфаденэктомии.</w:t>
      </w:r>
    </w:p>
    <w:p>
      <w:pPr>
        <w:pStyle w:val="BodyText"/>
        <w:spacing w:line="360" w:lineRule="auto" w:before="207"/>
        <w:ind w:left="122" w:right="120" w:firstLine="69"/>
        <w:jc w:val="both"/>
      </w:pPr>
      <w:r>
        <w:rPr/>
        <w:t>Этот раздел исследования мы продолжили иллюстрациями основных этапов операции параортальной лимфодиссекции. Последовательно, с использованием биполярной коагуляции производилась лимфодиссекция: верхняя граница – на уровне нижнего края почечной вены; нижняя – бифуркация аорты; латерально – m.psoas, поясничные отделы мочеточников, сосуды яичников (Рис. 4.5 а,б,в,г,д,е,ж).</w:t>
      </w:r>
    </w:p>
    <w:p>
      <w:pPr>
        <w:spacing w:after="0" w:line="360" w:lineRule="auto"/>
        <w:jc w:val="both"/>
        <w:sectPr>
          <w:pgSz w:w="11900" w:h="16850"/>
          <w:pgMar w:header="712" w:footer="0" w:top="1020" w:bottom="280" w:left="1580" w:right="1000"/>
        </w:sectPr>
      </w:pPr>
    </w:p>
    <w:p>
      <w:pPr>
        <w:pStyle w:val="BodyText"/>
        <w:rPr>
          <w:sz w:val="20"/>
        </w:rPr>
      </w:pPr>
    </w:p>
    <w:p>
      <w:pPr>
        <w:pStyle w:val="BodyText"/>
        <w:rPr>
          <w:sz w:val="20"/>
        </w:rPr>
      </w:pPr>
    </w:p>
    <w:p>
      <w:pPr>
        <w:pStyle w:val="BodyText"/>
        <w:spacing w:line="508" w:lineRule="auto" w:before="224"/>
        <w:ind w:left="2471" w:firstLine="3331"/>
      </w:pPr>
      <w:r>
        <w:rPr/>
        <w:t>Рисунок 4.5 а, б, в, г, д, е, ж Этапы выполнения лимфодиссекции</w:t>
      </w:r>
    </w:p>
    <w:p>
      <w:pPr>
        <w:pStyle w:val="BodyText"/>
        <w:rPr>
          <w:sz w:val="20"/>
        </w:rPr>
      </w:pPr>
    </w:p>
    <w:p>
      <w:pPr>
        <w:pStyle w:val="BodyText"/>
        <w:spacing w:before="9"/>
        <w:rPr>
          <w:sz w:val="14"/>
        </w:rPr>
      </w:pPr>
      <w:r>
        <w:rPr/>
        <w:pict>
          <v:group style="position:absolute;margin-left:99.492996pt;margin-top:14.008587pt;width:200.95pt;height:196.1pt;mso-position-horizontal-relative:page;mso-position-vertical-relative:paragraph;z-index:3784;mso-wrap-distance-left:0;mso-wrap-distance-right:0" coordorigin="1990,280" coordsize="4019,3922">
            <v:shape style="position:absolute;left:2005;top:295;width:3989;height:3892" type="#_x0000_t75" stroked="false">
              <v:imagedata r:id="rId91" o:title=""/>
            </v:shape>
            <v:rect style="position:absolute;left:1997;top:288;width:4004;height:3907" filled="false" stroked="true" strokeweight=".75pt" strokecolor="#000000">
              <v:stroke dashstyle="solid"/>
            </v:rect>
            <w10:wrap type="topAndBottom"/>
          </v:group>
        </w:pict>
      </w:r>
      <w:r>
        <w:rPr/>
        <w:drawing>
          <wp:anchor distT="0" distB="0" distL="0" distR="0" allowOverlap="1" layoutInCell="1" locked="0" behindDoc="0" simplePos="0" relativeHeight="3808">
            <wp:simplePos x="0" y="0"/>
            <wp:positionH relativeFrom="page">
              <wp:posOffset>4257802</wp:posOffset>
            </wp:positionH>
            <wp:positionV relativeFrom="paragraph">
              <wp:posOffset>133014</wp:posOffset>
            </wp:positionV>
            <wp:extent cx="2447516" cy="2577465"/>
            <wp:effectExtent l="0" t="0" r="0" b="0"/>
            <wp:wrapTopAndBottom/>
            <wp:docPr id="63" name="image80.jpeg" descr=""/>
            <wp:cNvGraphicFramePr>
              <a:graphicFrameLocks noChangeAspect="1"/>
            </wp:cNvGraphicFramePr>
            <a:graphic>
              <a:graphicData uri="http://schemas.openxmlformats.org/drawingml/2006/picture">
                <pic:pic>
                  <pic:nvPicPr>
                    <pic:cNvPr id="64" name="image80.jpeg"/>
                    <pic:cNvPicPr/>
                  </pic:nvPicPr>
                  <pic:blipFill>
                    <a:blip r:embed="rId92" cstate="print"/>
                    <a:stretch>
                      <a:fillRect/>
                    </a:stretch>
                  </pic:blipFill>
                  <pic:spPr>
                    <a:xfrm>
                      <a:off x="0" y="0"/>
                      <a:ext cx="2447516" cy="2577465"/>
                    </a:xfrm>
                    <a:prstGeom prst="rect">
                      <a:avLst/>
                    </a:prstGeom>
                  </pic:spPr>
                </pic:pic>
              </a:graphicData>
            </a:graphic>
          </wp:anchor>
        </w:drawing>
      </w:r>
    </w:p>
    <w:p>
      <w:pPr>
        <w:pStyle w:val="BodyText"/>
        <w:rPr>
          <w:sz w:val="30"/>
        </w:rPr>
      </w:pPr>
    </w:p>
    <w:p>
      <w:pPr>
        <w:pStyle w:val="BodyText"/>
        <w:rPr>
          <w:sz w:val="30"/>
        </w:rPr>
      </w:pPr>
    </w:p>
    <w:p>
      <w:pPr>
        <w:pStyle w:val="BodyText"/>
        <w:tabs>
          <w:tab w:pos="5642" w:val="left" w:leader="none"/>
        </w:tabs>
        <w:spacing w:before="265"/>
        <w:ind w:left="102"/>
      </w:pPr>
      <w:r>
        <w:rPr/>
        <w:t>разметка</w:t>
        <w:tab/>
        <w:t>прошивание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r>
        <w:rPr/>
        <w:pict>
          <v:group style="position:absolute;margin-left:86.300003pt;margin-top:7.727954pt;width:233.35pt;height:213.75pt;mso-position-horizontal-relative:page;mso-position-vertical-relative:paragraph;z-index:3832;mso-wrap-distance-left:0;mso-wrap-distance-right:0" coordorigin="1726,155" coordsize="4667,4275">
            <v:shape style="position:absolute;left:1746;top:170;width:4632;height:4245" type="#_x0000_t75" stroked="false">
              <v:imagedata r:id="rId93" o:title=""/>
            </v:shape>
            <v:rect style="position:absolute;left:1734;top:162;width:4652;height:4260" filled="false" stroked="true" strokeweight=".75pt" strokecolor="#000000">
              <v:stroke dashstyle="solid"/>
            </v:rect>
            <w10:wrap type="topAndBottom"/>
          </v:group>
        </w:pict>
      </w:r>
    </w:p>
    <w:p>
      <w:pPr>
        <w:pStyle w:val="BodyText"/>
        <w:spacing w:before="2"/>
        <w:rPr>
          <w:sz w:val="30"/>
        </w:rPr>
      </w:pPr>
    </w:p>
    <w:p>
      <w:pPr>
        <w:pStyle w:val="BodyText"/>
        <w:ind w:left="2413"/>
      </w:pPr>
      <w:r>
        <w:rPr/>
        <w:t>фиксация</w:t>
      </w:r>
    </w:p>
    <w:p>
      <w:pPr>
        <w:pStyle w:val="BodyText"/>
        <w:spacing w:before="3"/>
        <w:rPr>
          <w:sz w:val="31"/>
        </w:rPr>
      </w:pPr>
    </w:p>
    <w:p>
      <w:pPr>
        <w:pStyle w:val="BodyText"/>
        <w:ind w:left="1409"/>
        <w:jc w:val="center"/>
      </w:pPr>
      <w:r>
        <w:rPr>
          <w:w w:val="100"/>
        </w:rPr>
        <w:t>а</w:t>
      </w:r>
    </w:p>
    <w:p>
      <w:pPr>
        <w:spacing w:after="0"/>
        <w:jc w:val="center"/>
        <w:sectPr>
          <w:pgSz w:w="11900" w:h="16850"/>
          <w:pgMar w:header="712" w:footer="0" w:top="1020" w:bottom="280" w:left="1600" w:right="1020"/>
        </w:sectPr>
      </w:pPr>
    </w:p>
    <w:p>
      <w:pPr>
        <w:pStyle w:val="BodyText"/>
        <w:rPr>
          <w:sz w:val="20"/>
        </w:rPr>
      </w:pPr>
    </w:p>
    <w:p>
      <w:pPr>
        <w:pStyle w:val="BodyText"/>
        <w:rPr>
          <w:sz w:val="20"/>
        </w:rPr>
      </w:pPr>
    </w:p>
    <w:p>
      <w:pPr>
        <w:pStyle w:val="BodyText"/>
        <w:spacing w:before="2" w:after="1"/>
        <w:rPr>
          <w:sz w:val="20"/>
        </w:rPr>
      </w:pPr>
    </w:p>
    <w:p>
      <w:pPr>
        <w:tabs>
          <w:tab w:pos="4681" w:val="left" w:leader="none"/>
        </w:tabs>
        <w:spacing w:line="240" w:lineRule="auto"/>
        <w:ind w:left="101" w:right="0" w:firstLine="0"/>
        <w:rPr>
          <w:sz w:val="20"/>
        </w:rPr>
      </w:pPr>
      <w:r>
        <w:rPr>
          <w:sz w:val="20"/>
        </w:rPr>
        <w:drawing>
          <wp:inline distT="0" distB="0" distL="0" distR="0">
            <wp:extent cx="2627745" cy="2849213"/>
            <wp:effectExtent l="0" t="0" r="0" b="0"/>
            <wp:docPr id="65" name="image82.jpeg" descr=""/>
            <wp:cNvGraphicFramePr>
              <a:graphicFrameLocks noChangeAspect="1"/>
            </wp:cNvGraphicFramePr>
            <a:graphic>
              <a:graphicData uri="http://schemas.openxmlformats.org/drawingml/2006/picture">
                <pic:pic>
                  <pic:nvPicPr>
                    <pic:cNvPr id="66" name="image82.jpeg"/>
                    <pic:cNvPicPr/>
                  </pic:nvPicPr>
                  <pic:blipFill>
                    <a:blip r:embed="rId94" cstate="print"/>
                    <a:stretch>
                      <a:fillRect/>
                    </a:stretch>
                  </pic:blipFill>
                  <pic:spPr>
                    <a:xfrm>
                      <a:off x="0" y="0"/>
                      <a:ext cx="2627745" cy="2849213"/>
                    </a:xfrm>
                    <a:prstGeom prst="rect">
                      <a:avLst/>
                    </a:prstGeom>
                  </pic:spPr>
                </pic:pic>
              </a:graphicData>
            </a:graphic>
          </wp:inline>
        </w:drawing>
      </w:r>
      <w:r>
        <w:rPr>
          <w:sz w:val="20"/>
        </w:rPr>
      </w:r>
      <w:r>
        <w:rPr>
          <w:sz w:val="20"/>
        </w:rPr>
        <w:tab/>
      </w:r>
      <w:r>
        <w:rPr>
          <w:sz w:val="20"/>
        </w:rPr>
        <w:drawing>
          <wp:inline distT="0" distB="0" distL="0" distR="0">
            <wp:extent cx="2623081" cy="2849213"/>
            <wp:effectExtent l="0" t="0" r="0" b="0"/>
            <wp:docPr id="67" name="image83.jpeg" descr=""/>
            <wp:cNvGraphicFramePr>
              <a:graphicFrameLocks noChangeAspect="1"/>
            </wp:cNvGraphicFramePr>
            <a:graphic>
              <a:graphicData uri="http://schemas.openxmlformats.org/drawingml/2006/picture">
                <pic:pic>
                  <pic:nvPicPr>
                    <pic:cNvPr id="68" name="image83.jpeg"/>
                    <pic:cNvPicPr/>
                  </pic:nvPicPr>
                  <pic:blipFill>
                    <a:blip r:embed="rId95" cstate="print"/>
                    <a:stretch>
                      <a:fillRect/>
                    </a:stretch>
                  </pic:blipFill>
                  <pic:spPr>
                    <a:xfrm>
                      <a:off x="0" y="0"/>
                      <a:ext cx="2623081" cy="2849213"/>
                    </a:xfrm>
                    <a:prstGeom prst="rect">
                      <a:avLst/>
                    </a:prstGeom>
                  </pic:spPr>
                </pic:pic>
              </a:graphicData>
            </a:graphic>
          </wp:inline>
        </w:drawing>
      </w:r>
      <w:r>
        <w:rPr>
          <w:sz w:val="20"/>
        </w:rPr>
      </w:r>
    </w:p>
    <w:p>
      <w:pPr>
        <w:pStyle w:val="BodyText"/>
        <w:spacing w:before="9"/>
        <w:rPr>
          <w:sz w:val="23"/>
        </w:rPr>
      </w:pPr>
    </w:p>
    <w:p>
      <w:pPr>
        <w:pStyle w:val="BodyText"/>
        <w:tabs>
          <w:tab w:pos="5847" w:val="left" w:leader="none"/>
        </w:tabs>
        <w:spacing w:before="89"/>
        <w:ind w:left="1082"/>
        <w:jc w:val="center"/>
      </w:pPr>
      <w:r>
        <w:rPr/>
        <w:t>б</w:t>
        <w:tab/>
        <w:t>в</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r>
        <w:rPr/>
        <w:pict>
          <v:group style="position:absolute;margin-left:86.300003pt;margin-top:16.733557pt;width:187.15pt;height:217.1pt;mso-position-horizontal-relative:page;mso-position-vertical-relative:paragraph;z-index:3856;mso-wrap-distance-left:0;mso-wrap-distance-right:0" coordorigin="1726,335" coordsize="3743,4342">
            <v:shape style="position:absolute;left:1741;top:355;width:3712;height:4307" type="#_x0000_t75" stroked="false">
              <v:imagedata r:id="rId96" o:title=""/>
            </v:shape>
            <v:rect style="position:absolute;left:1734;top:342;width:3727;height:4327" filled="false" stroked="true" strokeweight=".75pt" strokecolor="#000000">
              <v:stroke dashstyle="solid"/>
            </v:rect>
            <w10:wrap type="topAndBottom"/>
          </v:group>
        </w:pict>
      </w:r>
      <w:r>
        <w:rPr/>
        <w:drawing>
          <wp:anchor distT="0" distB="0" distL="0" distR="0" allowOverlap="1" layoutInCell="1" locked="0" behindDoc="0" simplePos="0" relativeHeight="3880">
            <wp:simplePos x="0" y="0"/>
            <wp:positionH relativeFrom="page">
              <wp:posOffset>4160392</wp:posOffset>
            </wp:positionH>
            <wp:positionV relativeFrom="paragraph">
              <wp:posOffset>144634</wp:posOffset>
            </wp:positionV>
            <wp:extent cx="2637704" cy="2885503"/>
            <wp:effectExtent l="0" t="0" r="0" b="0"/>
            <wp:wrapTopAndBottom/>
            <wp:docPr id="69" name="image85.jpeg" descr=""/>
            <wp:cNvGraphicFramePr>
              <a:graphicFrameLocks noChangeAspect="1"/>
            </wp:cNvGraphicFramePr>
            <a:graphic>
              <a:graphicData uri="http://schemas.openxmlformats.org/drawingml/2006/picture">
                <pic:pic>
                  <pic:nvPicPr>
                    <pic:cNvPr id="70" name="image85.jpeg"/>
                    <pic:cNvPicPr/>
                  </pic:nvPicPr>
                  <pic:blipFill>
                    <a:blip r:embed="rId97" cstate="print"/>
                    <a:stretch>
                      <a:fillRect/>
                    </a:stretch>
                  </pic:blipFill>
                  <pic:spPr>
                    <a:xfrm>
                      <a:off x="0" y="0"/>
                      <a:ext cx="2637704" cy="2885503"/>
                    </a:xfrm>
                    <a:prstGeom prst="rect">
                      <a:avLst/>
                    </a:prstGeom>
                  </pic:spPr>
                </pic:pic>
              </a:graphicData>
            </a:graphic>
          </wp:anchor>
        </w:drawing>
      </w:r>
    </w:p>
    <w:p>
      <w:pPr>
        <w:pStyle w:val="BodyText"/>
        <w:tabs>
          <w:tab w:pos="6635" w:val="left" w:leader="none"/>
        </w:tabs>
        <w:spacing w:before="267"/>
        <w:ind w:left="1273"/>
        <w:jc w:val="center"/>
      </w:pPr>
      <w:r>
        <w:rPr/>
        <w:t>г</w:t>
        <w:tab/>
        <w:t>д</w:t>
      </w:r>
    </w:p>
    <w:p>
      <w:pPr>
        <w:spacing w:after="0"/>
        <w:jc w:val="center"/>
        <w:sectPr>
          <w:pgSz w:w="11900" w:h="16850"/>
          <w:pgMar w:header="712" w:footer="0" w:top="1020" w:bottom="280" w:left="1600" w:right="1100"/>
        </w:sectPr>
      </w:pPr>
    </w:p>
    <w:p>
      <w:pPr>
        <w:pStyle w:val="BodyText"/>
        <w:rPr>
          <w:sz w:val="20"/>
        </w:rPr>
      </w:pPr>
    </w:p>
    <w:p>
      <w:pPr>
        <w:pStyle w:val="BodyText"/>
        <w:rPr>
          <w:sz w:val="20"/>
        </w:rPr>
      </w:pPr>
    </w:p>
    <w:p>
      <w:pPr>
        <w:pStyle w:val="BodyText"/>
        <w:rPr>
          <w:sz w:val="20"/>
        </w:rPr>
      </w:pPr>
    </w:p>
    <w:p>
      <w:pPr>
        <w:tabs>
          <w:tab w:pos="4635" w:val="left" w:leader="none"/>
        </w:tabs>
        <w:spacing w:line="240" w:lineRule="auto"/>
        <w:ind w:left="101" w:right="0" w:firstLine="0"/>
        <w:rPr>
          <w:sz w:val="20"/>
        </w:rPr>
      </w:pPr>
      <w:r>
        <w:rPr>
          <w:position w:val="5"/>
          <w:sz w:val="20"/>
        </w:rPr>
        <w:drawing>
          <wp:inline distT="0" distB="0" distL="0" distR="0">
            <wp:extent cx="2523228" cy="2715958"/>
            <wp:effectExtent l="0" t="0" r="0" b="0"/>
            <wp:docPr id="71" name="image86.jpeg" descr=""/>
            <wp:cNvGraphicFramePr>
              <a:graphicFrameLocks noChangeAspect="1"/>
            </wp:cNvGraphicFramePr>
            <a:graphic>
              <a:graphicData uri="http://schemas.openxmlformats.org/drawingml/2006/picture">
                <pic:pic>
                  <pic:nvPicPr>
                    <pic:cNvPr id="72" name="image86.jpeg"/>
                    <pic:cNvPicPr/>
                  </pic:nvPicPr>
                  <pic:blipFill>
                    <a:blip r:embed="rId98" cstate="print"/>
                    <a:stretch>
                      <a:fillRect/>
                    </a:stretch>
                  </pic:blipFill>
                  <pic:spPr>
                    <a:xfrm>
                      <a:off x="0" y="0"/>
                      <a:ext cx="2523228" cy="2715958"/>
                    </a:xfrm>
                    <a:prstGeom prst="rect">
                      <a:avLst/>
                    </a:prstGeom>
                  </pic:spPr>
                </pic:pic>
              </a:graphicData>
            </a:graphic>
          </wp:inline>
        </w:drawing>
      </w:r>
      <w:r>
        <w:rPr>
          <w:position w:val="5"/>
          <w:sz w:val="20"/>
        </w:rPr>
      </w:r>
      <w:r>
        <w:rPr>
          <w:position w:val="5"/>
          <w:sz w:val="20"/>
        </w:rPr>
        <w:tab/>
      </w:r>
      <w:r>
        <w:rPr>
          <w:sz w:val="20"/>
        </w:rPr>
        <w:drawing>
          <wp:inline distT="0" distB="0" distL="0" distR="0">
            <wp:extent cx="2803081" cy="2758440"/>
            <wp:effectExtent l="0" t="0" r="0" b="0"/>
            <wp:docPr id="73" name="image87.jpeg" descr=""/>
            <wp:cNvGraphicFramePr>
              <a:graphicFrameLocks noChangeAspect="1"/>
            </wp:cNvGraphicFramePr>
            <a:graphic>
              <a:graphicData uri="http://schemas.openxmlformats.org/drawingml/2006/picture">
                <pic:pic>
                  <pic:nvPicPr>
                    <pic:cNvPr id="74" name="image87.jpeg"/>
                    <pic:cNvPicPr/>
                  </pic:nvPicPr>
                  <pic:blipFill>
                    <a:blip r:embed="rId99" cstate="print"/>
                    <a:stretch>
                      <a:fillRect/>
                    </a:stretch>
                  </pic:blipFill>
                  <pic:spPr>
                    <a:xfrm>
                      <a:off x="0" y="0"/>
                      <a:ext cx="2803081" cy="2758440"/>
                    </a:xfrm>
                    <a:prstGeom prst="rect">
                      <a:avLst/>
                    </a:prstGeom>
                  </pic:spPr>
                </pic:pic>
              </a:graphicData>
            </a:graphic>
          </wp:inline>
        </w:drawing>
      </w:r>
      <w:r>
        <w:rPr>
          <w:sz w:val="20"/>
        </w:rPr>
      </w:r>
    </w:p>
    <w:p>
      <w:pPr>
        <w:pStyle w:val="BodyText"/>
        <w:spacing w:before="7"/>
        <w:rPr>
          <w:sz w:val="18"/>
        </w:rPr>
      </w:pPr>
    </w:p>
    <w:p>
      <w:pPr>
        <w:pStyle w:val="BodyText"/>
        <w:tabs>
          <w:tab w:pos="7507" w:val="left" w:leader="none"/>
        </w:tabs>
        <w:spacing w:before="89"/>
        <w:ind w:left="2199"/>
      </w:pPr>
      <w:r>
        <w:rPr/>
        <w:t>е</w:t>
        <w:tab/>
        <w:t>ж</w:t>
      </w:r>
    </w:p>
    <w:p>
      <w:pPr>
        <w:pStyle w:val="BodyText"/>
        <w:rPr>
          <w:sz w:val="30"/>
        </w:rPr>
      </w:pPr>
    </w:p>
    <w:p>
      <w:pPr>
        <w:pStyle w:val="BodyText"/>
        <w:rPr>
          <w:sz w:val="30"/>
        </w:rPr>
      </w:pPr>
    </w:p>
    <w:p>
      <w:pPr>
        <w:pStyle w:val="BodyText"/>
        <w:spacing w:before="8"/>
        <w:rPr>
          <w:sz w:val="30"/>
        </w:rPr>
      </w:pPr>
    </w:p>
    <w:p>
      <w:pPr>
        <w:pStyle w:val="BodyText"/>
        <w:spacing w:line="360" w:lineRule="auto"/>
        <w:ind w:left="102" w:right="100"/>
        <w:jc w:val="both"/>
      </w:pPr>
      <w:r>
        <w:rPr/>
        <w:t>а – разметка, прошивание и фиксация брюшины; б – лимфодиссекция паракавальной группы; в – диссекция аортокавальной группы; г – парааортальная лимфодиссекция; д - лимфодиссекция мезентериальной группы; е – лимфодиссекция бифуркационной группы; ж – окончательный вид лимфодиссекции</w:t>
      </w:r>
    </w:p>
    <w:p>
      <w:pPr>
        <w:pStyle w:val="BodyText"/>
        <w:spacing w:line="360" w:lineRule="auto" w:before="207"/>
        <w:ind w:left="102" w:right="100" w:firstLine="347"/>
        <w:jc w:val="both"/>
      </w:pPr>
      <w:r>
        <w:rPr/>
        <w:t>Среднее время, затраченное на выполнение лапароскопической парааортальной лимфодиссекции составило 91 минуту (диапазон  60  – 130).</w:t>
      </w:r>
    </w:p>
    <w:p>
      <w:pPr>
        <w:pStyle w:val="BodyText"/>
        <w:spacing w:line="360" w:lineRule="auto" w:before="207"/>
        <w:ind w:left="102" w:right="105" w:firstLine="347"/>
        <w:jc w:val="both"/>
      </w:pPr>
      <w:r>
        <w:rPr/>
        <w:t>Клетчатка с удаленными лимфатическими узлами извлекалась из брюшной полости в эндоскопических  контейнерах  с  соблюдением  правил</w:t>
      </w:r>
      <w:r>
        <w:rPr>
          <w:spacing w:val="-3"/>
        </w:rPr>
        <w:t> </w:t>
      </w:r>
      <w:r>
        <w:rPr/>
        <w:t>абластики.</w:t>
      </w:r>
    </w:p>
    <w:p>
      <w:pPr>
        <w:pStyle w:val="BodyText"/>
        <w:spacing w:line="360" w:lineRule="auto" w:before="7"/>
        <w:ind w:left="102" w:right="108" w:firstLine="417"/>
        <w:jc w:val="both"/>
      </w:pPr>
      <w:r>
        <w:rPr/>
        <w:t>Количество удалённых лимфатических узлов при лапароскопической парааортальной лимфаденэктомии в среднем составило 8,3 (1 – 25).</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tabs>
          <w:tab w:pos="1629" w:val="left" w:leader="none"/>
          <w:tab w:pos="3390" w:val="left" w:leader="none"/>
          <w:tab w:pos="5159" w:val="left" w:leader="none"/>
          <w:tab w:pos="6786" w:val="left" w:leader="none"/>
          <w:tab w:pos="8974" w:val="left" w:leader="none"/>
        </w:tabs>
        <w:spacing w:line="360" w:lineRule="auto" w:before="224"/>
        <w:ind w:left="482" w:right="107" w:firstLine="69"/>
      </w:pPr>
      <w:r>
        <w:rPr/>
        <w:t>После</w:t>
        <w:tab/>
        <w:t>тщательной</w:t>
        <w:tab/>
        <w:t>маркировки</w:t>
        <w:tab/>
        <w:t>удаленные</w:t>
        <w:tab/>
        <w:t>лимфатические</w:t>
        <w:tab/>
      </w:r>
      <w:r>
        <w:rPr>
          <w:spacing w:val="-1"/>
        </w:rPr>
        <w:t>узлы </w:t>
      </w:r>
      <w:r>
        <w:rPr/>
        <w:t>направлялись на гистологическое исследование (Рисунок 4.6</w:t>
      </w:r>
      <w:r>
        <w:rPr>
          <w:spacing w:val="-15"/>
        </w:rPr>
        <w:t> </w:t>
      </w:r>
      <w:r>
        <w:rPr/>
        <w:t>а,б).</w:t>
      </w:r>
    </w:p>
    <w:p>
      <w:pPr>
        <w:pStyle w:val="BodyText"/>
        <w:spacing w:line="508" w:lineRule="auto" w:before="207"/>
        <w:ind w:left="551" w:firstLine="7109"/>
      </w:pPr>
      <w:r>
        <w:rPr/>
        <w:t>Рисунок 4.6 а,б Вид планшет – карты с обозначенными границами лимфодиссекции</w:t>
      </w:r>
    </w:p>
    <w:p>
      <w:pPr>
        <w:pStyle w:val="BodyText"/>
        <w:rPr>
          <w:sz w:val="20"/>
        </w:rPr>
      </w:pPr>
    </w:p>
    <w:p>
      <w:pPr>
        <w:pStyle w:val="BodyText"/>
        <w:rPr>
          <w:sz w:val="20"/>
        </w:rPr>
      </w:pPr>
    </w:p>
    <w:p>
      <w:pPr>
        <w:pStyle w:val="BodyText"/>
        <w:spacing w:before="9"/>
        <w:rPr>
          <w:sz w:val="17"/>
        </w:rPr>
      </w:pPr>
      <w:r>
        <w:rPr/>
        <w:pict>
          <v:group style="position:absolute;margin-left:85.050003pt;margin-top:12.174475pt;width:189.85pt;height:243.5pt;mso-position-horizontal-relative:page;mso-position-vertical-relative:paragraph;z-index:3904;mso-wrap-distance-left:0;mso-wrap-distance-right:0" coordorigin="1701,243" coordsize="3797,4870">
            <v:shape style="position:absolute;left:1701;top:243;width:3797;height:4870" type="#_x0000_t75" stroked="false">
              <v:imagedata r:id="rId100" o:title=""/>
            </v:shape>
            <v:rect style="position:absolute;left:3448;top:4465;width:1209;height:353" filled="false" stroked="true" strokeweight="2.25pt" strokecolor="#ffffff">
              <v:stroke dashstyle="solid"/>
            </v:rect>
            <v:rect style="position:absolute;left:4317;top:2244;width:680;height:2133" filled="false" stroked="true" strokeweight="2.25pt" strokecolor="#00afef">
              <v:stroke dashstyle="solid"/>
            </v:rect>
            <v:rect style="position:absolute;left:3448;top:2244;width:747;height:2133" filled="false" stroked="true" strokeweight="2.25pt" strokecolor="#ffff00">
              <v:stroke dashstyle="solid"/>
            </v:rect>
            <v:rect style="position:absolute;left:2823;top:2244;width:531;height:2221" filled="false" stroked="true" strokeweight="2.25pt" strokecolor="#8eeb12">
              <v:stroke dashstyle="solid"/>
            </v:rect>
            <v:rect style="position:absolute;left:3448;top:1490;width:1061;height:679" filled="false" stroked="true" strokeweight="2.25pt" strokecolor="#6f2f9f">
              <v:stroke dashstyle="solid"/>
            </v:rect>
            <v:shape style="position:absolute;left:3876;top:1597;width:158;height:158" type="#_x0000_t75" stroked="false">
              <v:imagedata r:id="rId101" o:title=""/>
            </v:shape>
            <v:shape style="position:absolute;left:3689;top:1677;width:71;height:71" coordorigin="3689,1677" coordsize="71,71" path="m3724,1677l3711,1679,3699,1687,3692,1698,3689,1712,3692,1726,3699,1737,3711,1745,3724,1748,3738,1745,3750,1737,3757,1726,3760,1712,3757,1698,3750,1687,3738,1679,3724,1677xe" filled="true" fillcolor="#ffc000" stroked="false">
              <v:path arrowok="t"/>
              <v:fill type="solid"/>
            </v:shape>
            <v:shape style="position:absolute;left:3689;top:1677;width:71;height:71" coordorigin="3689,1677" coordsize="71,71" path="m3724,1677l3711,1679,3699,1687,3692,1698,3689,1712,3692,1726,3699,1737,3711,1745,3724,1748,3738,1745,3750,1737,3757,1726,3760,1712,3757,1698,3750,1687,3738,1679,3724,1677xe" filled="false" stroked="true" strokeweight=".75pt" strokecolor="#000000">
              <v:path arrowok="t"/>
              <v:stroke dashstyle="solid"/>
            </v:shape>
            <v:shape style="position:absolute;left:4026;top:1946;width:71;height:128" coordorigin="4026,1946" coordsize="71,128" path="m4062,1946l4048,1951,4036,1964,4029,1985,4026,2010,4029,2035,4036,2055,4048,2069,4062,2074,4075,2069,4087,2055,4094,2035,4097,2010,4094,1985,4087,1964,4075,1951,4062,1946xe" filled="true" fillcolor="#ffc000" stroked="false">
              <v:path arrowok="t"/>
              <v:fill type="solid"/>
            </v:shape>
            <v:shape style="position:absolute;left:4026;top:1946;width:71;height:128" coordorigin="4026,1946" coordsize="71,128" path="m4062,1946l4048,1951,4036,1964,4029,1985,4026,2010,4029,2035,4036,2055,4048,2069,4062,2074,4075,2069,4087,2055,4094,2035,4097,2010,4094,1985,4087,1964,4075,1951,4062,1946xe" filled="false" stroked="true" strokeweight=".75pt" strokecolor="#000000">
              <v:path arrowok="t"/>
              <v:stroke dashstyle="solid"/>
            </v:shape>
            <v:shape style="position:absolute;left:3753;top:1938;width:138;height:143" type="#_x0000_t75" stroked="false">
              <v:imagedata r:id="rId102" o:title=""/>
            </v:shape>
            <v:shape style="position:absolute;left:3102;top:2731;width:110;height:138" type="#_x0000_t75" stroked="false">
              <v:imagedata r:id="rId103" o:title=""/>
            </v:shape>
            <v:shape style="position:absolute;left:3007;top:3084;width:110;height:178" type="#_x0000_t75" stroked="false">
              <v:imagedata r:id="rId104" o:title=""/>
            </v:shape>
            <v:shape style="position:absolute;left:3954;top:2413;width:71;height:163" coordorigin="3954,2413" coordsize="71,163" path="m3989,2413l3976,2419,3964,2437,3957,2462,3954,2494,3957,2526,3964,2552,3976,2569,3989,2576,4003,2569,4015,2552,4022,2526,4025,2494,4022,2462,4015,2437,4003,2419,3989,2413xe" filled="true" fillcolor="#ffc000" stroked="false">
              <v:path arrowok="t"/>
              <v:fill type="solid"/>
            </v:shape>
            <v:shape style="position:absolute;left:3954;top:2413;width:71;height:163" coordorigin="3954,2413" coordsize="71,163" path="m3989,2413l3976,2419,3964,2437,3957,2462,3954,2494,3957,2526,3964,2552,3976,2569,3989,2576,4003,2569,4015,2552,4022,2526,4025,2494,4022,2462,4015,2437,4003,2419,3989,2413xe" filled="false" stroked="true" strokeweight=".75pt" strokecolor="#000000">
              <v:path arrowok="t"/>
              <v:stroke dashstyle="solid"/>
            </v:shape>
            <v:shape style="position:absolute;left:3753;top:2568;width:138;height:138" type="#_x0000_t75" stroked="false">
              <v:imagedata r:id="rId105" o:title=""/>
            </v:shape>
            <v:shape style="position:absolute;left:3953;top:2862;width:72;height:163" coordorigin="3953,2862" coordsize="72,163" path="m3989,2862l3975,2868,3964,2886,3956,2911,3953,2943,3956,2975,3964,3001,3975,3018,3989,3025,4003,3018,4014,3001,4022,2975,4025,2943,4022,2911,4014,2886,4003,2868,3989,2862xe" filled="true" fillcolor="#ffc000" stroked="false">
              <v:path arrowok="t"/>
              <v:fill type="solid"/>
            </v:shape>
            <v:shape style="position:absolute;left:3953;top:2862;width:72;height:163" coordorigin="3953,2862" coordsize="72,163" path="m3989,2862l3975,2868,3964,2886,3956,2911,3953,2943,3956,2975,3964,3001,3975,3018,3989,3025,4003,3018,4014,3001,4022,2975,4025,2943,4022,2911,4014,2886,4003,2868,3989,2862xe" filled="false" stroked="true" strokeweight=".75pt" strokecolor="#000000">
              <v:path arrowok="t"/>
              <v:stroke dashstyle="solid"/>
            </v:shape>
            <v:shape style="position:absolute;left:3812;top:3025;width:71;height:82" coordorigin="3812,3025" coordsize="71,82" path="m3848,3025l3834,3028,3822,3037,3815,3050,3812,3066,3815,3082,3822,3095,3834,3103,3848,3107,3861,3103,3873,3095,3880,3082,3883,3066,3880,3050,3873,3037,3861,3028,3848,3025xe" filled="true" fillcolor="#ffc000" stroked="false">
              <v:path arrowok="t"/>
              <v:fill type="solid"/>
            </v:shape>
            <v:shape style="position:absolute;left:3812;top:3025;width:71;height:82" coordorigin="3812,3025" coordsize="71,82" path="m3848,3025l3834,3028,3822,3037,3815,3050,3812,3066,3815,3082,3822,3095,3834,3103,3848,3107,3861,3103,3873,3095,3880,3082,3883,3066,3880,3050,3873,3037,3861,3028,3848,3025xe" filled="false" stroked="true" strokeweight=".75pt" strokecolor="#000000">
              <v:path arrowok="t"/>
              <v:stroke dashstyle="solid"/>
            </v:shape>
            <v:shape style="position:absolute;left:4426;top:2413;width:83;height:95" coordorigin="4426,2413" coordsize="83,95" path="m4467,2413l4451,2416,4438,2427,4429,2442,4426,2460,4429,2479,4438,2494,4451,2504,4467,2508,4484,2504,4497,2494,4506,2479,4509,2460,4506,2442,4497,2427,4484,2416,4467,2413xe" filled="true" fillcolor="#ffc000" stroked="false">
              <v:path arrowok="t"/>
              <v:fill type="solid"/>
            </v:shape>
            <v:shape style="position:absolute;left:4426;top:2413;width:83;height:95" coordorigin="4426,2413" coordsize="83,95" path="m4467,2413l4451,2416,4438,2427,4429,2442,4426,2460,4429,2479,4438,2494,4451,2504,4467,2508,4484,2504,4497,2494,4506,2479,4509,2460,4506,2442,4497,2427,4484,2416,4467,2413xe" filled="false" stroked="true" strokeweight=".75pt" strokecolor="#000000">
              <v:path arrowok="t"/>
              <v:stroke dashstyle="solid"/>
            </v:shape>
            <v:shape style="position:absolute;left:4699;top:2413;width:81;height:123" coordorigin="4699,2413" coordsize="81,123" path="m4739,2413l4724,2418,4711,2431,4702,2450,4699,2474,4702,2498,4711,2518,4724,2531,4739,2536,4755,2531,4768,2518,4777,2498,4780,2474,4777,2450,4768,2431,4755,2418,4739,2413xe" filled="true" fillcolor="#ffc000" stroked="false">
              <v:path arrowok="t"/>
              <v:fill type="solid"/>
            </v:shape>
            <v:shape style="position:absolute;left:4699;top:2413;width:81;height:123" coordorigin="4699,2413" coordsize="81,123" path="m4739,2413l4724,2418,4711,2431,4702,2450,4699,2474,4702,2498,4711,2518,4724,2531,4739,2536,4755,2531,4768,2518,4777,2498,4780,2474,4777,2450,4768,2431,4755,2418,4739,2413xe" filled="false" stroked="true" strokeweight=".75pt" strokecolor="#000000">
              <v:path arrowok="t"/>
              <v:stroke dashstyle="solid"/>
            </v:shape>
            <v:shape style="position:absolute;left:3953;top:3444;width:71;height:163" coordorigin="3953,3444" coordsize="71,163" path="m3989,3444l3975,3450,3963,3468,3956,3493,3953,3525,3956,3557,3963,3583,3975,3600,3989,3607,4002,3600,4014,3583,4021,3557,4024,3525,4021,3493,4014,3468,4002,3450,3989,3444xe" filled="true" fillcolor="#ffc000" stroked="false">
              <v:path arrowok="t"/>
              <v:fill type="solid"/>
            </v:shape>
            <v:shape style="position:absolute;left:3953;top:3444;width:71;height:163" coordorigin="3953,3444" coordsize="71,163" path="m3989,3444l3975,3450,3963,3468,3956,3493,3953,3525,3956,3557,3963,3583,3975,3600,3989,3607,4002,3600,4014,3583,4021,3557,4024,3525,4021,3493,4014,3468,4002,3450,3989,3444xe" filled="false" stroked="true" strokeweight=".75pt" strokecolor="#000000">
              <v:path arrowok="t"/>
              <v:stroke dashstyle="solid"/>
            </v:shape>
            <v:shape style="position:absolute;left:4343;top:2713;width:83;height:149" coordorigin="4343,2713" coordsize="83,149" path="m4384,2713l4368,2719,4355,2735,4346,2758,4343,2787,4346,2816,4355,2840,4368,2856,4384,2862,4401,2856,4414,2840,4423,2816,4426,2787,4423,2758,4414,2735,4401,2719,4384,2713xe" filled="true" fillcolor="#ffc000" stroked="false">
              <v:path arrowok="t"/>
              <v:fill type="solid"/>
            </v:shape>
            <v:shape style="position:absolute;left:4343;top:2713;width:83;height:149" coordorigin="4343,2713" coordsize="83,149" path="m4384,2713l4368,2719,4355,2735,4346,2758,4343,2787,4346,2816,4355,2840,4368,2856,4384,2862,4401,2856,4414,2840,4423,2816,4426,2787,4423,2758,4414,2735,4401,2719,4384,2713xe" filled="false" stroked="true" strokeweight=".75pt" strokecolor="#000000">
              <v:path arrowok="t"/>
              <v:stroke dashstyle="solid"/>
            </v:shape>
            <v:shape style="position:absolute;left:4628;top:2739;width:71;height:82" coordorigin="4628,2739" coordsize="71,82" path="m4663,2739l4650,2742,4638,2751,4631,2764,4628,2780,4631,2796,4638,2809,4650,2817,4663,2821,4677,2817,4689,2809,4696,2796,4699,2780,4696,2764,4689,2751,4677,2742,4663,2739xe" filled="true" fillcolor="#ffc000" stroked="false">
              <v:path arrowok="t"/>
              <v:fill type="solid"/>
            </v:shape>
            <v:shape style="position:absolute;left:4628;top:2739;width:71;height:82" coordorigin="4628,2739" coordsize="71,82" path="m4663,2739l4650,2742,4638,2751,4631,2764,4628,2780,4631,2796,4638,2809,4650,2817,4663,2821,4677,2817,4689,2809,4696,2796,4699,2780,4696,2764,4689,2751,4677,2742,4663,2739xe" filled="false" stroked="true" strokeweight=".75pt" strokecolor="#000000">
              <v:path arrowok="t"/>
              <v:stroke dashstyle="solid"/>
            </v:shape>
            <v:shape style="position:absolute;left:4780;top:3025;width:71;height:95" coordorigin="4780,3025" coordsize="71,95" path="m4815,3025l4802,3028,4790,3039,4783,3054,4780,3072,4783,3091,4790,3106,4802,3116,4815,3120,4829,3116,4841,3106,4848,3091,4851,3072,4848,3054,4841,3039,4829,3028,4815,3025xe" filled="true" fillcolor="#ffc000" stroked="false">
              <v:path arrowok="t"/>
              <v:fill type="solid"/>
            </v:shape>
            <v:shape style="position:absolute;left:4780;top:3025;width:71;height:95" coordorigin="4780,3025" coordsize="71,95" path="m4815,3025l4802,3028,4790,3039,4783,3054,4780,3072,4783,3091,4790,3106,4802,3116,4815,3120,4829,3116,4841,3106,4848,3091,4851,3072,4848,3054,4841,3039,4829,3028,4815,3025xe" filled="false" stroked="true" strokeweight=".75pt" strokecolor="#000000">
              <v:path arrowok="t"/>
              <v:stroke dashstyle="solid"/>
            </v:shape>
            <v:shape style="position:absolute;left:4709;top:3444;width:71;height:115" coordorigin="4709,3444" coordsize="71,115" path="m4744,3444l4731,3448,4719,3461,4712,3479,4709,3501,4712,3524,4719,3542,4731,3554,4744,3559,4758,3554,4770,3542,4777,3524,4780,3501,4777,3479,4770,3461,4758,3448,4744,3444xe" filled="true" fillcolor="#ffc000" stroked="false">
              <v:path arrowok="t"/>
              <v:fill type="solid"/>
            </v:shape>
            <v:shape style="position:absolute;left:4709;top:3444;width:71;height:115" coordorigin="4709,3444" coordsize="71,115" path="m4744,3444l4731,3448,4719,3461,4712,3479,4709,3501,4712,3524,4719,3542,4731,3554,4744,3559,4758,3554,4770,3542,4777,3524,4780,3501,4777,3479,4770,3461,4758,3448,4744,3444xe" filled="false" stroked="true" strokeweight=".75pt" strokecolor="#000000">
              <v:path arrowok="t"/>
              <v:stroke dashstyle="solid"/>
            </v:shape>
            <v:shape style="position:absolute;left:4426;top:3559;width:83;height:163" coordorigin="4426,3559" coordsize="83,163" path="m4467,3559l4451,3565,4438,3583,4429,3608,4426,3640,4429,3672,4438,3698,4451,3715,4467,3722,4484,3715,4497,3698,4506,3672,4509,3640,4506,3608,4497,3583,4484,3565,4467,3559xe" filled="true" fillcolor="#ffc000" stroked="false">
              <v:path arrowok="t"/>
              <v:fill type="solid"/>
            </v:shape>
            <v:shape style="position:absolute;left:4426;top:3559;width:83;height:163" coordorigin="4426,3559" coordsize="83,163" path="m4467,3722l4451,3715,4438,3698,4429,3672,4426,3640,4429,3608,4438,3583,4451,3565,4467,3559,4484,3565,4497,3583,4506,3608,4509,3640,4506,3672,4497,3698,4484,3715,4467,3722xe" filled="false" stroked="true" strokeweight=".75pt" strokecolor="#000000">
              <v:path arrowok="t"/>
              <v:stroke dashstyle="solid"/>
            </v:shape>
            <v:shape style="position:absolute;left:4701;top:3714;width:110;height:103" type="#_x0000_t75" stroked="false">
              <v:imagedata r:id="rId106" o:title=""/>
            </v:shape>
            <v:shape style="position:absolute;left:4026;top:3714;width:71;height:96" coordorigin="4026,3714" coordsize="71,96" path="m4062,3714l4048,3717,4036,3728,4029,3743,4026,3762,4029,3780,4036,3796,4048,3806,4062,3810,4075,3806,4087,3796,4094,3780,4097,3762,4094,3743,4087,3728,4075,3717,4062,3714xe" filled="true" fillcolor="#ffc000" stroked="false">
              <v:path arrowok="t"/>
              <v:fill type="solid"/>
            </v:shape>
            <v:shape style="position:absolute;left:4026;top:3714;width:71;height:96" coordorigin="4026,3714" coordsize="71,96" path="m4062,3714l4048,3717,4036,3728,4029,3743,4026,3762,4029,3780,4036,3796,4048,3806,4062,3810,4075,3806,4087,3796,4094,3780,4097,3762,4094,3743,4087,3728,4075,3717,4062,3714xe" filled="false" stroked="true" strokeweight=".75pt" strokecolor="#000000">
              <v:path arrowok="t"/>
              <v:stroke dashstyle="solid"/>
            </v:shape>
            <v:shape style="position:absolute;left:4187;top:4618;width:138;height:111" type="#_x0000_t75" stroked="false">
              <v:imagedata r:id="rId107" o:title=""/>
            </v:shape>
            <v:shape style="position:absolute;left:3038;top:3810;width:71;height:143" coordorigin="3038,3810" coordsize="71,143" path="m3074,3810l3060,3815,3048,3831,3041,3853,3038,3881,3041,3909,3048,3932,3060,3947,3074,3953,3087,3947,3099,3932,3106,3909,3109,3881,3106,3853,3099,3831,3087,3815,3074,3810xe" filled="true" fillcolor="#ffc000" stroked="false">
              <v:path arrowok="t"/>
              <v:fill type="solid"/>
            </v:shape>
            <v:shape style="position:absolute;left:3038;top:3810;width:71;height:143" coordorigin="3038,3810" coordsize="71,143" path="m3074,3810l3060,3815,3048,3831,3041,3853,3038,3881,3041,3909,3048,3932,3060,3947,3074,3953,3087,3947,3099,3932,3106,3909,3109,3881,3106,3853,3099,3831,3087,3815,3074,3810xe" filled="false" stroked="true" strokeweight=".75pt" strokecolor="#000000">
              <v:path arrowok="t"/>
              <v:stroke dashstyle="solid"/>
            </v:shape>
            <v:shape style="position:absolute;left:3753;top:3939;width:138;height:111" type="#_x0000_t75" stroked="false">
              <v:imagedata r:id="rId108" o:title=""/>
            </v:shape>
            <v:shape style="position:absolute;left:3689;top:3444;width:71;height:115" coordorigin="3689,3444" coordsize="71,115" path="m3724,3444l3711,3448,3699,3461,3692,3479,3689,3501,3692,3524,3699,3542,3711,3554,3724,3559,3738,3554,3750,3542,3757,3524,3760,3501,3757,3479,3750,3461,3738,3448,3724,3444xe" filled="true" fillcolor="#ffc000" stroked="false">
              <v:path arrowok="t"/>
              <v:fill type="solid"/>
            </v:shape>
            <v:shape style="position:absolute;left:3689;top:3444;width:71;height:115" coordorigin="3689,3444" coordsize="71,115" path="m3724,3444l3711,3448,3699,3461,3692,3479,3689,3501,3692,3524,3699,3542,3711,3554,3724,3559,3738,3554,3750,3542,3757,3524,3760,3501,3757,3479,3750,3461,3738,3448,3724,3444xe" filled="false" stroked="true" strokeweight=".75pt" strokecolor="#000000">
              <v:path arrowok="t"/>
              <v:stroke dashstyle="solid"/>
            </v:shape>
            <v:shape style="position:absolute;left:4426;top:4220;width:83;height:71" coordorigin="4426,4220" coordsize="83,71" path="m4468,4220l4451,4222,4438,4230,4429,4241,4426,4255,4429,4269,4438,4280,4451,4288,4468,4291,4484,4288,4497,4280,4506,4269,4509,4255,4506,4241,4497,4230,4484,4222,4468,4220xe" filled="true" fillcolor="#ffc000" stroked="false">
              <v:path arrowok="t"/>
              <v:fill type="solid"/>
            </v:shape>
            <v:shape style="position:absolute;left:4426;top:4220;width:83;height:71" coordorigin="4426,4220" coordsize="83,71" path="m4468,4220l4484,4222,4497,4230,4506,4241,4509,4255,4506,4269,4497,4280,4484,4288,4468,4291,4451,4288,4438,4280,4429,4269,4426,4255,4429,4241,4438,4230,4451,4222,4468,4220xe" filled="false" stroked="true" strokeweight=".75pt" strokecolor="#000000">
              <v:path arrowok="t"/>
              <v:stroke dashstyle="solid"/>
            </v:shape>
            <v:shape style="position:absolute;left:4780;top:4043;width:71;height:82" coordorigin="4780,4043" coordsize="71,82" path="m4815,4043l4802,4046,4790,4055,4783,4068,4780,4084,4783,4100,4790,4113,4802,4121,4815,4125,4829,4121,4841,4113,4848,4100,4851,4084,4848,4068,4841,4055,4829,4046,4815,4043xe" filled="true" fillcolor="#ffc000" stroked="false">
              <v:path arrowok="t"/>
              <v:fill type="solid"/>
            </v:shape>
            <v:shape style="position:absolute;left:4780;top:4043;width:71;height:82" coordorigin="4780,4043" coordsize="71,82" path="m4815,4043l4802,4046,4790,4055,4783,4068,4780,4084,4783,4100,4790,4113,4802,4121,4815,4125,4829,4121,4841,4113,4848,4100,4851,4084,4848,4068,4841,4055,4829,4046,4815,4043xe" filled="false" stroked="true" strokeweight=".75pt" strokecolor="#000000">
              <v:path arrowok="t"/>
              <v:stroke dashstyle="solid"/>
            </v:shape>
            <v:shape style="position:absolute;left:3946;top:4618;width:138;height:111" type="#_x0000_t75" stroked="false">
              <v:imagedata r:id="rId109" o:title=""/>
            </v:shape>
            <v:shape style="position:absolute;left:3102;top:4117;width:110;height:189" type="#_x0000_t75" stroked="false">
              <v:imagedata r:id="rId110" o:title=""/>
            </v:shape>
            <v:shape style="position:absolute;left:3591;top:2731;width:106;height:138" type="#_x0000_t75" stroked="false">
              <v:imagedata r:id="rId111" o:title=""/>
            </v:shape>
            <v:shape style="position:absolute;left:3204;top:3559;width:82;height:71" coordorigin="3204,3559" coordsize="82,71" path="m3245,3559l3229,3561,3216,3569,3207,3580,3204,3594,3207,3608,3216,3619,3229,3627,3245,3630,3261,3627,3274,3619,3283,3608,3286,3594,3283,3580,3274,3569,3261,3561,3245,3559xe" filled="true" fillcolor="#ffc000" stroked="false">
              <v:path arrowok="t"/>
              <v:fill type="solid"/>
            </v:shape>
            <v:shape style="position:absolute;left:3204;top:3559;width:82;height:71" coordorigin="3204,3559" coordsize="82,71" path="m3245,3559l3229,3561,3216,3569,3207,3580,3204,3594,3207,3608,3216,3619,3229,3627,3245,3630,3261,3627,3274,3619,3283,3608,3286,3594,3283,3580,3274,3569,3261,3561,3245,3559xe" filled="false" stroked="true" strokeweight=".75pt" strokecolor="#000000">
              <v:path arrowok="t"/>
              <v:stroke dashstyle="solid"/>
            </v:shape>
            <v:shape style="position:absolute;left:3947;top:4117;width:137;height:110" type="#_x0000_t75" stroked="false">
              <v:imagedata r:id="rId112" o:title=""/>
            </v:shape>
            <v:shape style="position:absolute;left:4426;top:3255;width:83;height:82" coordorigin="4426,3255" coordsize="83,82" path="m4468,3255l4451,3258,4438,3267,4429,3280,4426,3296,4429,3312,4438,3325,4451,3333,4468,3337,4484,3333,4497,3325,4506,3312,4509,3296,4506,3280,4497,3267,4484,3258,4468,3255xe" filled="true" fillcolor="#ffc000" stroked="false">
              <v:path arrowok="t"/>
              <v:fill type="solid"/>
            </v:shape>
            <v:shape style="position:absolute;left:4426;top:3255;width:83;height:82" coordorigin="4426,3255" coordsize="83,82" path="m4468,3255l4484,3258,4497,3267,4506,3280,4509,3296,4506,3312,4497,3325,4484,3333,4468,3337,4451,3333,4438,3325,4429,3312,4426,3296,4429,3280,4438,3267,4451,3258,4468,3255xe" filled="false" stroked="true" strokeweight=".75pt" strokecolor="#000000">
              <v:path arrowok="t"/>
              <v:stroke dashstyle="solid"/>
            </v:shape>
            <v:shape style="position:absolute;left:3598;top:3173;width:91;height:82" coordorigin="3598,3173" coordsize="91,82" path="m3644,3173l3626,3176,3611,3185,3602,3198,3598,3214,3602,3230,3611,3243,3626,3251,3644,3255,3661,3251,3676,3243,3685,3230,3689,3214,3685,3198,3676,3185,3661,3176,3644,3173xe" filled="true" fillcolor="#ffc000" stroked="false">
              <v:path arrowok="t"/>
              <v:fill type="solid"/>
            </v:shape>
            <v:shape style="position:absolute;left:3598;top:3173;width:91;height:82" coordorigin="3598,3173" coordsize="91,82" path="m3644,3173l3626,3176,3611,3185,3602,3198,3598,3214,3602,3230,3611,3243,3626,3251,3644,3255,3661,3251,3676,3243,3685,3230,3689,3214,3685,3198,3676,3185,3661,3176,3644,3173xe" filled="false" stroked="true" strokeweight=".75pt" strokecolor="#000000">
              <v:path arrowok="t"/>
              <v:stroke dashstyle="solid"/>
            </v:shape>
            <v:shape style="position:absolute;left:4509;top:4530;width:83;height:96" coordorigin="4509,4530" coordsize="83,96" path="m4550,4530l4534,4533,4521,4544,4512,4559,4509,4578,4512,4596,4521,4612,4534,4622,4550,4626,4567,4622,4580,4612,4589,4596,4592,4578,4589,4559,4580,4544,4567,4533,4550,4530xe" filled="true" fillcolor="#ffc000" stroked="false">
              <v:path arrowok="t"/>
              <v:fill type="solid"/>
            </v:shape>
            <v:shape style="position:absolute;left:4509;top:4530;width:83;height:96" coordorigin="4509,4530" coordsize="83,96" path="m4550,4530l4534,4533,4521,4544,4512,4559,4509,4578,4512,4596,4521,4612,4534,4622,4550,4626,4567,4622,4580,4612,4589,4596,4592,4578,4589,4559,4580,4544,4567,4533,4550,4530xe" filled="false" stroked="true" strokeweight=".75pt" strokecolor="#000000">
              <v:path arrowok="t"/>
              <v:stroke dashstyle="solid"/>
            </v:shape>
            <v:shape style="position:absolute;left:3689;top:4530;width:71;height:96" coordorigin="3689,4530" coordsize="71,96" path="m3724,4530l3711,4533,3699,4544,3692,4559,3689,4578,3692,4596,3699,4612,3711,4622,3724,4626,3738,4622,3750,4612,3757,4596,3760,4578,3757,4559,3750,4544,3738,4533,3724,4530xe" filled="true" fillcolor="#ffc000" stroked="false">
              <v:path arrowok="t"/>
              <v:fill type="solid"/>
            </v:shape>
            <v:shape style="position:absolute;left:3689;top:4530;width:71;height:96" coordorigin="3689,4530" coordsize="71,96" path="m3724,4530l3711,4533,3699,4544,3692,4559,3689,4578,3692,4596,3699,4612,3711,4622,3724,4626,3738,4622,3750,4612,3757,4596,3760,4578,3757,4559,3750,4544,3738,4533,3724,4530xe" filled="false" stroked="true" strokeweight=".75pt" strokecolor="#000000">
              <v:path arrowok="t"/>
              <v:stroke dashstyle="solid"/>
            </v:shape>
            <w10:wrap type="topAndBottom"/>
          </v:group>
        </w:pict>
      </w:r>
      <w:r>
        <w:rPr/>
        <w:pict>
          <v:group style="position:absolute;margin-left:326.089996pt;margin-top:12.594475pt;width:205.15pt;height:242.85pt;mso-position-horizontal-relative:page;mso-position-vertical-relative:paragraph;z-index:4048;mso-wrap-distance-left:0;mso-wrap-distance-right:0" coordorigin="6522,252" coordsize="4103,4857">
            <v:shape style="position:absolute;left:6522;top:252;width:4103;height:4856" type="#_x0000_t75" stroked="false">
              <v:imagedata r:id="rId113" o:title=""/>
            </v:shape>
            <v:shape style="position:absolute;left:8507;top:1220;width:161;height:311" type="#_x0000_t202" filled="false" stroked="false">
              <v:textbox inset="0,0,0,0">
                <w:txbxContent>
                  <w:p>
                    <w:pPr>
                      <w:spacing w:line="311" w:lineRule="exact" w:before="0"/>
                      <w:ind w:left="0" w:right="0" w:firstLine="0"/>
                      <w:jc w:val="left"/>
                      <w:rPr>
                        <w:sz w:val="28"/>
                      </w:rPr>
                    </w:pPr>
                    <w:r>
                      <w:rPr>
                        <w:w w:val="100"/>
                        <w:sz w:val="28"/>
                      </w:rPr>
                      <w:t>1</w:t>
                    </w:r>
                  </w:p>
                </w:txbxContent>
              </v:textbox>
              <w10:wrap type="none"/>
            </v:shape>
            <v:shape style="position:absolute;left:7607;top:3200;width:161;height:311" type="#_x0000_t202" filled="false" stroked="false">
              <v:textbox inset="0,0,0,0">
                <w:txbxContent>
                  <w:p>
                    <w:pPr>
                      <w:spacing w:line="311" w:lineRule="exact" w:before="0"/>
                      <w:ind w:left="0" w:right="0" w:firstLine="0"/>
                      <w:jc w:val="left"/>
                      <w:rPr>
                        <w:sz w:val="28"/>
                      </w:rPr>
                    </w:pPr>
                    <w:r>
                      <w:rPr>
                        <w:w w:val="100"/>
                        <w:sz w:val="28"/>
                      </w:rPr>
                      <w:t>2</w:t>
                    </w:r>
                  </w:p>
                </w:txbxContent>
              </v:textbox>
              <w10:wrap type="none"/>
            </v:shape>
            <v:shape style="position:absolute;left:8867;top:3200;width:161;height:311" type="#_x0000_t202" filled="false" stroked="false">
              <v:textbox inset="0,0,0,0">
                <w:txbxContent>
                  <w:p>
                    <w:pPr>
                      <w:spacing w:line="311" w:lineRule="exact" w:before="0"/>
                      <w:ind w:left="0" w:right="0" w:firstLine="0"/>
                      <w:jc w:val="left"/>
                      <w:rPr>
                        <w:sz w:val="28"/>
                      </w:rPr>
                    </w:pPr>
                    <w:r>
                      <w:rPr>
                        <w:w w:val="100"/>
                        <w:sz w:val="28"/>
                      </w:rPr>
                      <w:t>3</w:t>
                    </w:r>
                  </w:p>
                </w:txbxContent>
              </v:textbox>
              <w10:wrap type="none"/>
            </v:shape>
            <v:shape style="position:absolute;left:9588;top:3380;width:161;height:311" type="#_x0000_t202" filled="false" stroked="false">
              <v:textbox inset="0,0,0,0">
                <w:txbxContent>
                  <w:p>
                    <w:pPr>
                      <w:spacing w:line="311" w:lineRule="exact" w:before="0"/>
                      <w:ind w:left="0" w:right="0" w:firstLine="0"/>
                      <w:jc w:val="left"/>
                      <w:rPr>
                        <w:sz w:val="28"/>
                      </w:rPr>
                    </w:pPr>
                    <w:r>
                      <w:rPr>
                        <w:w w:val="100"/>
                        <w:sz w:val="28"/>
                      </w:rPr>
                      <w:t>4</w:t>
                    </w:r>
                  </w:p>
                </w:txbxContent>
              </v:textbox>
              <w10:wrap type="none"/>
            </v:shape>
            <v:shape style="position:absolute;left:8867;top:4460;width:161;height:311" type="#_x0000_t202" filled="false" stroked="false">
              <v:textbox inset="0,0,0,0">
                <w:txbxContent>
                  <w:p>
                    <w:pPr>
                      <w:spacing w:line="311" w:lineRule="exact" w:before="0"/>
                      <w:ind w:left="0" w:right="0" w:firstLine="0"/>
                      <w:jc w:val="left"/>
                      <w:rPr>
                        <w:sz w:val="28"/>
                      </w:rPr>
                    </w:pPr>
                    <w:r>
                      <w:rPr>
                        <w:w w:val="100"/>
                        <w:sz w:val="28"/>
                      </w:rPr>
                      <w:t>5</w:t>
                    </w:r>
                  </w:p>
                </w:txbxContent>
              </v:textbox>
              <w10:wrap type="none"/>
            </v:shape>
            <w10:wrap type="topAndBottom"/>
          </v:group>
        </w:pict>
      </w:r>
    </w:p>
    <w:p>
      <w:pPr>
        <w:tabs>
          <w:tab w:pos="7063" w:val="left" w:leader="none"/>
        </w:tabs>
        <w:spacing w:before="90"/>
        <w:ind w:left="2402" w:right="0" w:firstLine="0"/>
        <w:jc w:val="left"/>
        <w:rPr>
          <w:sz w:val="22"/>
        </w:rPr>
      </w:pPr>
      <w:r>
        <w:rPr>
          <w:sz w:val="24"/>
        </w:rPr>
        <w:t>а</w:t>
        <w:tab/>
      </w:r>
      <w:r>
        <w:rPr>
          <w:sz w:val="22"/>
        </w:rPr>
        <w:t>б</w:t>
      </w:r>
    </w:p>
    <w:p>
      <w:pPr>
        <w:pStyle w:val="BodyText"/>
        <w:rPr>
          <w:sz w:val="20"/>
        </w:rPr>
      </w:pPr>
    </w:p>
    <w:p>
      <w:pPr>
        <w:pStyle w:val="BodyText"/>
        <w:spacing w:before="1"/>
        <w:rPr>
          <w:sz w:val="21"/>
        </w:rPr>
      </w:pPr>
    </w:p>
    <w:p>
      <w:pPr>
        <w:spacing w:after="0"/>
        <w:rPr>
          <w:sz w:val="21"/>
        </w:rPr>
        <w:sectPr>
          <w:pgSz w:w="11900" w:h="16850"/>
          <w:pgMar w:header="712" w:footer="0" w:top="1020" w:bottom="280" w:left="1220" w:right="1020"/>
        </w:sectPr>
      </w:pPr>
    </w:p>
    <w:p>
      <w:pPr>
        <w:pStyle w:val="ListParagraph"/>
        <w:numPr>
          <w:ilvl w:val="0"/>
          <w:numId w:val="26"/>
        </w:numPr>
        <w:tabs>
          <w:tab w:pos="1018" w:val="left" w:leader="none"/>
        </w:tabs>
        <w:spacing w:line="240" w:lineRule="auto" w:before="89" w:after="0"/>
        <w:ind w:left="266" w:right="0" w:firstLine="352"/>
        <w:jc w:val="left"/>
        <w:rPr>
          <w:sz w:val="28"/>
        </w:rPr>
      </w:pPr>
      <w:r>
        <w:rPr/>
        <w:drawing>
          <wp:anchor distT="0" distB="0" distL="0" distR="0" allowOverlap="1" layoutInCell="1" locked="0" behindDoc="0" simplePos="0" relativeHeight="4072">
            <wp:simplePos x="0" y="0"/>
            <wp:positionH relativeFrom="page">
              <wp:posOffset>949325</wp:posOffset>
            </wp:positionH>
            <wp:positionV relativeFrom="paragraph">
              <wp:posOffset>130433</wp:posOffset>
            </wp:positionV>
            <wp:extent cx="174625" cy="95250"/>
            <wp:effectExtent l="0" t="0" r="0" b="0"/>
            <wp:wrapNone/>
            <wp:docPr id="75" name="image102.png" descr=""/>
            <wp:cNvGraphicFramePr>
              <a:graphicFrameLocks noChangeAspect="1"/>
            </wp:cNvGraphicFramePr>
            <a:graphic>
              <a:graphicData uri="http://schemas.openxmlformats.org/drawingml/2006/picture">
                <pic:pic>
                  <pic:nvPicPr>
                    <pic:cNvPr id="76" name="image102.png"/>
                    <pic:cNvPicPr/>
                  </pic:nvPicPr>
                  <pic:blipFill>
                    <a:blip r:embed="rId114" cstate="print"/>
                    <a:stretch>
                      <a:fillRect/>
                    </a:stretch>
                  </pic:blipFill>
                  <pic:spPr>
                    <a:xfrm>
                      <a:off x="0" y="0"/>
                      <a:ext cx="174625" cy="95250"/>
                    </a:xfrm>
                    <a:prstGeom prst="rect">
                      <a:avLst/>
                    </a:prstGeom>
                  </pic:spPr>
                </pic:pic>
              </a:graphicData>
            </a:graphic>
          </wp:anchor>
        </w:drawing>
      </w:r>
      <w:r>
        <w:rPr>
          <w:sz w:val="28"/>
        </w:rPr>
        <w:t>– инфраренальная</w:t>
      </w:r>
      <w:r>
        <w:rPr>
          <w:spacing w:val="-6"/>
          <w:sz w:val="28"/>
        </w:rPr>
        <w:t> </w:t>
      </w:r>
      <w:r>
        <w:rPr>
          <w:sz w:val="28"/>
        </w:rPr>
        <w:t>группа</w:t>
      </w:r>
    </w:p>
    <w:p>
      <w:pPr>
        <w:pStyle w:val="BodyText"/>
        <w:spacing w:line="276" w:lineRule="auto" w:before="246"/>
        <w:ind w:left="266" w:right="173" w:firstLine="979"/>
      </w:pPr>
      <w:r>
        <w:rPr/>
        <w:t>лимфатических узлов (до уровня нижнего края почечной вены);</w:t>
      </w:r>
    </w:p>
    <w:p>
      <w:pPr>
        <w:pStyle w:val="ListParagraph"/>
        <w:numPr>
          <w:ilvl w:val="0"/>
          <w:numId w:val="26"/>
        </w:numPr>
        <w:tabs>
          <w:tab w:pos="1214" w:val="left" w:leader="none"/>
        </w:tabs>
        <w:spacing w:line="276" w:lineRule="auto" w:before="203" w:after="0"/>
        <w:ind w:left="266" w:right="0" w:firstLine="458"/>
        <w:jc w:val="both"/>
        <w:rPr>
          <w:sz w:val="24"/>
        </w:rPr>
      </w:pPr>
      <w:r>
        <w:rPr/>
        <w:pict>
          <v:group style="position:absolute;margin-left:66.675003pt;margin-top:12.998126pt;width:21.85pt;height:8.5pt;mso-position-horizontal-relative:page;mso-position-vertical-relative:paragraph;z-index:-338104" coordorigin="1334,260" coordsize="437,170">
            <v:shape style="position:absolute;left:1495;top:280;width:275;height:150" type="#_x0000_t75" stroked="false">
              <v:imagedata r:id="rId115" o:title=""/>
            </v:shape>
            <v:rect style="position:absolute;left:1341;top:267;width:258;height:149" filled="true" fillcolor="#00afef" stroked="false">
              <v:fill type="solid"/>
            </v:rect>
            <v:rect style="position:absolute;left:1341;top:267;width:258;height:149" filled="false" stroked="true" strokeweight=".75pt" strokecolor="#00afef">
              <v:stroke dashstyle="solid"/>
            </v:rect>
            <w10:wrap type="none"/>
          </v:group>
        </w:pict>
      </w:r>
      <w:r>
        <w:rPr>
          <w:sz w:val="24"/>
        </w:rPr>
        <w:t>– паракавальная группа (до границ правого мочеточника и правой яичниковой</w:t>
      </w:r>
      <w:r>
        <w:rPr>
          <w:spacing w:val="-8"/>
          <w:sz w:val="24"/>
        </w:rPr>
        <w:t> </w:t>
      </w:r>
      <w:r>
        <w:rPr>
          <w:sz w:val="24"/>
        </w:rPr>
        <w:t>вены);</w:t>
      </w:r>
    </w:p>
    <w:p>
      <w:pPr>
        <w:pStyle w:val="ListParagraph"/>
        <w:numPr>
          <w:ilvl w:val="0"/>
          <w:numId w:val="26"/>
        </w:numPr>
        <w:tabs>
          <w:tab w:pos="965" w:val="left" w:leader="none"/>
        </w:tabs>
        <w:spacing w:line="276" w:lineRule="auto" w:before="0" w:after="0"/>
        <w:ind w:left="986" w:right="1017" w:hanging="360"/>
        <w:jc w:val="left"/>
        <w:rPr>
          <w:sz w:val="24"/>
        </w:rPr>
      </w:pPr>
      <w:r>
        <w:rPr/>
        <w:drawing>
          <wp:anchor distT="0" distB="0" distL="0" distR="0" allowOverlap="1" layoutInCell="1" locked="0" behindDoc="0" simplePos="0" relativeHeight="4120">
            <wp:simplePos x="0" y="0"/>
            <wp:positionH relativeFrom="page">
              <wp:posOffset>949325</wp:posOffset>
            </wp:positionH>
            <wp:positionV relativeFrom="paragraph">
              <wp:posOffset>49696</wp:posOffset>
            </wp:positionV>
            <wp:extent cx="184150" cy="95250"/>
            <wp:effectExtent l="0" t="0" r="0" b="0"/>
            <wp:wrapNone/>
            <wp:docPr id="77" name="image104.png" descr=""/>
            <wp:cNvGraphicFramePr>
              <a:graphicFrameLocks noChangeAspect="1"/>
            </wp:cNvGraphicFramePr>
            <a:graphic>
              <a:graphicData uri="http://schemas.openxmlformats.org/drawingml/2006/picture">
                <pic:pic>
                  <pic:nvPicPr>
                    <pic:cNvPr id="78" name="image104.png"/>
                    <pic:cNvPicPr/>
                  </pic:nvPicPr>
                  <pic:blipFill>
                    <a:blip r:embed="rId116" cstate="print"/>
                    <a:stretch>
                      <a:fillRect/>
                    </a:stretch>
                  </pic:blipFill>
                  <pic:spPr>
                    <a:xfrm>
                      <a:off x="0" y="0"/>
                      <a:ext cx="184150" cy="95250"/>
                    </a:xfrm>
                    <a:prstGeom prst="rect">
                      <a:avLst/>
                    </a:prstGeom>
                  </pic:spPr>
                </pic:pic>
              </a:graphicData>
            </a:graphic>
          </wp:anchor>
        </w:drawing>
      </w:r>
      <w:r>
        <w:rPr/>
        <w:pict>
          <v:group style="position:absolute;margin-left:66.675003pt;margin-top:25.528122pt;width:13.65pt;height:7.9pt;mso-position-horizontal-relative:page;mso-position-vertical-relative:paragraph;z-index:-338056" coordorigin="1334,511" coordsize="273,158">
            <v:rect style="position:absolute;left:1341;top:518;width:258;height:143" filled="true" fillcolor="#f1f1f1" stroked="false">
              <v:fill type="solid"/>
            </v:rect>
            <v:rect style="position:absolute;left:1341;top:518;width:258;height:143" filled="false" stroked="true" strokeweight=".75pt" strokecolor="#000000">
              <v:stroke dashstyle="solid"/>
            </v:rect>
            <w10:wrap type="none"/>
          </v:group>
        </w:pict>
      </w:r>
      <w:r>
        <w:rPr>
          <w:sz w:val="24"/>
        </w:rPr>
        <w:t>- парааортальная</w:t>
      </w:r>
      <w:r>
        <w:rPr>
          <w:spacing w:val="-9"/>
          <w:sz w:val="24"/>
        </w:rPr>
        <w:t> </w:t>
      </w:r>
      <w:r>
        <w:rPr>
          <w:sz w:val="24"/>
        </w:rPr>
        <w:t>группа лимфатических</w:t>
      </w:r>
      <w:r>
        <w:rPr>
          <w:spacing w:val="-8"/>
          <w:sz w:val="24"/>
        </w:rPr>
        <w:t> </w:t>
      </w:r>
      <w:r>
        <w:rPr>
          <w:sz w:val="24"/>
        </w:rPr>
        <w:t>узлов;</w:t>
      </w:r>
    </w:p>
    <w:p>
      <w:pPr>
        <w:pStyle w:val="ListParagraph"/>
        <w:numPr>
          <w:ilvl w:val="0"/>
          <w:numId w:val="26"/>
        </w:numPr>
        <w:tabs>
          <w:tab w:pos="1082" w:val="left" w:leader="none"/>
        </w:tabs>
        <w:spacing w:line="276" w:lineRule="auto" w:before="1" w:after="0"/>
        <w:ind w:left="266" w:right="274" w:firstLine="417"/>
        <w:jc w:val="left"/>
        <w:rPr>
          <w:sz w:val="28"/>
        </w:rPr>
      </w:pPr>
      <w:r>
        <w:rPr>
          <w:sz w:val="28"/>
        </w:rPr>
        <w:t>– мезентериальная группа (на уровне отхождения нижнебрыжеечной</w:t>
      </w:r>
      <w:r>
        <w:rPr>
          <w:spacing w:val="-8"/>
          <w:sz w:val="28"/>
        </w:rPr>
        <w:t> </w:t>
      </w:r>
      <w:r>
        <w:rPr>
          <w:sz w:val="28"/>
        </w:rPr>
        <w:t>артерии);</w:t>
      </w:r>
    </w:p>
    <w:p>
      <w:pPr>
        <w:pStyle w:val="BodyText"/>
        <w:rPr>
          <w:sz w:val="30"/>
        </w:rPr>
      </w:pPr>
      <w:r>
        <w:rPr/>
        <w:br w:type="column"/>
      </w:r>
      <w:r>
        <w:rPr>
          <w:sz w:val="30"/>
        </w:rPr>
      </w:r>
    </w:p>
    <w:p>
      <w:pPr>
        <w:pStyle w:val="BodyText"/>
        <w:rPr>
          <w:sz w:val="30"/>
        </w:rPr>
      </w:pPr>
    </w:p>
    <w:p>
      <w:pPr>
        <w:pStyle w:val="BodyText"/>
        <w:spacing w:before="2"/>
        <w:rPr>
          <w:sz w:val="42"/>
        </w:rPr>
      </w:pPr>
    </w:p>
    <w:p>
      <w:pPr>
        <w:pStyle w:val="BodyText"/>
        <w:ind w:left="419"/>
      </w:pPr>
      <w:r>
        <w:rPr/>
        <w:t>а – топографические границы</w:t>
      </w:r>
    </w:p>
    <w:p>
      <w:pPr>
        <w:pStyle w:val="BodyText"/>
        <w:spacing w:line="388" w:lineRule="auto" w:before="198"/>
        <w:ind w:left="266" w:right="85" w:firstLine="1591"/>
      </w:pPr>
      <w:r>
        <w:rPr/>
        <w:t>лимфодиссекции; б – маркировка операционного</w:t>
      </w:r>
    </w:p>
    <w:p>
      <w:pPr>
        <w:pStyle w:val="BodyText"/>
        <w:spacing w:before="6"/>
        <w:ind w:left="642"/>
      </w:pPr>
      <w:r>
        <w:rPr/>
        <w:t>материала</w:t>
      </w:r>
    </w:p>
    <w:p>
      <w:pPr>
        <w:pStyle w:val="BodyText"/>
        <w:spacing w:line="388" w:lineRule="auto" w:before="201"/>
        <w:ind w:left="614" w:right="84" w:firstLine="69"/>
      </w:pPr>
      <w:r>
        <w:rPr/>
        <w:t>с учётом топографического расположения</w:t>
      </w:r>
    </w:p>
    <w:p>
      <w:pPr>
        <w:spacing w:after="0" w:line="388" w:lineRule="auto"/>
        <w:sectPr>
          <w:type w:val="continuous"/>
          <w:pgSz w:w="11900" w:h="16850"/>
          <w:pgMar w:top="1020" w:bottom="280" w:left="1220" w:right="1020"/>
          <w:cols w:num="2" w:equalWidth="0">
            <w:col w:w="4477" w:space="1104"/>
            <w:col w:w="4079"/>
          </w:cols>
        </w:sectPr>
      </w:pPr>
    </w:p>
    <w:p>
      <w:pPr>
        <w:pStyle w:val="BodyText"/>
        <w:rPr>
          <w:sz w:val="20"/>
        </w:rPr>
      </w:pPr>
    </w:p>
    <w:p>
      <w:pPr>
        <w:pStyle w:val="BodyText"/>
        <w:rPr>
          <w:sz w:val="20"/>
        </w:rPr>
      </w:pPr>
    </w:p>
    <w:p>
      <w:pPr>
        <w:pStyle w:val="BodyText"/>
        <w:spacing w:line="360" w:lineRule="auto" w:before="224"/>
        <w:ind w:left="102" w:right="104"/>
        <w:jc w:val="both"/>
      </w:pPr>
      <w:r>
        <w:rPr/>
        <w:t>Ниже приведем примеры некоторых находок при диагностических операциях. В одном из наблюдений увеличение парааортальных лимфатических узлов выявлено только при лапароскопической операции. В одном парааортальном л/узле из 8-ми исследованных обнаружен метастаз аденокарциномы шейки матки (Рис. 4.7</w:t>
      </w:r>
      <w:r>
        <w:rPr>
          <w:spacing w:val="-9"/>
        </w:rPr>
        <w:t> </w:t>
      </w:r>
      <w:r>
        <w:rPr/>
        <w:t>а,б,в).</w:t>
      </w:r>
    </w:p>
    <w:p>
      <w:pPr>
        <w:pStyle w:val="BodyText"/>
        <w:rPr>
          <w:sz w:val="30"/>
        </w:rPr>
      </w:pPr>
    </w:p>
    <w:p>
      <w:pPr>
        <w:pStyle w:val="BodyText"/>
        <w:rPr>
          <w:sz w:val="30"/>
        </w:rPr>
      </w:pPr>
    </w:p>
    <w:p>
      <w:pPr>
        <w:pStyle w:val="BodyText"/>
        <w:spacing w:before="199"/>
        <w:ind w:left="7010"/>
      </w:pPr>
      <w:r>
        <w:rPr/>
        <w:t>Рисунок 4.7 а, б, в</w:t>
      </w:r>
    </w:p>
    <w:p>
      <w:pPr>
        <w:pStyle w:val="BodyText"/>
        <w:spacing w:before="2"/>
        <w:rPr>
          <w:sz w:val="31"/>
        </w:rPr>
      </w:pPr>
    </w:p>
    <w:p>
      <w:pPr>
        <w:pStyle w:val="BodyText"/>
        <w:tabs>
          <w:tab w:pos="6486" w:val="left" w:leader="none"/>
        </w:tabs>
        <w:spacing w:line="362" w:lineRule="auto" w:before="1"/>
        <w:ind w:left="754" w:right="704" w:hanging="51"/>
      </w:pPr>
      <w:r>
        <w:rPr/>
        <w:t>Выявленное увеличение парааортальных лимфатических узлов и морфологически</w:t>
      </w:r>
      <w:r>
        <w:rPr>
          <w:spacing w:val="-2"/>
        </w:rPr>
        <w:t> </w:t>
      </w:r>
      <w:r>
        <w:rPr/>
        <w:t>верифицированный</w:t>
      </w:r>
      <w:r>
        <w:rPr>
          <w:spacing w:val="-4"/>
        </w:rPr>
        <w:t> </w:t>
      </w:r>
      <w:r>
        <w:rPr/>
        <w:t>метастаз</w:t>
        <w:tab/>
        <w:t>аденокарциномы</w:t>
      </w:r>
    </w:p>
    <w:p>
      <w:pPr>
        <w:pStyle w:val="BodyText"/>
        <w:rPr>
          <w:sz w:val="20"/>
        </w:rPr>
      </w:pPr>
    </w:p>
    <w:p>
      <w:pPr>
        <w:pStyle w:val="BodyText"/>
        <w:rPr>
          <w:sz w:val="20"/>
        </w:rPr>
      </w:pPr>
    </w:p>
    <w:p>
      <w:pPr>
        <w:pStyle w:val="BodyText"/>
        <w:rPr>
          <w:sz w:val="20"/>
        </w:rPr>
      </w:pPr>
    </w:p>
    <w:p>
      <w:pPr>
        <w:pStyle w:val="BodyText"/>
        <w:spacing w:before="5"/>
        <w:rPr>
          <w:sz w:val="14"/>
        </w:rPr>
      </w:pPr>
      <w:r>
        <w:rPr/>
        <w:pict>
          <v:group style="position:absolute;margin-left:85.050003pt;margin-top:10.287402pt;width:446.1pt;height:210.3pt;mso-position-horizontal-relative:page;mso-position-vertical-relative:paragraph;z-index:4168;mso-wrap-distance-left:0;mso-wrap-distance-right:0" coordorigin="1701,206" coordsize="8922,4206">
            <v:shape style="position:absolute;left:1701;top:274;width:2886;height:4137" type="#_x0000_t75" stroked="false">
              <v:imagedata r:id="rId117" o:title=""/>
            </v:shape>
            <v:shape style="position:absolute;left:4654;top:252;width:2771;height:4146" type="#_x0000_t75" stroked="false">
              <v:imagedata r:id="rId118" o:title=""/>
            </v:shape>
            <v:shape style="position:absolute;left:7491;top:206;width:3131;height:4204" type="#_x0000_t75" stroked="false">
              <v:imagedata r:id="rId119" o:title=""/>
            </v:shape>
            <w10:wrap type="topAndBottom"/>
          </v:group>
        </w:pict>
      </w:r>
    </w:p>
    <w:p>
      <w:pPr>
        <w:pStyle w:val="BodyText"/>
        <w:spacing w:before="2"/>
      </w:pPr>
    </w:p>
    <w:p>
      <w:pPr>
        <w:pStyle w:val="BodyText"/>
        <w:tabs>
          <w:tab w:pos="4917" w:val="left" w:leader="none"/>
          <w:tab w:pos="8909" w:val="left" w:leader="none"/>
        </w:tabs>
        <w:ind w:left="1570"/>
      </w:pPr>
      <w:r>
        <w:rPr/>
        <w:t>а</w:t>
        <w:tab/>
        <w:t>б</w:t>
        <w:tab/>
        <w:t>в</w:t>
      </w:r>
    </w:p>
    <w:p>
      <w:pPr>
        <w:pStyle w:val="BodyText"/>
        <w:rPr>
          <w:sz w:val="30"/>
        </w:rPr>
      </w:pPr>
    </w:p>
    <w:p>
      <w:pPr>
        <w:pStyle w:val="BodyText"/>
        <w:rPr>
          <w:sz w:val="30"/>
        </w:rPr>
      </w:pPr>
    </w:p>
    <w:p>
      <w:pPr>
        <w:pStyle w:val="BodyText"/>
        <w:spacing w:before="8"/>
        <w:rPr>
          <w:sz w:val="30"/>
        </w:rPr>
      </w:pPr>
    </w:p>
    <w:p>
      <w:pPr>
        <w:pStyle w:val="BodyText"/>
        <w:spacing w:line="360" w:lineRule="auto"/>
        <w:ind w:left="102" w:right="99"/>
        <w:jc w:val="both"/>
      </w:pPr>
      <w:r>
        <w:rPr/>
        <w:t>а – ревизия брюшного отдела аорты; б – метастаз в парааортальный лимфатический узел( х 10 гематоксилинэозин); в - метастаз в парааортальный лимфатический узел х 20.</w:t>
      </w:r>
    </w:p>
    <w:p>
      <w:pPr>
        <w:pStyle w:val="BodyText"/>
        <w:spacing w:before="206"/>
        <w:ind w:left="102"/>
        <w:jc w:val="both"/>
      </w:pPr>
      <w:r>
        <w:rPr/>
        <w:t>Окраска гематоксилином и эозином</w:t>
      </w:r>
    </w:p>
    <w:p>
      <w:pPr>
        <w:spacing w:after="0"/>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0"/>
        <w:jc w:val="both"/>
      </w:pPr>
      <w:r>
        <w:rPr/>
        <w:t>в другом наблюдении, наоборот, в гиперплазированном парааортальном лимфатическом узле при гистологическом исследовании не было выявлено опухолевых клеток (Рис. 4.8).</w:t>
      </w:r>
    </w:p>
    <w:p>
      <w:pPr>
        <w:pStyle w:val="BodyText"/>
        <w:rPr>
          <w:sz w:val="30"/>
        </w:rPr>
      </w:pPr>
    </w:p>
    <w:p>
      <w:pPr>
        <w:pStyle w:val="BodyText"/>
        <w:spacing w:line="680" w:lineRule="atLeast" w:before="185"/>
        <w:ind w:left="716" w:right="87" w:firstLine="6634"/>
      </w:pPr>
      <w:r>
        <w:rPr/>
        <w:t>Рисунок 4.8 а,б Увеличение  парааортальных лимфатических узлов неопухолевой</w:t>
      </w:r>
    </w:p>
    <w:p>
      <w:pPr>
        <w:pStyle w:val="BodyText"/>
        <w:spacing w:before="159"/>
        <w:ind w:left="379" w:right="380"/>
        <w:jc w:val="center"/>
      </w:pPr>
      <w:r>
        <w:rPr/>
        <w:t>природы</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r>
        <w:rPr/>
        <w:drawing>
          <wp:anchor distT="0" distB="0" distL="0" distR="0" allowOverlap="1" layoutInCell="1" locked="0" behindDoc="0" simplePos="0" relativeHeight="4192">
            <wp:simplePos x="0" y="0"/>
            <wp:positionH relativeFrom="page">
              <wp:posOffset>1080135</wp:posOffset>
            </wp:positionH>
            <wp:positionV relativeFrom="paragraph">
              <wp:posOffset>224168</wp:posOffset>
            </wp:positionV>
            <wp:extent cx="2338827" cy="2199131"/>
            <wp:effectExtent l="0" t="0" r="0" b="0"/>
            <wp:wrapTopAndBottom/>
            <wp:docPr id="79" name="image108.jpeg" descr=""/>
            <wp:cNvGraphicFramePr>
              <a:graphicFrameLocks noChangeAspect="1"/>
            </wp:cNvGraphicFramePr>
            <a:graphic>
              <a:graphicData uri="http://schemas.openxmlformats.org/drawingml/2006/picture">
                <pic:pic>
                  <pic:nvPicPr>
                    <pic:cNvPr id="80" name="image108.jpeg"/>
                    <pic:cNvPicPr/>
                  </pic:nvPicPr>
                  <pic:blipFill>
                    <a:blip r:embed="rId120" cstate="print"/>
                    <a:stretch>
                      <a:fillRect/>
                    </a:stretch>
                  </pic:blipFill>
                  <pic:spPr>
                    <a:xfrm>
                      <a:off x="0" y="0"/>
                      <a:ext cx="2338827" cy="2199131"/>
                    </a:xfrm>
                    <a:prstGeom prst="rect">
                      <a:avLst/>
                    </a:prstGeom>
                  </pic:spPr>
                </pic:pic>
              </a:graphicData>
            </a:graphic>
          </wp:anchor>
        </w:drawing>
      </w:r>
      <w:r>
        <w:rPr/>
        <w:drawing>
          <wp:anchor distT="0" distB="0" distL="0" distR="0" allowOverlap="1" layoutInCell="1" locked="0" behindDoc="0" simplePos="0" relativeHeight="4216">
            <wp:simplePos x="0" y="0"/>
            <wp:positionH relativeFrom="page">
              <wp:posOffset>3689222</wp:posOffset>
            </wp:positionH>
            <wp:positionV relativeFrom="paragraph">
              <wp:posOffset>224168</wp:posOffset>
            </wp:positionV>
            <wp:extent cx="2736399" cy="2217039"/>
            <wp:effectExtent l="0" t="0" r="0" b="0"/>
            <wp:wrapTopAndBottom/>
            <wp:docPr id="81" name="image109.jpeg" descr=""/>
            <wp:cNvGraphicFramePr>
              <a:graphicFrameLocks noChangeAspect="1"/>
            </wp:cNvGraphicFramePr>
            <a:graphic>
              <a:graphicData uri="http://schemas.openxmlformats.org/drawingml/2006/picture">
                <pic:pic>
                  <pic:nvPicPr>
                    <pic:cNvPr id="82" name="image109.jpeg"/>
                    <pic:cNvPicPr/>
                  </pic:nvPicPr>
                  <pic:blipFill>
                    <a:blip r:embed="rId121" cstate="print"/>
                    <a:stretch>
                      <a:fillRect/>
                    </a:stretch>
                  </pic:blipFill>
                  <pic:spPr>
                    <a:xfrm>
                      <a:off x="0" y="0"/>
                      <a:ext cx="2736399" cy="2217039"/>
                    </a:xfrm>
                    <a:prstGeom prst="rect">
                      <a:avLst/>
                    </a:prstGeom>
                  </pic:spPr>
                </pic:pic>
              </a:graphicData>
            </a:graphic>
          </wp:anchor>
        </w:drawing>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3"/>
        <w:rPr>
          <w:sz w:val="26"/>
        </w:rPr>
      </w:pPr>
    </w:p>
    <w:p>
      <w:pPr>
        <w:pStyle w:val="BodyText"/>
        <w:tabs>
          <w:tab w:pos="7150" w:val="left" w:leader="none"/>
        </w:tabs>
        <w:ind w:left="380"/>
      </w:pPr>
      <w:r>
        <w:rPr/>
        <w:t>а</w:t>
        <w:tab/>
        <w:t>б</w:t>
      </w:r>
    </w:p>
    <w:p>
      <w:pPr>
        <w:pStyle w:val="BodyText"/>
        <w:rPr>
          <w:sz w:val="30"/>
        </w:rPr>
      </w:pPr>
    </w:p>
    <w:p>
      <w:pPr>
        <w:pStyle w:val="BodyText"/>
        <w:spacing w:before="4"/>
        <w:rPr>
          <w:sz w:val="43"/>
        </w:rPr>
      </w:pPr>
    </w:p>
    <w:p>
      <w:pPr>
        <w:pStyle w:val="BodyText"/>
        <w:spacing w:line="360" w:lineRule="auto"/>
        <w:ind w:left="102" w:right="107"/>
        <w:jc w:val="both"/>
      </w:pPr>
      <w:r>
        <w:rPr/>
        <w:t>а – лапароскопическая диссекция гипертрофированной аортокавальной группы;</w:t>
      </w:r>
    </w:p>
    <w:p>
      <w:pPr>
        <w:pStyle w:val="BodyText"/>
        <w:spacing w:line="360" w:lineRule="auto" w:before="5"/>
        <w:ind w:left="102" w:right="2092"/>
      </w:pPr>
      <w:r>
        <w:rPr/>
        <w:t>б – морфологически установленное отсутствие метастазов. (х50. Окраска гематоксилином и эозином)</w:t>
      </w:r>
    </w:p>
    <w:p>
      <w:pPr>
        <w:spacing w:after="0" w:line="360" w:lineRule="auto"/>
        <w:sectPr>
          <w:pgSz w:w="11900" w:h="16850"/>
          <w:pgMar w:header="712" w:footer="0" w:top="1020" w:bottom="280" w:left="1600" w:right="1020"/>
        </w:sectPr>
      </w:pPr>
    </w:p>
    <w:p>
      <w:pPr>
        <w:pStyle w:val="BodyText"/>
        <w:rPr>
          <w:sz w:val="20"/>
        </w:rPr>
      </w:pPr>
    </w:p>
    <w:p>
      <w:pPr>
        <w:pStyle w:val="BodyText"/>
        <w:spacing w:before="252"/>
        <w:ind w:left="502" w:right="403"/>
        <w:jc w:val="center"/>
      </w:pPr>
      <w:r>
        <w:rPr/>
        <w:t>Осложнения</w:t>
      </w:r>
    </w:p>
    <w:p>
      <w:pPr>
        <w:pStyle w:val="BodyText"/>
        <w:rPr>
          <w:sz w:val="30"/>
        </w:rPr>
      </w:pPr>
    </w:p>
    <w:p>
      <w:pPr>
        <w:pStyle w:val="BodyText"/>
        <w:spacing w:before="1"/>
        <w:rPr>
          <w:sz w:val="26"/>
        </w:rPr>
      </w:pPr>
    </w:p>
    <w:p>
      <w:pPr>
        <w:pStyle w:val="BodyText"/>
        <w:spacing w:line="360" w:lineRule="auto"/>
        <w:ind w:left="222" w:right="126" w:firstLine="347"/>
        <w:jc w:val="both"/>
      </w:pPr>
      <w:r>
        <w:rPr/>
        <w:t>Интраоперационные осложнения зафиксированы у 6 (10,5%) пациенток. У 5 больных развилось кровотечение из мелких сосудов, потребовавшее дополнительного коагуляционного гемостаза и несколько увеличившее продолжительность операции. Средний объем кровопотери у этих пяти пациенток составил 170 мл. В 1 наблюдении при выполнении тазовой лимфаденэктомии произошла термическая травма мочеточника. Выполнено стентирование мочеточника и ушивание дефекта лапароскопическим</w:t>
      </w:r>
      <w:r>
        <w:rPr>
          <w:spacing w:val="-10"/>
        </w:rPr>
        <w:t> </w:t>
      </w:r>
      <w:r>
        <w:rPr/>
        <w:t>доступом.</w:t>
      </w:r>
    </w:p>
    <w:p>
      <w:pPr>
        <w:pStyle w:val="BodyText"/>
        <w:spacing w:line="360" w:lineRule="auto" w:before="207"/>
        <w:ind w:left="222" w:right="121" w:firstLine="347"/>
        <w:jc w:val="both"/>
      </w:pPr>
      <w:r>
        <w:rPr/>
        <w:t>39 послеоперационных осложнения зарегистрированы у 31 (54,4%) пациентки. Наиболее часто были отмечены лимфорея и лимфатические кисты – 31 (79,5%) случаев. У 26 больных лимфорея продолжалась не более двух суток, у трех – в течение 3 – 5 суток и у двоих  – более 6 суток (в объеме до 350мл) (Табл.</w:t>
      </w:r>
      <w:r>
        <w:rPr>
          <w:spacing w:val="-5"/>
        </w:rPr>
        <w:t> </w:t>
      </w:r>
      <w:r>
        <w:rPr/>
        <w:t>4.3).</w:t>
      </w:r>
    </w:p>
    <w:p>
      <w:pPr>
        <w:pStyle w:val="BodyText"/>
        <w:spacing w:before="207"/>
        <w:ind w:left="7874"/>
      </w:pPr>
      <w:r>
        <w:rPr/>
        <w:t>Таблица 4.3</w:t>
      </w:r>
    </w:p>
    <w:p>
      <w:pPr>
        <w:pStyle w:val="BodyText"/>
        <w:spacing w:before="3"/>
        <w:rPr>
          <w:sz w:val="31"/>
        </w:rPr>
      </w:pPr>
    </w:p>
    <w:p>
      <w:pPr>
        <w:pStyle w:val="BodyText"/>
        <w:tabs>
          <w:tab w:pos="4705" w:val="left" w:leader="none"/>
        </w:tabs>
        <w:spacing w:line="360" w:lineRule="auto"/>
        <w:ind w:left="502" w:right="412"/>
        <w:jc w:val="center"/>
      </w:pPr>
      <w:r>
        <w:rPr/>
        <w:t>Послеоперационные</w:t>
      </w:r>
      <w:r>
        <w:rPr>
          <w:spacing w:val="-4"/>
        </w:rPr>
        <w:t> </w:t>
      </w:r>
      <w:r>
        <w:rPr/>
        <w:t>осложнении</w:t>
        <w:tab/>
        <w:t>лапароскопической</w:t>
      </w:r>
      <w:r>
        <w:rPr>
          <w:spacing w:val="-13"/>
        </w:rPr>
        <w:t> </w:t>
      </w:r>
      <w:r>
        <w:rPr/>
        <w:t>парааортальной</w:t>
      </w:r>
      <w:r>
        <w:rPr>
          <w:w w:val="100"/>
        </w:rPr>
        <w:t> </w:t>
      </w:r>
      <w:r>
        <w:rPr/>
        <w:t>лимфаденэктомии у 57 больных раком шейки</w:t>
      </w:r>
      <w:r>
        <w:rPr>
          <w:spacing w:val="-11"/>
        </w:rPr>
        <w:t> </w:t>
      </w:r>
      <w:r>
        <w:rPr/>
        <w:t>матки</w:t>
      </w:r>
    </w:p>
    <w:p>
      <w:pPr>
        <w:pStyle w:val="BodyText"/>
        <w:spacing w:before="6" w:after="1"/>
        <w:rPr>
          <w:sz w:val="18"/>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9"/>
        <w:gridCol w:w="1167"/>
        <w:gridCol w:w="1176"/>
        <w:gridCol w:w="1133"/>
        <w:gridCol w:w="1277"/>
        <w:gridCol w:w="1418"/>
        <w:gridCol w:w="1841"/>
      </w:tblGrid>
      <w:tr>
        <w:trPr>
          <w:trHeight w:val="694" w:hRule="exact"/>
        </w:trPr>
        <w:tc>
          <w:tcPr>
            <w:tcW w:w="9182" w:type="dxa"/>
            <w:gridSpan w:val="7"/>
          </w:tcPr>
          <w:p>
            <w:pPr>
              <w:pStyle w:val="TableParagraph"/>
              <w:spacing w:line="315" w:lineRule="exact"/>
              <w:ind w:left="2597"/>
              <w:rPr>
                <w:sz w:val="28"/>
              </w:rPr>
            </w:pPr>
            <w:r>
              <w:rPr>
                <w:sz w:val="28"/>
              </w:rPr>
              <w:t>Послеоперационные осложнения</w:t>
            </w:r>
          </w:p>
        </w:tc>
      </w:tr>
      <w:tr>
        <w:trPr>
          <w:trHeight w:val="1150" w:hRule="exact"/>
        </w:trPr>
        <w:tc>
          <w:tcPr>
            <w:tcW w:w="4645" w:type="dxa"/>
            <w:gridSpan w:val="4"/>
          </w:tcPr>
          <w:p>
            <w:pPr>
              <w:pStyle w:val="TableParagraph"/>
              <w:spacing w:before="2"/>
              <w:rPr>
                <w:sz w:val="24"/>
              </w:rPr>
            </w:pPr>
          </w:p>
          <w:p>
            <w:pPr>
              <w:pStyle w:val="TableParagraph"/>
              <w:ind w:left="587" w:right="587"/>
              <w:jc w:val="center"/>
              <w:rPr>
                <w:sz w:val="28"/>
              </w:rPr>
            </w:pPr>
            <w:r>
              <w:rPr>
                <w:sz w:val="28"/>
              </w:rPr>
              <w:t>Лимфорея</w:t>
            </w:r>
          </w:p>
        </w:tc>
        <w:tc>
          <w:tcPr>
            <w:tcW w:w="1277" w:type="dxa"/>
            <w:vMerge w:val="restart"/>
          </w:tcPr>
          <w:p>
            <w:pPr>
              <w:pStyle w:val="TableParagraph"/>
              <w:spacing w:before="8"/>
              <w:rPr>
                <w:sz w:val="40"/>
              </w:rPr>
            </w:pPr>
          </w:p>
          <w:p>
            <w:pPr>
              <w:pStyle w:val="TableParagraph"/>
              <w:spacing w:line="424" w:lineRule="auto"/>
              <w:ind w:left="305" w:right="196" w:hanging="92"/>
              <w:rPr>
                <w:sz w:val="28"/>
              </w:rPr>
            </w:pPr>
            <w:r>
              <w:rPr>
                <w:sz w:val="28"/>
              </w:rPr>
              <w:t>Лимфо киста</w:t>
            </w:r>
          </w:p>
        </w:tc>
        <w:tc>
          <w:tcPr>
            <w:tcW w:w="3260" w:type="dxa"/>
            <w:gridSpan w:val="2"/>
          </w:tcPr>
          <w:p>
            <w:pPr>
              <w:pStyle w:val="TableParagraph"/>
              <w:spacing w:line="424" w:lineRule="auto"/>
              <w:ind w:left="914" w:right="898" w:firstLine="242"/>
              <w:rPr>
                <w:sz w:val="28"/>
              </w:rPr>
            </w:pPr>
            <w:r>
              <w:rPr>
                <w:sz w:val="28"/>
              </w:rPr>
              <w:t>Анемия n=6 (12,5%)</w:t>
            </w:r>
          </w:p>
        </w:tc>
      </w:tr>
      <w:tr>
        <w:trPr>
          <w:trHeight w:val="950" w:hRule="exact"/>
        </w:trPr>
        <w:tc>
          <w:tcPr>
            <w:tcW w:w="1169" w:type="dxa"/>
          </w:tcPr>
          <w:p>
            <w:pPr>
              <w:pStyle w:val="TableParagraph"/>
              <w:spacing w:line="276" w:lineRule="auto"/>
              <w:ind w:left="273" w:right="255" w:firstLine="167"/>
              <w:rPr>
                <w:sz w:val="28"/>
              </w:rPr>
            </w:pPr>
            <w:r>
              <w:rPr>
                <w:sz w:val="28"/>
              </w:rPr>
              <w:t>не было</w:t>
            </w:r>
          </w:p>
        </w:tc>
        <w:tc>
          <w:tcPr>
            <w:tcW w:w="1167" w:type="dxa"/>
          </w:tcPr>
          <w:p>
            <w:pPr>
              <w:pStyle w:val="TableParagraph"/>
              <w:spacing w:line="315" w:lineRule="exact"/>
              <w:ind w:left="102" w:right="104"/>
              <w:jc w:val="center"/>
              <w:rPr>
                <w:sz w:val="28"/>
              </w:rPr>
            </w:pPr>
            <w:r>
              <w:rPr>
                <w:sz w:val="28"/>
              </w:rPr>
              <w:t>1-2</w:t>
            </w:r>
          </w:p>
          <w:p>
            <w:pPr>
              <w:pStyle w:val="TableParagraph"/>
              <w:spacing w:before="47"/>
              <w:ind w:left="101" w:right="104"/>
              <w:jc w:val="center"/>
              <w:rPr>
                <w:sz w:val="28"/>
              </w:rPr>
            </w:pPr>
            <w:r>
              <w:rPr>
                <w:sz w:val="28"/>
              </w:rPr>
              <w:t>суток</w:t>
            </w:r>
          </w:p>
        </w:tc>
        <w:tc>
          <w:tcPr>
            <w:tcW w:w="1176" w:type="dxa"/>
          </w:tcPr>
          <w:p>
            <w:pPr>
              <w:pStyle w:val="TableParagraph"/>
              <w:spacing w:line="315" w:lineRule="exact"/>
              <w:ind w:left="177" w:right="178"/>
              <w:jc w:val="center"/>
              <w:rPr>
                <w:sz w:val="28"/>
              </w:rPr>
            </w:pPr>
            <w:r>
              <w:rPr>
                <w:sz w:val="28"/>
              </w:rPr>
              <w:t>3-5</w:t>
            </w:r>
          </w:p>
          <w:p>
            <w:pPr>
              <w:pStyle w:val="TableParagraph"/>
              <w:spacing w:before="47"/>
              <w:ind w:left="178" w:right="178"/>
              <w:jc w:val="center"/>
              <w:rPr>
                <w:sz w:val="28"/>
              </w:rPr>
            </w:pPr>
            <w:r>
              <w:rPr>
                <w:sz w:val="28"/>
              </w:rPr>
              <w:t>суток</w:t>
            </w:r>
          </w:p>
        </w:tc>
        <w:tc>
          <w:tcPr>
            <w:tcW w:w="1133" w:type="dxa"/>
          </w:tcPr>
          <w:p>
            <w:pPr>
              <w:pStyle w:val="TableParagraph"/>
              <w:spacing w:line="276" w:lineRule="auto"/>
              <w:ind w:left="227" w:right="106" w:hanging="111"/>
              <w:rPr>
                <w:sz w:val="28"/>
              </w:rPr>
            </w:pPr>
            <w:r>
              <w:rPr>
                <w:sz w:val="28"/>
              </w:rPr>
              <w:t>более 6 суток</w:t>
            </w:r>
          </w:p>
        </w:tc>
        <w:tc>
          <w:tcPr>
            <w:tcW w:w="1277" w:type="dxa"/>
            <w:vMerge/>
          </w:tcPr>
          <w:p>
            <w:pPr/>
          </w:p>
        </w:tc>
        <w:tc>
          <w:tcPr>
            <w:tcW w:w="1418" w:type="dxa"/>
          </w:tcPr>
          <w:p>
            <w:pPr>
              <w:pStyle w:val="TableParagraph"/>
              <w:spacing w:line="276" w:lineRule="auto"/>
              <w:ind w:left="218" w:right="112" w:hanging="96"/>
              <w:rPr>
                <w:sz w:val="28"/>
              </w:rPr>
            </w:pPr>
            <w:r>
              <w:rPr>
                <w:sz w:val="28"/>
              </w:rPr>
              <w:t>1 степени тяжести</w:t>
            </w:r>
          </w:p>
        </w:tc>
        <w:tc>
          <w:tcPr>
            <w:tcW w:w="1841" w:type="dxa"/>
          </w:tcPr>
          <w:p>
            <w:pPr>
              <w:pStyle w:val="TableParagraph"/>
              <w:spacing w:line="276" w:lineRule="auto"/>
              <w:ind w:left="432" w:right="321" w:hanging="96"/>
              <w:rPr>
                <w:sz w:val="28"/>
              </w:rPr>
            </w:pPr>
            <w:r>
              <w:rPr>
                <w:sz w:val="28"/>
              </w:rPr>
              <w:t>2 степени тяжести</w:t>
            </w:r>
          </w:p>
        </w:tc>
      </w:tr>
      <w:tr>
        <w:trPr>
          <w:trHeight w:val="1721" w:hRule="exact"/>
        </w:trPr>
        <w:tc>
          <w:tcPr>
            <w:tcW w:w="1169" w:type="dxa"/>
          </w:tcPr>
          <w:p>
            <w:pPr>
              <w:pStyle w:val="TableParagraph"/>
              <w:spacing w:line="315" w:lineRule="exact"/>
              <w:ind w:left="105" w:right="103"/>
              <w:jc w:val="center"/>
              <w:rPr>
                <w:sz w:val="28"/>
              </w:rPr>
            </w:pPr>
            <w:r>
              <w:rPr>
                <w:sz w:val="28"/>
              </w:rPr>
              <w:t>26</w:t>
            </w:r>
          </w:p>
          <w:p>
            <w:pPr>
              <w:pStyle w:val="TableParagraph"/>
              <w:spacing w:before="249"/>
              <w:ind w:left="105" w:right="104"/>
              <w:jc w:val="center"/>
              <w:rPr>
                <w:sz w:val="28"/>
              </w:rPr>
            </w:pPr>
            <w:r>
              <w:rPr>
                <w:sz w:val="28"/>
              </w:rPr>
              <w:t>(45,6%)</w:t>
            </w:r>
          </w:p>
        </w:tc>
        <w:tc>
          <w:tcPr>
            <w:tcW w:w="1167" w:type="dxa"/>
          </w:tcPr>
          <w:p>
            <w:pPr>
              <w:pStyle w:val="TableParagraph"/>
              <w:spacing w:before="93"/>
              <w:ind w:left="101" w:right="104"/>
              <w:jc w:val="center"/>
              <w:rPr>
                <w:sz w:val="28"/>
              </w:rPr>
            </w:pPr>
            <w:r>
              <w:rPr>
                <w:sz w:val="28"/>
              </w:rPr>
              <w:t>26</w:t>
            </w:r>
          </w:p>
          <w:p>
            <w:pPr>
              <w:pStyle w:val="TableParagraph"/>
              <w:spacing w:before="47"/>
              <w:ind w:left="103" w:right="104"/>
              <w:jc w:val="center"/>
              <w:rPr>
                <w:sz w:val="28"/>
              </w:rPr>
            </w:pPr>
            <w:r>
              <w:rPr>
                <w:sz w:val="28"/>
              </w:rPr>
              <w:t>(45,6%)</w:t>
            </w:r>
          </w:p>
        </w:tc>
        <w:tc>
          <w:tcPr>
            <w:tcW w:w="1176" w:type="dxa"/>
          </w:tcPr>
          <w:p>
            <w:pPr>
              <w:pStyle w:val="TableParagraph"/>
              <w:spacing w:line="315" w:lineRule="exact"/>
              <w:ind w:left="1"/>
              <w:jc w:val="center"/>
              <w:rPr>
                <w:sz w:val="28"/>
              </w:rPr>
            </w:pPr>
            <w:r>
              <w:rPr>
                <w:w w:val="100"/>
                <w:sz w:val="28"/>
              </w:rPr>
              <w:t>3</w:t>
            </w:r>
          </w:p>
          <w:p>
            <w:pPr>
              <w:pStyle w:val="TableParagraph"/>
              <w:spacing w:before="249"/>
              <w:ind w:left="178" w:right="178"/>
              <w:jc w:val="center"/>
              <w:rPr>
                <w:sz w:val="28"/>
              </w:rPr>
            </w:pPr>
            <w:r>
              <w:rPr>
                <w:sz w:val="28"/>
              </w:rPr>
              <w:t>(5,3%)</w:t>
            </w:r>
          </w:p>
        </w:tc>
        <w:tc>
          <w:tcPr>
            <w:tcW w:w="1133" w:type="dxa"/>
          </w:tcPr>
          <w:p>
            <w:pPr>
              <w:pStyle w:val="TableParagraph"/>
              <w:spacing w:line="315" w:lineRule="exact"/>
              <w:ind w:right="1"/>
              <w:jc w:val="center"/>
              <w:rPr>
                <w:sz w:val="28"/>
              </w:rPr>
            </w:pPr>
            <w:r>
              <w:rPr>
                <w:w w:val="100"/>
                <w:sz w:val="28"/>
              </w:rPr>
              <w:t>2</w:t>
            </w:r>
          </w:p>
          <w:p>
            <w:pPr>
              <w:pStyle w:val="TableParagraph"/>
              <w:spacing w:before="249"/>
              <w:ind w:left="58" w:right="58"/>
              <w:jc w:val="center"/>
              <w:rPr>
                <w:sz w:val="28"/>
              </w:rPr>
            </w:pPr>
            <w:r>
              <w:rPr>
                <w:sz w:val="28"/>
              </w:rPr>
              <w:t>(3,5%)</w:t>
            </w:r>
          </w:p>
        </w:tc>
        <w:tc>
          <w:tcPr>
            <w:tcW w:w="1277" w:type="dxa"/>
          </w:tcPr>
          <w:p>
            <w:pPr>
              <w:pStyle w:val="TableParagraph"/>
              <w:spacing w:line="315" w:lineRule="exact"/>
              <w:ind w:left="1"/>
              <w:jc w:val="center"/>
              <w:rPr>
                <w:sz w:val="28"/>
              </w:rPr>
            </w:pPr>
            <w:r>
              <w:rPr>
                <w:w w:val="100"/>
                <w:sz w:val="28"/>
              </w:rPr>
              <w:t>5</w:t>
            </w:r>
          </w:p>
          <w:p>
            <w:pPr>
              <w:pStyle w:val="TableParagraph"/>
              <w:spacing w:before="249"/>
              <w:ind w:left="157" w:right="157"/>
              <w:jc w:val="center"/>
              <w:rPr>
                <w:sz w:val="28"/>
              </w:rPr>
            </w:pPr>
            <w:r>
              <w:rPr>
                <w:sz w:val="28"/>
              </w:rPr>
              <w:t>(8,8%)</w:t>
            </w:r>
          </w:p>
        </w:tc>
        <w:tc>
          <w:tcPr>
            <w:tcW w:w="1418" w:type="dxa"/>
          </w:tcPr>
          <w:p>
            <w:pPr>
              <w:pStyle w:val="TableParagraph"/>
              <w:spacing w:line="315" w:lineRule="exact"/>
              <w:ind w:right="4"/>
              <w:jc w:val="center"/>
              <w:rPr>
                <w:sz w:val="28"/>
              </w:rPr>
            </w:pPr>
            <w:r>
              <w:rPr>
                <w:w w:val="100"/>
                <w:sz w:val="28"/>
              </w:rPr>
              <w:t>2</w:t>
            </w:r>
          </w:p>
          <w:p>
            <w:pPr>
              <w:pStyle w:val="TableParagraph"/>
              <w:spacing w:before="249"/>
              <w:ind w:left="181" w:right="181"/>
              <w:jc w:val="center"/>
              <w:rPr>
                <w:sz w:val="28"/>
              </w:rPr>
            </w:pPr>
            <w:r>
              <w:rPr>
                <w:sz w:val="28"/>
              </w:rPr>
              <w:t>(3,5%)</w:t>
            </w:r>
          </w:p>
        </w:tc>
        <w:tc>
          <w:tcPr>
            <w:tcW w:w="1841" w:type="dxa"/>
          </w:tcPr>
          <w:p>
            <w:pPr>
              <w:pStyle w:val="TableParagraph"/>
              <w:spacing w:line="315" w:lineRule="exact"/>
              <w:jc w:val="center"/>
              <w:rPr>
                <w:sz w:val="28"/>
              </w:rPr>
            </w:pPr>
            <w:r>
              <w:rPr>
                <w:w w:val="100"/>
                <w:sz w:val="28"/>
              </w:rPr>
              <w:t>1</w:t>
            </w:r>
          </w:p>
          <w:p>
            <w:pPr>
              <w:pStyle w:val="TableParagraph"/>
              <w:spacing w:before="249"/>
              <w:ind w:left="510" w:right="511"/>
              <w:jc w:val="center"/>
              <w:rPr>
                <w:sz w:val="28"/>
              </w:rPr>
            </w:pPr>
            <w:r>
              <w:rPr>
                <w:sz w:val="28"/>
              </w:rPr>
              <w:t>(1,8%)</w:t>
            </w:r>
          </w:p>
        </w:tc>
      </w:tr>
    </w:tbl>
    <w:p>
      <w:pPr>
        <w:spacing w:after="0"/>
        <w:jc w:val="center"/>
        <w:rPr>
          <w:sz w:val="28"/>
        </w:rPr>
        <w:sectPr>
          <w:pgSz w:w="11900" w:h="16850"/>
          <w:pgMar w:header="712" w:footer="0" w:top="1020" w:bottom="280" w:left="1480" w:right="1000"/>
        </w:sectPr>
      </w:pPr>
    </w:p>
    <w:p>
      <w:pPr>
        <w:pStyle w:val="BodyText"/>
        <w:rPr>
          <w:sz w:val="20"/>
        </w:rPr>
      </w:pPr>
    </w:p>
    <w:p>
      <w:pPr>
        <w:pStyle w:val="BodyText"/>
        <w:rPr>
          <w:sz w:val="20"/>
        </w:rPr>
      </w:pPr>
    </w:p>
    <w:p>
      <w:pPr>
        <w:pStyle w:val="BodyText"/>
        <w:spacing w:line="360" w:lineRule="auto" w:before="224"/>
        <w:ind w:left="102" w:right="103" w:firstLine="139"/>
        <w:jc w:val="both"/>
      </w:pPr>
      <w:r>
        <w:rPr/>
        <w:t>Развитие лимфатических кист — закономерный исход тазовой лимфаденэктомии, к которой все чаще приходится прибегать в связи со значительным увеличением числа больных распространенными формами гинекологического рака. По данным литературы частота развития лимфатических кист после расширенных операций в разных клиниках достигает 85% и не зависит от техники выполнения лимфаденэктомии, и, тем более, не связана с хирургическими погрешностями. Вопрос об отнесении лимфатических кист к хирургическим осложнениям представляется дискуссионным. Скорее всего, речь может идти о закономерных и прогнозируемых последствиях лимфаденэктомии.</w:t>
      </w:r>
    </w:p>
    <w:p>
      <w:pPr>
        <w:pStyle w:val="BodyText"/>
        <w:spacing w:line="362" w:lineRule="auto" w:before="204"/>
        <w:ind w:left="102" w:right="107" w:firstLine="139"/>
        <w:jc w:val="both"/>
      </w:pPr>
      <w:r>
        <w:rPr/>
        <w:t>Все представленные в таблице осложнения были отнесены к легкой степени тяжести и не повлияли на исход и сроки госпитализации.</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Heading1"/>
        <w:numPr>
          <w:ilvl w:val="2"/>
          <w:numId w:val="25"/>
        </w:numPr>
        <w:tabs>
          <w:tab w:pos="863" w:val="left" w:leader="none"/>
        </w:tabs>
        <w:spacing w:line="360" w:lineRule="auto" w:before="185" w:after="0"/>
        <w:ind w:left="2769" w:right="165" w:hanging="2607"/>
        <w:jc w:val="left"/>
      </w:pPr>
      <w:r>
        <w:rPr/>
        <w:t>Основные результаты операций хирургического стадирования у больных раком шейки</w:t>
      </w:r>
      <w:r>
        <w:rPr>
          <w:spacing w:val="-6"/>
        </w:rPr>
        <w:t> </w:t>
      </w:r>
      <w:r>
        <w:rPr/>
        <w:t>матки</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line="360" w:lineRule="auto" w:before="187"/>
        <w:ind w:left="102" w:right="106" w:firstLine="347"/>
        <w:jc w:val="both"/>
      </w:pPr>
      <w:r>
        <w:rPr/>
        <w:t>В следующих таблицах мы сопоставили частоту и локализацию выявленных при операциях хирургического стадирования метастазов с основными характеристиками опухоли (Табл. 4.4, 4.5).</w:t>
      </w:r>
    </w:p>
    <w:p>
      <w:pPr>
        <w:spacing w:after="0" w:line="360" w:lineRule="auto"/>
        <w:jc w:val="both"/>
        <w:sectPr>
          <w:headerReference w:type="default" r:id="rId122"/>
          <w:pgSz w:w="11900" w:h="16850"/>
          <w:pgMar w:header="712" w:footer="0" w:top="1020" w:bottom="280" w:left="1600" w:right="1020"/>
          <w:pgNumType w:start="170"/>
        </w:sectPr>
      </w:pPr>
    </w:p>
    <w:p>
      <w:pPr>
        <w:pStyle w:val="BodyText"/>
        <w:rPr>
          <w:sz w:val="20"/>
        </w:rPr>
      </w:pPr>
    </w:p>
    <w:p>
      <w:pPr>
        <w:pStyle w:val="BodyText"/>
        <w:rPr>
          <w:sz w:val="20"/>
        </w:rPr>
      </w:pPr>
    </w:p>
    <w:p>
      <w:pPr>
        <w:pStyle w:val="BodyText"/>
        <w:spacing w:before="224"/>
        <w:ind w:left="7874"/>
      </w:pPr>
      <w:r>
        <w:rPr/>
        <w:t>Таблица 4.4</w:t>
      </w:r>
    </w:p>
    <w:p>
      <w:pPr>
        <w:pStyle w:val="BodyText"/>
        <w:spacing w:before="3"/>
        <w:rPr>
          <w:sz w:val="31"/>
        </w:rPr>
      </w:pPr>
    </w:p>
    <w:p>
      <w:pPr>
        <w:pStyle w:val="BodyText"/>
        <w:spacing w:line="362" w:lineRule="auto"/>
        <w:ind w:left="447" w:right="349"/>
        <w:jc w:val="center"/>
      </w:pPr>
      <w:r>
        <w:rPr/>
        <w:t>Частота метастазов в тазовых и парааортальных лимфатических узлах в зависимости от локализации опухоли</w:t>
      </w:r>
    </w:p>
    <w:p>
      <w:pPr>
        <w:pStyle w:val="BodyText"/>
        <w:spacing w:before="1"/>
        <w:rPr>
          <w:sz w:val="18"/>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1887"/>
        <w:gridCol w:w="1745"/>
        <w:gridCol w:w="1889"/>
        <w:gridCol w:w="1690"/>
      </w:tblGrid>
      <w:tr>
        <w:trPr>
          <w:trHeight w:val="1054" w:hRule="exact"/>
        </w:trPr>
        <w:tc>
          <w:tcPr>
            <w:tcW w:w="1980" w:type="dxa"/>
            <w:vMerge w:val="restart"/>
          </w:tcPr>
          <w:p>
            <w:pPr>
              <w:pStyle w:val="TableParagraph"/>
              <w:rPr>
                <w:sz w:val="30"/>
              </w:rPr>
            </w:pPr>
          </w:p>
          <w:p>
            <w:pPr>
              <w:pStyle w:val="TableParagraph"/>
              <w:spacing w:before="260"/>
              <w:ind w:left="484" w:right="197" w:hanging="274"/>
              <w:rPr>
                <w:sz w:val="28"/>
              </w:rPr>
            </w:pPr>
            <w:r>
              <w:rPr>
                <w:sz w:val="28"/>
              </w:rPr>
              <w:t>Локализация опухоли</w:t>
            </w:r>
          </w:p>
          <w:p>
            <w:pPr>
              <w:pStyle w:val="TableParagraph"/>
              <w:spacing w:before="199"/>
              <w:ind w:left="566"/>
              <w:rPr>
                <w:sz w:val="28"/>
              </w:rPr>
            </w:pPr>
            <w:r>
              <w:rPr>
                <w:sz w:val="28"/>
              </w:rPr>
              <w:t>(n= 57)</w:t>
            </w:r>
          </w:p>
        </w:tc>
        <w:tc>
          <w:tcPr>
            <w:tcW w:w="7211" w:type="dxa"/>
            <w:gridSpan w:val="4"/>
          </w:tcPr>
          <w:p>
            <w:pPr>
              <w:pStyle w:val="TableParagraph"/>
              <w:spacing w:line="388" w:lineRule="auto"/>
              <w:ind w:left="3286" w:right="1535" w:hanging="1734"/>
              <w:rPr>
                <w:sz w:val="28"/>
              </w:rPr>
            </w:pPr>
            <w:r>
              <w:rPr>
                <w:sz w:val="28"/>
              </w:rPr>
              <w:t>Частота и локализация метастазов n (%)</w:t>
            </w:r>
          </w:p>
        </w:tc>
      </w:tr>
      <w:tr>
        <w:trPr>
          <w:trHeight w:val="855" w:hRule="exact"/>
        </w:trPr>
        <w:tc>
          <w:tcPr>
            <w:tcW w:w="1980" w:type="dxa"/>
            <w:vMerge/>
          </w:tcPr>
          <w:p>
            <w:pPr/>
          </w:p>
        </w:tc>
        <w:tc>
          <w:tcPr>
            <w:tcW w:w="3632" w:type="dxa"/>
            <w:gridSpan w:val="2"/>
          </w:tcPr>
          <w:p>
            <w:pPr>
              <w:pStyle w:val="TableParagraph"/>
              <w:spacing w:line="242" w:lineRule="auto"/>
              <w:ind w:left="1522" w:right="364" w:hanging="1140"/>
              <w:rPr>
                <w:sz w:val="28"/>
              </w:rPr>
            </w:pPr>
            <w:r>
              <w:rPr>
                <w:sz w:val="28"/>
              </w:rPr>
              <w:t>тазовые лимфатические узлы</w:t>
            </w:r>
          </w:p>
        </w:tc>
        <w:tc>
          <w:tcPr>
            <w:tcW w:w="3579" w:type="dxa"/>
            <w:gridSpan w:val="2"/>
          </w:tcPr>
          <w:p>
            <w:pPr>
              <w:pStyle w:val="TableParagraph"/>
              <w:spacing w:line="242" w:lineRule="auto"/>
              <w:ind w:left="537" w:right="519" w:firstLine="285"/>
              <w:rPr>
                <w:sz w:val="28"/>
              </w:rPr>
            </w:pPr>
            <w:r>
              <w:rPr>
                <w:sz w:val="28"/>
              </w:rPr>
              <w:t>парааортальные лимфатические узлы</w:t>
            </w:r>
          </w:p>
        </w:tc>
      </w:tr>
      <w:tr>
        <w:trPr>
          <w:trHeight w:val="691" w:hRule="exact"/>
        </w:trPr>
        <w:tc>
          <w:tcPr>
            <w:tcW w:w="1980" w:type="dxa"/>
            <w:vMerge/>
          </w:tcPr>
          <w:p>
            <w:pPr/>
          </w:p>
        </w:tc>
        <w:tc>
          <w:tcPr>
            <w:tcW w:w="1887" w:type="dxa"/>
          </w:tcPr>
          <w:p>
            <w:pPr>
              <w:pStyle w:val="TableParagraph"/>
              <w:spacing w:before="72"/>
              <w:ind w:left="461" w:right="463"/>
              <w:jc w:val="center"/>
              <w:rPr>
                <w:sz w:val="28"/>
              </w:rPr>
            </w:pPr>
            <w:r>
              <w:rPr>
                <w:sz w:val="28"/>
              </w:rPr>
              <w:t>N0</w:t>
            </w:r>
          </w:p>
        </w:tc>
        <w:tc>
          <w:tcPr>
            <w:tcW w:w="1745" w:type="dxa"/>
          </w:tcPr>
          <w:p>
            <w:pPr>
              <w:pStyle w:val="TableParagraph"/>
              <w:spacing w:before="72"/>
              <w:ind w:left="392" w:right="392"/>
              <w:jc w:val="center"/>
              <w:rPr>
                <w:sz w:val="28"/>
              </w:rPr>
            </w:pPr>
            <w:r>
              <w:rPr>
                <w:sz w:val="28"/>
              </w:rPr>
              <w:t>N1</w:t>
            </w:r>
          </w:p>
        </w:tc>
        <w:tc>
          <w:tcPr>
            <w:tcW w:w="1889" w:type="dxa"/>
          </w:tcPr>
          <w:p>
            <w:pPr>
              <w:pStyle w:val="TableParagraph"/>
              <w:spacing w:before="72"/>
              <w:ind w:left="464" w:right="465"/>
              <w:jc w:val="center"/>
              <w:rPr>
                <w:sz w:val="28"/>
              </w:rPr>
            </w:pPr>
            <w:r>
              <w:rPr>
                <w:sz w:val="28"/>
              </w:rPr>
              <w:t>M0</w:t>
            </w:r>
          </w:p>
        </w:tc>
        <w:tc>
          <w:tcPr>
            <w:tcW w:w="1690" w:type="dxa"/>
          </w:tcPr>
          <w:p>
            <w:pPr>
              <w:pStyle w:val="TableParagraph"/>
              <w:spacing w:before="72"/>
              <w:ind w:left="364" w:right="363"/>
              <w:jc w:val="center"/>
              <w:rPr>
                <w:sz w:val="28"/>
              </w:rPr>
            </w:pPr>
            <w:r>
              <w:rPr>
                <w:sz w:val="28"/>
              </w:rPr>
              <w:t>M1</w:t>
            </w:r>
          </w:p>
        </w:tc>
      </w:tr>
      <w:tr>
        <w:trPr>
          <w:trHeight w:val="1054" w:hRule="exact"/>
        </w:trPr>
        <w:tc>
          <w:tcPr>
            <w:tcW w:w="1980" w:type="dxa"/>
          </w:tcPr>
          <w:p>
            <w:pPr>
              <w:pStyle w:val="TableParagraph"/>
              <w:spacing w:before="252"/>
              <w:ind w:left="213"/>
              <w:rPr>
                <w:sz w:val="28"/>
              </w:rPr>
            </w:pPr>
            <w:r>
              <w:rPr>
                <w:sz w:val="28"/>
              </w:rPr>
              <w:t>Эктоцервикс</w:t>
            </w:r>
          </w:p>
        </w:tc>
        <w:tc>
          <w:tcPr>
            <w:tcW w:w="1887" w:type="dxa"/>
          </w:tcPr>
          <w:p>
            <w:pPr>
              <w:pStyle w:val="TableParagraph"/>
              <w:spacing w:line="315" w:lineRule="exact"/>
              <w:ind w:left="463" w:right="463"/>
              <w:jc w:val="center"/>
              <w:rPr>
                <w:sz w:val="28"/>
              </w:rPr>
            </w:pPr>
            <w:r>
              <w:rPr>
                <w:sz w:val="28"/>
              </w:rPr>
              <w:t>32</w:t>
            </w:r>
          </w:p>
          <w:p>
            <w:pPr>
              <w:pStyle w:val="TableParagraph"/>
              <w:spacing w:before="199"/>
              <w:ind w:left="463" w:right="463"/>
              <w:jc w:val="center"/>
              <w:rPr>
                <w:sz w:val="28"/>
              </w:rPr>
            </w:pPr>
            <w:r>
              <w:rPr>
                <w:sz w:val="28"/>
              </w:rPr>
              <w:t>(62,7%)</w:t>
            </w:r>
          </w:p>
        </w:tc>
        <w:tc>
          <w:tcPr>
            <w:tcW w:w="1745" w:type="dxa"/>
          </w:tcPr>
          <w:p>
            <w:pPr>
              <w:pStyle w:val="TableParagraph"/>
              <w:spacing w:line="315" w:lineRule="exact"/>
              <w:ind w:left="392" w:right="390"/>
              <w:jc w:val="center"/>
              <w:rPr>
                <w:sz w:val="28"/>
              </w:rPr>
            </w:pPr>
            <w:r>
              <w:rPr>
                <w:sz w:val="28"/>
              </w:rPr>
              <w:t>19</w:t>
            </w:r>
          </w:p>
          <w:p>
            <w:pPr>
              <w:pStyle w:val="TableParagraph"/>
              <w:spacing w:before="199"/>
              <w:ind w:left="392" w:right="392"/>
              <w:jc w:val="center"/>
              <w:rPr>
                <w:sz w:val="28"/>
              </w:rPr>
            </w:pPr>
            <w:r>
              <w:rPr>
                <w:sz w:val="28"/>
              </w:rPr>
              <w:t>(37,3%)</w:t>
            </w:r>
          </w:p>
        </w:tc>
        <w:tc>
          <w:tcPr>
            <w:tcW w:w="1889" w:type="dxa"/>
          </w:tcPr>
          <w:p>
            <w:pPr>
              <w:pStyle w:val="TableParagraph"/>
              <w:spacing w:line="315" w:lineRule="exact"/>
              <w:ind w:left="465" w:right="464"/>
              <w:jc w:val="center"/>
              <w:rPr>
                <w:sz w:val="28"/>
              </w:rPr>
            </w:pPr>
            <w:r>
              <w:rPr>
                <w:sz w:val="28"/>
              </w:rPr>
              <w:t>46</w:t>
            </w:r>
          </w:p>
          <w:p>
            <w:pPr>
              <w:pStyle w:val="TableParagraph"/>
              <w:spacing w:before="199"/>
              <w:ind w:left="465" w:right="465"/>
              <w:jc w:val="center"/>
              <w:rPr>
                <w:sz w:val="28"/>
              </w:rPr>
            </w:pPr>
            <w:r>
              <w:rPr>
                <w:sz w:val="28"/>
              </w:rPr>
              <w:t>(90,2%)</w:t>
            </w:r>
          </w:p>
        </w:tc>
        <w:tc>
          <w:tcPr>
            <w:tcW w:w="1690" w:type="dxa"/>
          </w:tcPr>
          <w:p>
            <w:pPr>
              <w:pStyle w:val="TableParagraph"/>
              <w:spacing w:line="315" w:lineRule="exact"/>
              <w:ind w:left="1"/>
              <w:jc w:val="center"/>
              <w:rPr>
                <w:sz w:val="28"/>
              </w:rPr>
            </w:pPr>
            <w:r>
              <w:rPr>
                <w:w w:val="100"/>
                <w:sz w:val="28"/>
              </w:rPr>
              <w:t>5</w:t>
            </w:r>
          </w:p>
          <w:p>
            <w:pPr>
              <w:pStyle w:val="TableParagraph"/>
              <w:spacing w:before="199"/>
              <w:ind w:left="364" w:right="364"/>
              <w:jc w:val="center"/>
              <w:rPr>
                <w:sz w:val="28"/>
              </w:rPr>
            </w:pPr>
            <w:r>
              <w:rPr>
                <w:sz w:val="28"/>
              </w:rPr>
              <w:t>(9,8%)</w:t>
            </w:r>
          </w:p>
        </w:tc>
      </w:tr>
      <w:tr>
        <w:trPr>
          <w:trHeight w:val="1054" w:hRule="exact"/>
        </w:trPr>
        <w:tc>
          <w:tcPr>
            <w:tcW w:w="1980" w:type="dxa"/>
            <w:tcBorders>
              <w:bottom w:val="single" w:sz="4" w:space="0" w:color="000000"/>
            </w:tcBorders>
          </w:tcPr>
          <w:p>
            <w:pPr>
              <w:pStyle w:val="TableParagraph"/>
              <w:spacing w:before="254"/>
              <w:ind w:left="196"/>
              <w:rPr>
                <w:sz w:val="28"/>
              </w:rPr>
            </w:pPr>
            <w:r>
              <w:rPr>
                <w:sz w:val="28"/>
              </w:rPr>
              <w:t>Эндоцервикс</w:t>
            </w:r>
          </w:p>
        </w:tc>
        <w:tc>
          <w:tcPr>
            <w:tcW w:w="1887" w:type="dxa"/>
            <w:tcBorders>
              <w:bottom w:val="single" w:sz="4" w:space="0" w:color="000000"/>
            </w:tcBorders>
          </w:tcPr>
          <w:p>
            <w:pPr>
              <w:pStyle w:val="TableParagraph"/>
              <w:spacing w:line="315" w:lineRule="exact"/>
              <w:ind w:left="1"/>
              <w:jc w:val="center"/>
              <w:rPr>
                <w:sz w:val="28"/>
              </w:rPr>
            </w:pPr>
            <w:r>
              <w:rPr>
                <w:w w:val="100"/>
                <w:sz w:val="28"/>
              </w:rPr>
              <w:t>6</w:t>
            </w:r>
          </w:p>
          <w:p>
            <w:pPr>
              <w:pStyle w:val="TableParagraph"/>
              <w:spacing w:before="199"/>
              <w:ind w:left="463" w:right="461"/>
              <w:jc w:val="center"/>
              <w:rPr>
                <w:sz w:val="28"/>
              </w:rPr>
            </w:pPr>
            <w:r>
              <w:rPr>
                <w:sz w:val="28"/>
              </w:rPr>
              <w:t>(100%)</w:t>
            </w:r>
          </w:p>
        </w:tc>
        <w:tc>
          <w:tcPr>
            <w:tcW w:w="1745" w:type="dxa"/>
            <w:tcBorders>
              <w:bottom w:val="single" w:sz="4" w:space="0" w:color="000000"/>
            </w:tcBorders>
          </w:tcPr>
          <w:p>
            <w:pPr>
              <w:pStyle w:val="TableParagraph"/>
              <w:spacing w:before="254"/>
              <w:ind w:left="3"/>
              <w:jc w:val="center"/>
              <w:rPr>
                <w:sz w:val="28"/>
              </w:rPr>
            </w:pPr>
            <w:r>
              <w:rPr>
                <w:w w:val="100"/>
                <w:sz w:val="28"/>
              </w:rPr>
              <w:t>0</w:t>
            </w:r>
          </w:p>
        </w:tc>
        <w:tc>
          <w:tcPr>
            <w:tcW w:w="1889" w:type="dxa"/>
            <w:tcBorders>
              <w:bottom w:val="single" w:sz="4" w:space="0" w:color="000000"/>
            </w:tcBorders>
          </w:tcPr>
          <w:p>
            <w:pPr>
              <w:pStyle w:val="TableParagraph"/>
              <w:spacing w:line="315" w:lineRule="exact"/>
              <w:ind w:right="1"/>
              <w:jc w:val="center"/>
              <w:rPr>
                <w:sz w:val="28"/>
              </w:rPr>
            </w:pPr>
            <w:r>
              <w:rPr>
                <w:w w:val="100"/>
                <w:sz w:val="28"/>
              </w:rPr>
              <w:t>5</w:t>
            </w:r>
          </w:p>
          <w:p>
            <w:pPr>
              <w:pStyle w:val="TableParagraph"/>
              <w:spacing w:before="199"/>
              <w:ind w:left="465" w:right="465"/>
              <w:jc w:val="center"/>
              <w:rPr>
                <w:sz w:val="28"/>
              </w:rPr>
            </w:pPr>
            <w:r>
              <w:rPr>
                <w:sz w:val="28"/>
              </w:rPr>
              <w:t>(83,3%)</w:t>
            </w:r>
          </w:p>
        </w:tc>
        <w:tc>
          <w:tcPr>
            <w:tcW w:w="1690" w:type="dxa"/>
            <w:tcBorders>
              <w:bottom w:val="single" w:sz="4" w:space="0" w:color="000000"/>
            </w:tcBorders>
          </w:tcPr>
          <w:p>
            <w:pPr>
              <w:pStyle w:val="TableParagraph"/>
              <w:spacing w:line="315" w:lineRule="exact"/>
              <w:ind w:left="1"/>
              <w:jc w:val="center"/>
              <w:rPr>
                <w:sz w:val="28"/>
              </w:rPr>
            </w:pPr>
            <w:r>
              <w:rPr>
                <w:w w:val="100"/>
                <w:sz w:val="28"/>
              </w:rPr>
              <w:t>1</w:t>
            </w:r>
          </w:p>
          <w:p>
            <w:pPr>
              <w:pStyle w:val="TableParagraph"/>
              <w:spacing w:before="199"/>
              <w:ind w:left="364" w:right="365"/>
              <w:jc w:val="center"/>
              <w:rPr>
                <w:sz w:val="28"/>
              </w:rPr>
            </w:pPr>
            <w:r>
              <w:rPr>
                <w:sz w:val="28"/>
              </w:rPr>
              <w:t>(16,7%)</w:t>
            </w:r>
          </w:p>
        </w:tc>
      </w:tr>
    </w:tbl>
    <w:p>
      <w:pPr>
        <w:pStyle w:val="BodyText"/>
        <w:spacing w:before="8"/>
        <w:rPr>
          <w:sz w:val="27"/>
        </w:rPr>
      </w:pPr>
    </w:p>
    <w:p>
      <w:pPr>
        <w:pStyle w:val="BodyText"/>
        <w:spacing w:line="680" w:lineRule="atLeast"/>
        <w:ind w:left="447" w:right="107" w:firstLine="7424"/>
      </w:pPr>
      <w:r>
        <w:rPr/>
        <w:t>Таблица 4.5 Частота метастазов в тазовых и парааортальных лимфатических узлах в</w:t>
      </w:r>
    </w:p>
    <w:p>
      <w:pPr>
        <w:pStyle w:val="BodyText"/>
        <w:spacing w:before="160"/>
        <w:ind w:left="502" w:right="409"/>
        <w:jc w:val="center"/>
      </w:pPr>
      <w:r>
        <w:rPr/>
        <w:t>зависимости от формы роста опухоли</w:t>
      </w:r>
    </w:p>
    <w:p>
      <w:pPr>
        <w:pStyle w:val="BodyText"/>
        <w:rPr>
          <w:sz w:val="20"/>
        </w:rPr>
      </w:pPr>
    </w:p>
    <w:p>
      <w:pPr>
        <w:pStyle w:val="BodyText"/>
        <w:spacing w:before="1"/>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1887"/>
        <w:gridCol w:w="1745"/>
        <w:gridCol w:w="1889"/>
        <w:gridCol w:w="1690"/>
      </w:tblGrid>
      <w:tr>
        <w:trPr>
          <w:trHeight w:val="1054" w:hRule="exact"/>
        </w:trPr>
        <w:tc>
          <w:tcPr>
            <w:tcW w:w="1980" w:type="dxa"/>
            <w:vMerge w:val="restart"/>
          </w:tcPr>
          <w:p>
            <w:pPr>
              <w:pStyle w:val="TableParagraph"/>
              <w:rPr>
                <w:sz w:val="30"/>
              </w:rPr>
            </w:pPr>
          </w:p>
          <w:p>
            <w:pPr>
              <w:pStyle w:val="TableParagraph"/>
              <w:spacing w:before="260"/>
              <w:ind w:left="484" w:right="206" w:hanging="264"/>
              <w:rPr>
                <w:sz w:val="28"/>
              </w:rPr>
            </w:pPr>
            <w:r>
              <w:rPr>
                <w:sz w:val="28"/>
              </w:rPr>
              <w:t>Форма роста опухоли</w:t>
            </w:r>
          </w:p>
          <w:p>
            <w:pPr>
              <w:pStyle w:val="TableParagraph"/>
              <w:spacing w:before="198"/>
              <w:ind w:left="566"/>
              <w:rPr>
                <w:sz w:val="28"/>
              </w:rPr>
            </w:pPr>
            <w:r>
              <w:rPr>
                <w:sz w:val="28"/>
              </w:rPr>
              <w:t>(n= 57)</w:t>
            </w:r>
          </w:p>
        </w:tc>
        <w:tc>
          <w:tcPr>
            <w:tcW w:w="7211" w:type="dxa"/>
            <w:gridSpan w:val="4"/>
          </w:tcPr>
          <w:p>
            <w:pPr>
              <w:pStyle w:val="TableParagraph"/>
              <w:spacing w:line="391" w:lineRule="auto"/>
              <w:ind w:left="3286" w:right="1535" w:hanging="1734"/>
              <w:rPr>
                <w:sz w:val="28"/>
              </w:rPr>
            </w:pPr>
            <w:r>
              <w:rPr>
                <w:sz w:val="28"/>
              </w:rPr>
              <w:t>Частота и локализация метастазов n (%)</w:t>
            </w:r>
          </w:p>
        </w:tc>
      </w:tr>
      <w:tr>
        <w:trPr>
          <w:trHeight w:val="854" w:hRule="exact"/>
        </w:trPr>
        <w:tc>
          <w:tcPr>
            <w:tcW w:w="1980" w:type="dxa"/>
            <w:vMerge/>
          </w:tcPr>
          <w:p>
            <w:pPr/>
          </w:p>
        </w:tc>
        <w:tc>
          <w:tcPr>
            <w:tcW w:w="3632" w:type="dxa"/>
            <w:gridSpan w:val="2"/>
          </w:tcPr>
          <w:p>
            <w:pPr>
              <w:pStyle w:val="TableParagraph"/>
              <w:ind w:left="1522" w:right="364" w:hanging="1140"/>
              <w:rPr>
                <w:sz w:val="28"/>
              </w:rPr>
            </w:pPr>
            <w:r>
              <w:rPr>
                <w:sz w:val="28"/>
              </w:rPr>
              <w:t>тазовые лимфатические узлы</w:t>
            </w:r>
          </w:p>
        </w:tc>
        <w:tc>
          <w:tcPr>
            <w:tcW w:w="3579" w:type="dxa"/>
            <w:gridSpan w:val="2"/>
          </w:tcPr>
          <w:p>
            <w:pPr>
              <w:pStyle w:val="TableParagraph"/>
              <w:ind w:left="537" w:right="519" w:firstLine="285"/>
              <w:rPr>
                <w:sz w:val="28"/>
              </w:rPr>
            </w:pPr>
            <w:r>
              <w:rPr>
                <w:sz w:val="28"/>
              </w:rPr>
              <w:t>парааортальные лимфатические узлы</w:t>
            </w:r>
          </w:p>
        </w:tc>
      </w:tr>
      <w:tr>
        <w:trPr>
          <w:trHeight w:val="689" w:hRule="exact"/>
        </w:trPr>
        <w:tc>
          <w:tcPr>
            <w:tcW w:w="1980" w:type="dxa"/>
            <w:vMerge/>
          </w:tcPr>
          <w:p>
            <w:pPr/>
          </w:p>
        </w:tc>
        <w:tc>
          <w:tcPr>
            <w:tcW w:w="1887" w:type="dxa"/>
          </w:tcPr>
          <w:p>
            <w:pPr>
              <w:pStyle w:val="TableParagraph"/>
              <w:spacing w:before="72"/>
              <w:ind w:left="461" w:right="463"/>
              <w:jc w:val="center"/>
              <w:rPr>
                <w:sz w:val="28"/>
              </w:rPr>
            </w:pPr>
            <w:r>
              <w:rPr>
                <w:sz w:val="28"/>
              </w:rPr>
              <w:t>N0</w:t>
            </w:r>
          </w:p>
        </w:tc>
        <w:tc>
          <w:tcPr>
            <w:tcW w:w="1745" w:type="dxa"/>
          </w:tcPr>
          <w:p>
            <w:pPr>
              <w:pStyle w:val="TableParagraph"/>
              <w:spacing w:before="72"/>
              <w:ind w:left="392" w:right="392"/>
              <w:jc w:val="center"/>
              <w:rPr>
                <w:sz w:val="28"/>
              </w:rPr>
            </w:pPr>
            <w:r>
              <w:rPr>
                <w:sz w:val="28"/>
              </w:rPr>
              <w:t>N1</w:t>
            </w:r>
          </w:p>
        </w:tc>
        <w:tc>
          <w:tcPr>
            <w:tcW w:w="1889" w:type="dxa"/>
          </w:tcPr>
          <w:p>
            <w:pPr>
              <w:pStyle w:val="TableParagraph"/>
              <w:spacing w:before="72"/>
              <w:ind w:left="464" w:right="465"/>
              <w:jc w:val="center"/>
              <w:rPr>
                <w:sz w:val="28"/>
              </w:rPr>
            </w:pPr>
            <w:r>
              <w:rPr>
                <w:sz w:val="28"/>
              </w:rPr>
              <w:t>M0</w:t>
            </w:r>
          </w:p>
        </w:tc>
        <w:tc>
          <w:tcPr>
            <w:tcW w:w="1690" w:type="dxa"/>
          </w:tcPr>
          <w:p>
            <w:pPr>
              <w:pStyle w:val="TableParagraph"/>
              <w:spacing w:before="72"/>
              <w:ind w:left="364" w:right="363"/>
              <w:jc w:val="center"/>
              <w:rPr>
                <w:sz w:val="28"/>
              </w:rPr>
            </w:pPr>
            <w:r>
              <w:rPr>
                <w:sz w:val="28"/>
              </w:rPr>
              <w:t>M1</w:t>
            </w:r>
          </w:p>
        </w:tc>
      </w:tr>
      <w:tr>
        <w:trPr>
          <w:trHeight w:val="1056" w:hRule="exact"/>
        </w:trPr>
        <w:tc>
          <w:tcPr>
            <w:tcW w:w="1980" w:type="dxa"/>
          </w:tcPr>
          <w:p>
            <w:pPr>
              <w:pStyle w:val="TableParagraph"/>
              <w:spacing w:before="93"/>
              <w:ind w:left="602" w:right="254" w:hanging="334"/>
              <w:rPr>
                <w:sz w:val="28"/>
              </w:rPr>
            </w:pPr>
            <w:r>
              <w:rPr>
                <w:sz w:val="28"/>
              </w:rPr>
              <w:t>Экзофитная форма</w:t>
            </w:r>
          </w:p>
        </w:tc>
        <w:tc>
          <w:tcPr>
            <w:tcW w:w="1887" w:type="dxa"/>
          </w:tcPr>
          <w:p>
            <w:pPr>
              <w:pStyle w:val="TableParagraph"/>
              <w:spacing w:line="317" w:lineRule="exact"/>
              <w:ind w:left="463" w:right="463"/>
              <w:jc w:val="center"/>
              <w:rPr>
                <w:sz w:val="28"/>
              </w:rPr>
            </w:pPr>
            <w:r>
              <w:rPr>
                <w:sz w:val="28"/>
              </w:rPr>
              <w:t>27</w:t>
            </w:r>
          </w:p>
          <w:p>
            <w:pPr>
              <w:pStyle w:val="TableParagraph"/>
              <w:spacing w:before="199"/>
              <w:ind w:left="463" w:right="463"/>
              <w:jc w:val="center"/>
              <w:rPr>
                <w:sz w:val="28"/>
              </w:rPr>
            </w:pPr>
            <w:r>
              <w:rPr>
                <w:sz w:val="28"/>
              </w:rPr>
              <w:t>(64,3%)</w:t>
            </w:r>
          </w:p>
        </w:tc>
        <w:tc>
          <w:tcPr>
            <w:tcW w:w="1745" w:type="dxa"/>
          </w:tcPr>
          <w:p>
            <w:pPr>
              <w:pStyle w:val="TableParagraph"/>
              <w:spacing w:line="317" w:lineRule="exact"/>
              <w:ind w:left="392" w:right="390"/>
              <w:jc w:val="center"/>
              <w:rPr>
                <w:sz w:val="28"/>
              </w:rPr>
            </w:pPr>
            <w:r>
              <w:rPr>
                <w:sz w:val="28"/>
              </w:rPr>
              <w:t>15</w:t>
            </w:r>
          </w:p>
          <w:p>
            <w:pPr>
              <w:pStyle w:val="TableParagraph"/>
              <w:spacing w:before="199"/>
              <w:ind w:left="392" w:right="392"/>
              <w:jc w:val="center"/>
              <w:rPr>
                <w:sz w:val="28"/>
              </w:rPr>
            </w:pPr>
            <w:r>
              <w:rPr>
                <w:sz w:val="28"/>
              </w:rPr>
              <w:t>(35,7%)</w:t>
            </w:r>
          </w:p>
        </w:tc>
        <w:tc>
          <w:tcPr>
            <w:tcW w:w="1889" w:type="dxa"/>
          </w:tcPr>
          <w:p>
            <w:pPr>
              <w:pStyle w:val="TableParagraph"/>
              <w:spacing w:line="317" w:lineRule="exact"/>
              <w:ind w:left="465" w:right="464"/>
              <w:jc w:val="center"/>
              <w:rPr>
                <w:sz w:val="28"/>
              </w:rPr>
            </w:pPr>
            <w:r>
              <w:rPr>
                <w:sz w:val="28"/>
              </w:rPr>
              <w:t>39</w:t>
            </w:r>
          </w:p>
          <w:p>
            <w:pPr>
              <w:pStyle w:val="TableParagraph"/>
              <w:spacing w:before="199"/>
              <w:ind w:left="465" w:right="465"/>
              <w:jc w:val="center"/>
              <w:rPr>
                <w:sz w:val="28"/>
              </w:rPr>
            </w:pPr>
            <w:r>
              <w:rPr>
                <w:sz w:val="28"/>
              </w:rPr>
              <w:t>(92,9%)</w:t>
            </w:r>
          </w:p>
        </w:tc>
        <w:tc>
          <w:tcPr>
            <w:tcW w:w="1690" w:type="dxa"/>
          </w:tcPr>
          <w:p>
            <w:pPr>
              <w:pStyle w:val="TableParagraph"/>
              <w:spacing w:line="317" w:lineRule="exact"/>
              <w:ind w:left="1"/>
              <w:jc w:val="center"/>
              <w:rPr>
                <w:sz w:val="28"/>
              </w:rPr>
            </w:pPr>
            <w:r>
              <w:rPr>
                <w:w w:val="100"/>
                <w:sz w:val="28"/>
              </w:rPr>
              <w:t>3</w:t>
            </w:r>
          </w:p>
          <w:p>
            <w:pPr>
              <w:pStyle w:val="TableParagraph"/>
              <w:spacing w:before="199"/>
              <w:ind w:left="364" w:right="364"/>
              <w:jc w:val="center"/>
              <w:rPr>
                <w:sz w:val="28"/>
              </w:rPr>
            </w:pPr>
            <w:r>
              <w:rPr>
                <w:sz w:val="28"/>
              </w:rPr>
              <w:t>(7,1%)</w:t>
            </w:r>
          </w:p>
        </w:tc>
      </w:tr>
      <w:tr>
        <w:trPr>
          <w:trHeight w:val="1054" w:hRule="exact"/>
        </w:trPr>
        <w:tc>
          <w:tcPr>
            <w:tcW w:w="1980" w:type="dxa"/>
          </w:tcPr>
          <w:p>
            <w:pPr>
              <w:pStyle w:val="TableParagraph"/>
              <w:spacing w:line="242" w:lineRule="auto" w:before="91"/>
              <w:ind w:left="602" w:right="277" w:hanging="310"/>
              <w:rPr>
                <w:sz w:val="28"/>
              </w:rPr>
            </w:pPr>
            <w:r>
              <w:rPr>
                <w:sz w:val="28"/>
              </w:rPr>
              <w:t>Смешанная форма</w:t>
            </w:r>
          </w:p>
        </w:tc>
        <w:tc>
          <w:tcPr>
            <w:tcW w:w="1887" w:type="dxa"/>
          </w:tcPr>
          <w:p>
            <w:pPr>
              <w:pStyle w:val="TableParagraph"/>
              <w:spacing w:line="315" w:lineRule="exact"/>
              <w:ind w:left="463" w:right="463"/>
              <w:jc w:val="center"/>
              <w:rPr>
                <w:sz w:val="28"/>
              </w:rPr>
            </w:pPr>
            <w:r>
              <w:rPr>
                <w:sz w:val="28"/>
              </w:rPr>
              <w:t>11</w:t>
            </w:r>
          </w:p>
          <w:p>
            <w:pPr>
              <w:pStyle w:val="TableParagraph"/>
              <w:spacing w:before="199"/>
              <w:ind w:left="463" w:right="463"/>
              <w:jc w:val="center"/>
              <w:rPr>
                <w:sz w:val="28"/>
              </w:rPr>
            </w:pPr>
            <w:r>
              <w:rPr>
                <w:sz w:val="28"/>
              </w:rPr>
              <w:t>(73,3%)</w:t>
            </w:r>
          </w:p>
        </w:tc>
        <w:tc>
          <w:tcPr>
            <w:tcW w:w="1745" w:type="dxa"/>
          </w:tcPr>
          <w:p>
            <w:pPr>
              <w:pStyle w:val="TableParagraph"/>
              <w:spacing w:line="315" w:lineRule="exact"/>
              <w:ind w:left="3"/>
              <w:jc w:val="center"/>
              <w:rPr>
                <w:sz w:val="28"/>
              </w:rPr>
            </w:pPr>
            <w:r>
              <w:rPr>
                <w:w w:val="100"/>
                <w:sz w:val="28"/>
              </w:rPr>
              <w:t>4</w:t>
            </w:r>
          </w:p>
          <w:p>
            <w:pPr>
              <w:pStyle w:val="TableParagraph"/>
              <w:spacing w:before="199"/>
              <w:ind w:left="392" w:right="392"/>
              <w:jc w:val="center"/>
              <w:rPr>
                <w:sz w:val="28"/>
              </w:rPr>
            </w:pPr>
            <w:r>
              <w:rPr>
                <w:sz w:val="28"/>
              </w:rPr>
              <w:t>(26,7%)</w:t>
            </w:r>
          </w:p>
        </w:tc>
        <w:tc>
          <w:tcPr>
            <w:tcW w:w="1889" w:type="dxa"/>
          </w:tcPr>
          <w:p>
            <w:pPr>
              <w:pStyle w:val="TableParagraph"/>
              <w:spacing w:line="315" w:lineRule="exact"/>
              <w:ind w:left="465" w:right="465"/>
              <w:jc w:val="center"/>
              <w:rPr>
                <w:sz w:val="28"/>
              </w:rPr>
            </w:pPr>
            <w:r>
              <w:rPr>
                <w:sz w:val="28"/>
              </w:rPr>
              <w:t>12</w:t>
            </w:r>
          </w:p>
          <w:p>
            <w:pPr>
              <w:pStyle w:val="TableParagraph"/>
              <w:spacing w:before="199"/>
              <w:ind w:left="465" w:right="465"/>
              <w:jc w:val="center"/>
              <w:rPr>
                <w:sz w:val="28"/>
              </w:rPr>
            </w:pPr>
            <w:r>
              <w:rPr>
                <w:sz w:val="28"/>
              </w:rPr>
              <w:t>(80,0%)</w:t>
            </w:r>
          </w:p>
        </w:tc>
        <w:tc>
          <w:tcPr>
            <w:tcW w:w="1690" w:type="dxa"/>
          </w:tcPr>
          <w:p>
            <w:pPr>
              <w:pStyle w:val="TableParagraph"/>
              <w:spacing w:line="315" w:lineRule="exact"/>
              <w:ind w:left="1"/>
              <w:jc w:val="center"/>
              <w:rPr>
                <w:sz w:val="28"/>
              </w:rPr>
            </w:pPr>
            <w:r>
              <w:rPr>
                <w:w w:val="100"/>
                <w:sz w:val="28"/>
              </w:rPr>
              <w:t>3</w:t>
            </w:r>
          </w:p>
          <w:p>
            <w:pPr>
              <w:pStyle w:val="TableParagraph"/>
              <w:spacing w:before="199"/>
              <w:ind w:left="364" w:right="365"/>
              <w:jc w:val="center"/>
              <w:rPr>
                <w:sz w:val="28"/>
              </w:rPr>
            </w:pPr>
            <w:r>
              <w:rPr>
                <w:sz w:val="28"/>
              </w:rPr>
              <w:t>(20,0%)</w:t>
            </w:r>
          </w:p>
        </w:tc>
      </w:tr>
    </w:tbl>
    <w:p>
      <w:pPr>
        <w:spacing w:after="0"/>
        <w:jc w:val="center"/>
        <w:rPr>
          <w:sz w:val="28"/>
        </w:rPr>
        <w:sectPr>
          <w:pgSz w:w="11900" w:h="16850"/>
          <w:pgMar w:header="712" w:footer="0" w:top="1020" w:bottom="280" w:left="1480" w:right="1000"/>
        </w:sectPr>
      </w:pPr>
    </w:p>
    <w:p>
      <w:pPr>
        <w:pStyle w:val="BodyText"/>
        <w:rPr>
          <w:sz w:val="20"/>
        </w:rPr>
      </w:pPr>
    </w:p>
    <w:p>
      <w:pPr>
        <w:pStyle w:val="BodyText"/>
        <w:rPr>
          <w:sz w:val="20"/>
        </w:rPr>
      </w:pPr>
    </w:p>
    <w:p>
      <w:pPr>
        <w:pStyle w:val="BodyText"/>
        <w:spacing w:line="360" w:lineRule="auto" w:before="224"/>
        <w:ind w:left="222" w:right="356" w:firstLine="347"/>
      </w:pPr>
      <w:r>
        <w:rPr/>
        <w:t>Нам не удалось выявить статистически значимых различий в частоте метастазирования в регионарные лимфатические узлы опухолей шейки матки при различных локализациях и формах роста. Частота обнаружения метастазов в лимфатических узлах закономерно возрастала по мере увеличения степени местного распространения опухоли.</w:t>
      </w:r>
    </w:p>
    <w:p>
      <w:pPr>
        <w:pStyle w:val="BodyText"/>
        <w:spacing w:line="360" w:lineRule="auto" w:before="204"/>
        <w:ind w:left="222" w:right="1043" w:firstLine="347"/>
      </w:pPr>
      <w:r>
        <w:rPr/>
        <w:t>Размер опухоли шейки матки оценивался визуально и с помощью методов лучевой диагностики (УЗИ, МРТ).</w:t>
      </w:r>
    </w:p>
    <w:p>
      <w:pPr>
        <w:pStyle w:val="BodyText"/>
        <w:tabs>
          <w:tab w:pos="1171" w:val="left" w:leader="none"/>
          <w:tab w:pos="5904" w:val="left" w:leader="none"/>
        </w:tabs>
        <w:spacing w:line="360" w:lineRule="auto" w:before="206"/>
        <w:ind w:left="222" w:right="643" w:firstLine="347"/>
      </w:pPr>
      <w:r>
        <w:rPr/>
        <w:t>При макроскопической оценке учитывалось поражение влагалищной части шейки матки в</w:t>
      </w:r>
      <w:r>
        <w:rPr>
          <w:spacing w:val="-6"/>
        </w:rPr>
        <w:t> </w:t>
      </w:r>
      <w:r>
        <w:rPr/>
        <w:t>наибольшем</w:t>
      </w:r>
      <w:r>
        <w:rPr>
          <w:spacing w:val="-5"/>
        </w:rPr>
        <w:t> </w:t>
      </w:r>
      <w:r>
        <w:rPr/>
        <w:t>измерении:</w:t>
        <w:tab/>
        <w:t>до 4,0 см и от 4,0</w:t>
      </w:r>
      <w:r>
        <w:rPr>
          <w:spacing w:val="-4"/>
        </w:rPr>
        <w:t> </w:t>
      </w:r>
      <w:r>
        <w:rPr/>
        <w:t>см</w:t>
      </w:r>
      <w:r>
        <w:rPr>
          <w:spacing w:val="-2"/>
        </w:rPr>
        <w:t> </w:t>
      </w:r>
      <w:r>
        <w:rPr/>
        <w:t>и</w:t>
      </w:r>
      <w:r>
        <w:rPr>
          <w:w w:val="100"/>
        </w:rPr>
        <w:t> </w:t>
      </w:r>
      <w:r>
        <w:rPr/>
        <w:t>более.</w:t>
        <w:tab/>
        <w:t>У 42 больных размер опухоли был более 4,0 см (73,7%).</w:t>
      </w:r>
      <w:r>
        <w:rPr>
          <w:spacing w:val="49"/>
        </w:rPr>
        <w:t> </w:t>
      </w:r>
      <w:r>
        <w:rPr/>
        <w:t>В</w:t>
      </w:r>
      <w:r>
        <w:rPr>
          <w:spacing w:val="-1"/>
        </w:rPr>
        <w:t> </w:t>
      </w:r>
      <w:r>
        <w:rPr/>
        <w:t>15</w:t>
      </w:r>
      <w:r>
        <w:rPr>
          <w:w w:val="100"/>
        </w:rPr>
        <w:t> </w:t>
      </w:r>
      <w:r>
        <w:rPr/>
        <w:t>случаях (26,3%) опухоль оказалась меньшего размера (Табл.</w:t>
      </w:r>
      <w:r>
        <w:rPr>
          <w:spacing w:val="-15"/>
        </w:rPr>
        <w:t> </w:t>
      </w:r>
      <w:r>
        <w:rPr/>
        <w:t>4.6).</w:t>
      </w:r>
    </w:p>
    <w:p>
      <w:pPr>
        <w:pStyle w:val="BodyText"/>
        <w:spacing w:line="520" w:lineRule="atLeast" w:before="6"/>
        <w:ind w:left="447" w:right="207" w:firstLine="7424"/>
      </w:pPr>
      <w:r>
        <w:rPr/>
        <w:t>Таблица 4.6 Частота метастазов в тазовых и парааортальных лимфатических узлах в</w:t>
      </w:r>
    </w:p>
    <w:p>
      <w:pPr>
        <w:pStyle w:val="BodyText"/>
        <w:spacing w:line="322" w:lineRule="exact"/>
        <w:ind w:left="1986"/>
      </w:pPr>
      <w:r>
        <w:rPr/>
        <w:t>зависимости от размера опухоли шейки матки</w:t>
      </w:r>
    </w:p>
    <w:p>
      <w:pPr>
        <w:pStyle w:val="BodyText"/>
        <w:spacing w:before="10"/>
        <w:rPr>
          <w:sz w:val="1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2"/>
        <w:gridCol w:w="1949"/>
        <w:gridCol w:w="1810"/>
        <w:gridCol w:w="2081"/>
        <w:gridCol w:w="1637"/>
      </w:tblGrid>
      <w:tr>
        <w:trPr>
          <w:trHeight w:val="1056" w:hRule="exact"/>
        </w:trPr>
        <w:tc>
          <w:tcPr>
            <w:tcW w:w="1812" w:type="dxa"/>
            <w:vMerge w:val="restart"/>
          </w:tcPr>
          <w:p>
            <w:pPr>
              <w:pStyle w:val="TableParagraph"/>
              <w:rPr>
                <w:sz w:val="30"/>
              </w:rPr>
            </w:pPr>
          </w:p>
          <w:p>
            <w:pPr>
              <w:pStyle w:val="TableParagraph"/>
              <w:spacing w:before="205"/>
              <w:ind w:left="403" w:right="379" w:firstLine="81"/>
              <w:rPr>
                <w:sz w:val="28"/>
              </w:rPr>
            </w:pPr>
            <w:r>
              <w:rPr>
                <w:sz w:val="28"/>
              </w:rPr>
              <w:t>Размер опухоли</w:t>
            </w:r>
          </w:p>
        </w:tc>
        <w:tc>
          <w:tcPr>
            <w:tcW w:w="7478" w:type="dxa"/>
            <w:gridSpan w:val="4"/>
          </w:tcPr>
          <w:p>
            <w:pPr>
              <w:pStyle w:val="TableParagraph"/>
              <w:spacing w:line="388" w:lineRule="auto"/>
              <w:ind w:left="3418" w:right="1669" w:hanging="1734"/>
              <w:rPr>
                <w:sz w:val="28"/>
              </w:rPr>
            </w:pPr>
            <w:r>
              <w:rPr>
                <w:sz w:val="28"/>
              </w:rPr>
              <w:t>Частота и локализация метастазов n (%)</w:t>
            </w:r>
          </w:p>
        </w:tc>
      </w:tr>
      <w:tr>
        <w:trPr>
          <w:trHeight w:val="852" w:hRule="exact"/>
        </w:trPr>
        <w:tc>
          <w:tcPr>
            <w:tcW w:w="1812" w:type="dxa"/>
            <w:vMerge/>
          </w:tcPr>
          <w:p>
            <w:pPr/>
          </w:p>
        </w:tc>
        <w:tc>
          <w:tcPr>
            <w:tcW w:w="3759" w:type="dxa"/>
            <w:gridSpan w:val="2"/>
          </w:tcPr>
          <w:p>
            <w:pPr>
              <w:pStyle w:val="TableParagraph"/>
              <w:spacing w:before="153"/>
              <w:ind w:left="122"/>
              <w:rPr>
                <w:sz w:val="28"/>
              </w:rPr>
            </w:pPr>
            <w:r>
              <w:rPr>
                <w:sz w:val="28"/>
              </w:rPr>
              <w:t>тазовые лимфатические узлы</w:t>
            </w:r>
          </w:p>
        </w:tc>
        <w:tc>
          <w:tcPr>
            <w:tcW w:w="3718" w:type="dxa"/>
            <w:gridSpan w:val="2"/>
          </w:tcPr>
          <w:p>
            <w:pPr>
              <w:pStyle w:val="TableParagraph"/>
              <w:ind w:left="609" w:right="586" w:firstLine="283"/>
              <w:rPr>
                <w:sz w:val="28"/>
              </w:rPr>
            </w:pPr>
            <w:r>
              <w:rPr>
                <w:sz w:val="28"/>
              </w:rPr>
              <w:t>парааортальные лимфатические узлы</w:t>
            </w:r>
          </w:p>
        </w:tc>
      </w:tr>
      <w:tr>
        <w:trPr>
          <w:trHeight w:val="578" w:hRule="exact"/>
        </w:trPr>
        <w:tc>
          <w:tcPr>
            <w:tcW w:w="1812" w:type="dxa"/>
            <w:vMerge/>
          </w:tcPr>
          <w:p>
            <w:pPr/>
          </w:p>
        </w:tc>
        <w:tc>
          <w:tcPr>
            <w:tcW w:w="1949" w:type="dxa"/>
          </w:tcPr>
          <w:p>
            <w:pPr>
              <w:pStyle w:val="TableParagraph"/>
              <w:spacing w:before="17"/>
              <w:ind w:left="318" w:right="320"/>
              <w:jc w:val="center"/>
              <w:rPr>
                <w:sz w:val="28"/>
              </w:rPr>
            </w:pPr>
            <w:r>
              <w:rPr>
                <w:sz w:val="28"/>
              </w:rPr>
              <w:t>N0</w:t>
            </w:r>
          </w:p>
        </w:tc>
        <w:tc>
          <w:tcPr>
            <w:tcW w:w="1810" w:type="dxa"/>
          </w:tcPr>
          <w:p>
            <w:pPr>
              <w:pStyle w:val="TableParagraph"/>
              <w:spacing w:before="17"/>
              <w:ind w:left="247" w:right="250"/>
              <w:jc w:val="center"/>
              <w:rPr>
                <w:sz w:val="28"/>
              </w:rPr>
            </w:pPr>
            <w:r>
              <w:rPr>
                <w:sz w:val="28"/>
              </w:rPr>
              <w:t>N1</w:t>
            </w:r>
          </w:p>
        </w:tc>
        <w:tc>
          <w:tcPr>
            <w:tcW w:w="2081" w:type="dxa"/>
          </w:tcPr>
          <w:p>
            <w:pPr>
              <w:pStyle w:val="TableParagraph"/>
              <w:spacing w:before="17"/>
              <w:ind w:left="386" w:right="384"/>
              <w:jc w:val="center"/>
              <w:rPr>
                <w:sz w:val="28"/>
              </w:rPr>
            </w:pPr>
            <w:r>
              <w:rPr>
                <w:sz w:val="28"/>
              </w:rPr>
              <w:t>M0</w:t>
            </w:r>
          </w:p>
        </w:tc>
        <w:tc>
          <w:tcPr>
            <w:tcW w:w="1637" w:type="dxa"/>
          </w:tcPr>
          <w:p>
            <w:pPr>
              <w:pStyle w:val="TableParagraph"/>
              <w:spacing w:before="17"/>
              <w:ind w:left="233" w:right="232"/>
              <w:jc w:val="center"/>
              <w:rPr>
                <w:sz w:val="28"/>
              </w:rPr>
            </w:pPr>
            <w:r>
              <w:rPr>
                <w:sz w:val="28"/>
              </w:rPr>
              <w:t>M1</w:t>
            </w:r>
          </w:p>
        </w:tc>
      </w:tr>
      <w:tr>
        <w:trPr>
          <w:trHeight w:val="1054" w:hRule="exact"/>
        </w:trPr>
        <w:tc>
          <w:tcPr>
            <w:tcW w:w="1812" w:type="dxa"/>
          </w:tcPr>
          <w:p>
            <w:pPr>
              <w:pStyle w:val="TableParagraph"/>
              <w:spacing w:line="388" w:lineRule="auto"/>
              <w:ind w:left="518" w:right="344" w:hanging="154"/>
              <w:rPr>
                <w:sz w:val="28"/>
              </w:rPr>
            </w:pPr>
            <w:r>
              <w:rPr>
                <w:sz w:val="28"/>
              </w:rPr>
              <w:t>до 4,0 см (n=15)</w:t>
            </w:r>
          </w:p>
        </w:tc>
        <w:tc>
          <w:tcPr>
            <w:tcW w:w="1949" w:type="dxa"/>
          </w:tcPr>
          <w:p>
            <w:pPr>
              <w:pStyle w:val="TableParagraph"/>
              <w:spacing w:before="255"/>
              <w:ind w:left="319" w:right="320"/>
              <w:jc w:val="center"/>
              <w:rPr>
                <w:sz w:val="28"/>
              </w:rPr>
            </w:pPr>
            <w:r>
              <w:rPr>
                <w:sz w:val="28"/>
              </w:rPr>
              <w:t>12 (80,0%)</w:t>
            </w:r>
          </w:p>
        </w:tc>
        <w:tc>
          <w:tcPr>
            <w:tcW w:w="1810" w:type="dxa"/>
          </w:tcPr>
          <w:p>
            <w:pPr>
              <w:pStyle w:val="TableParagraph"/>
              <w:spacing w:before="255"/>
              <w:ind w:left="249" w:right="250"/>
              <w:jc w:val="center"/>
              <w:rPr>
                <w:sz w:val="28"/>
              </w:rPr>
            </w:pPr>
            <w:r>
              <w:rPr>
                <w:sz w:val="28"/>
              </w:rPr>
              <w:t>3 (20,0%)</w:t>
            </w:r>
          </w:p>
        </w:tc>
        <w:tc>
          <w:tcPr>
            <w:tcW w:w="2081" w:type="dxa"/>
          </w:tcPr>
          <w:p>
            <w:pPr>
              <w:pStyle w:val="TableParagraph"/>
              <w:spacing w:before="255"/>
              <w:ind w:left="386" w:right="385"/>
              <w:jc w:val="center"/>
              <w:rPr>
                <w:sz w:val="28"/>
              </w:rPr>
            </w:pPr>
            <w:r>
              <w:rPr>
                <w:sz w:val="28"/>
              </w:rPr>
              <w:t>14 (93,3%)</w:t>
            </w:r>
          </w:p>
        </w:tc>
        <w:tc>
          <w:tcPr>
            <w:tcW w:w="1637" w:type="dxa"/>
          </w:tcPr>
          <w:p>
            <w:pPr>
              <w:pStyle w:val="TableParagraph"/>
              <w:spacing w:before="8"/>
              <w:rPr>
                <w:sz w:val="44"/>
              </w:rPr>
            </w:pPr>
          </w:p>
          <w:p>
            <w:pPr>
              <w:pStyle w:val="TableParagraph"/>
              <w:ind w:left="232" w:right="233"/>
              <w:jc w:val="center"/>
              <w:rPr>
                <w:sz w:val="28"/>
              </w:rPr>
            </w:pPr>
            <w:r>
              <w:rPr>
                <w:sz w:val="28"/>
              </w:rPr>
              <w:t>1(6,7%)</w:t>
            </w:r>
          </w:p>
        </w:tc>
      </w:tr>
      <w:tr>
        <w:trPr>
          <w:trHeight w:val="1375" w:hRule="exact"/>
        </w:trPr>
        <w:tc>
          <w:tcPr>
            <w:tcW w:w="1812" w:type="dxa"/>
          </w:tcPr>
          <w:p>
            <w:pPr>
              <w:pStyle w:val="TableParagraph"/>
              <w:ind w:left="518" w:right="412" w:hanging="89"/>
              <w:rPr>
                <w:sz w:val="28"/>
              </w:rPr>
            </w:pPr>
            <w:r>
              <w:rPr>
                <w:sz w:val="28"/>
              </w:rPr>
              <w:t>4,0 см и более</w:t>
            </w:r>
          </w:p>
          <w:p>
            <w:pPr>
              <w:pStyle w:val="TableParagraph"/>
              <w:spacing w:before="208"/>
              <w:ind w:left="518"/>
              <w:rPr>
                <w:sz w:val="28"/>
              </w:rPr>
            </w:pPr>
            <w:r>
              <w:rPr>
                <w:sz w:val="28"/>
              </w:rPr>
              <w:t>(n=42)</w:t>
            </w:r>
          </w:p>
        </w:tc>
        <w:tc>
          <w:tcPr>
            <w:tcW w:w="1949" w:type="dxa"/>
          </w:tcPr>
          <w:p>
            <w:pPr>
              <w:pStyle w:val="TableParagraph"/>
              <w:spacing w:before="1"/>
              <w:rPr>
                <w:sz w:val="36"/>
              </w:rPr>
            </w:pPr>
          </w:p>
          <w:p>
            <w:pPr>
              <w:pStyle w:val="TableParagraph"/>
              <w:ind w:left="319" w:right="320"/>
              <w:jc w:val="center"/>
              <w:rPr>
                <w:sz w:val="28"/>
              </w:rPr>
            </w:pPr>
            <w:r>
              <w:rPr>
                <w:sz w:val="28"/>
              </w:rPr>
              <w:t>26 (61,9%)</w:t>
            </w:r>
          </w:p>
        </w:tc>
        <w:tc>
          <w:tcPr>
            <w:tcW w:w="1810" w:type="dxa"/>
          </w:tcPr>
          <w:p>
            <w:pPr>
              <w:pStyle w:val="TableParagraph"/>
              <w:spacing w:before="1"/>
              <w:rPr>
                <w:sz w:val="36"/>
              </w:rPr>
            </w:pPr>
          </w:p>
          <w:p>
            <w:pPr>
              <w:pStyle w:val="TableParagraph"/>
              <w:ind w:left="249" w:right="250"/>
              <w:jc w:val="center"/>
              <w:rPr>
                <w:sz w:val="28"/>
              </w:rPr>
            </w:pPr>
            <w:r>
              <w:rPr>
                <w:sz w:val="28"/>
              </w:rPr>
              <w:t>16 (38,1%)</w:t>
            </w:r>
          </w:p>
        </w:tc>
        <w:tc>
          <w:tcPr>
            <w:tcW w:w="2081" w:type="dxa"/>
          </w:tcPr>
          <w:p>
            <w:pPr>
              <w:pStyle w:val="TableParagraph"/>
              <w:spacing w:before="1"/>
              <w:rPr>
                <w:sz w:val="36"/>
              </w:rPr>
            </w:pPr>
          </w:p>
          <w:p>
            <w:pPr>
              <w:pStyle w:val="TableParagraph"/>
              <w:ind w:left="386" w:right="385"/>
              <w:jc w:val="center"/>
              <w:rPr>
                <w:sz w:val="28"/>
              </w:rPr>
            </w:pPr>
            <w:r>
              <w:rPr>
                <w:sz w:val="28"/>
              </w:rPr>
              <w:t>37 (88,1%)</w:t>
            </w:r>
          </w:p>
        </w:tc>
        <w:tc>
          <w:tcPr>
            <w:tcW w:w="1637" w:type="dxa"/>
          </w:tcPr>
          <w:p>
            <w:pPr>
              <w:pStyle w:val="TableParagraph"/>
              <w:spacing w:before="1"/>
              <w:rPr>
                <w:sz w:val="36"/>
              </w:rPr>
            </w:pPr>
          </w:p>
          <w:p>
            <w:pPr>
              <w:pStyle w:val="TableParagraph"/>
              <w:ind w:left="233" w:right="233"/>
              <w:jc w:val="center"/>
              <w:rPr>
                <w:sz w:val="28"/>
              </w:rPr>
            </w:pPr>
            <w:r>
              <w:rPr>
                <w:sz w:val="28"/>
              </w:rPr>
              <w:t>5 (11,9%)</w:t>
            </w:r>
          </w:p>
        </w:tc>
      </w:tr>
      <w:tr>
        <w:trPr>
          <w:trHeight w:val="1054" w:hRule="exact"/>
        </w:trPr>
        <w:tc>
          <w:tcPr>
            <w:tcW w:w="1812" w:type="dxa"/>
          </w:tcPr>
          <w:p>
            <w:pPr>
              <w:pStyle w:val="TableParagraph"/>
              <w:spacing w:line="388" w:lineRule="auto"/>
              <w:ind w:left="518" w:right="499" w:firstLine="36"/>
              <w:rPr>
                <w:sz w:val="28"/>
              </w:rPr>
            </w:pPr>
            <w:r>
              <w:rPr>
                <w:sz w:val="28"/>
              </w:rPr>
              <w:t>Всего (n=57)</w:t>
            </w:r>
          </w:p>
        </w:tc>
        <w:tc>
          <w:tcPr>
            <w:tcW w:w="1949" w:type="dxa"/>
          </w:tcPr>
          <w:p>
            <w:pPr>
              <w:pStyle w:val="TableParagraph"/>
              <w:spacing w:before="254"/>
              <w:ind w:left="319" w:right="320"/>
              <w:jc w:val="center"/>
              <w:rPr>
                <w:sz w:val="28"/>
              </w:rPr>
            </w:pPr>
            <w:r>
              <w:rPr>
                <w:sz w:val="28"/>
              </w:rPr>
              <w:t>38 (66,7%)</w:t>
            </w:r>
          </w:p>
        </w:tc>
        <w:tc>
          <w:tcPr>
            <w:tcW w:w="1810" w:type="dxa"/>
          </w:tcPr>
          <w:p>
            <w:pPr>
              <w:pStyle w:val="TableParagraph"/>
              <w:spacing w:before="254"/>
              <w:ind w:left="249" w:right="249"/>
              <w:jc w:val="center"/>
              <w:rPr>
                <w:sz w:val="28"/>
              </w:rPr>
            </w:pPr>
            <w:r>
              <w:rPr>
                <w:sz w:val="28"/>
              </w:rPr>
              <w:t>19 (33,3%)</w:t>
            </w:r>
          </w:p>
        </w:tc>
        <w:tc>
          <w:tcPr>
            <w:tcW w:w="2081" w:type="dxa"/>
          </w:tcPr>
          <w:p>
            <w:pPr>
              <w:pStyle w:val="TableParagraph"/>
              <w:spacing w:before="254"/>
              <w:ind w:left="386" w:right="385"/>
              <w:jc w:val="center"/>
              <w:rPr>
                <w:sz w:val="28"/>
              </w:rPr>
            </w:pPr>
            <w:r>
              <w:rPr>
                <w:sz w:val="28"/>
              </w:rPr>
              <w:t>51 (89,5%)</w:t>
            </w:r>
          </w:p>
        </w:tc>
        <w:tc>
          <w:tcPr>
            <w:tcW w:w="1637" w:type="dxa"/>
          </w:tcPr>
          <w:p>
            <w:pPr>
              <w:pStyle w:val="TableParagraph"/>
              <w:spacing w:before="254"/>
              <w:ind w:left="233" w:right="233"/>
              <w:jc w:val="center"/>
              <w:rPr>
                <w:sz w:val="28"/>
              </w:rPr>
            </w:pPr>
            <w:r>
              <w:rPr>
                <w:sz w:val="28"/>
              </w:rPr>
              <w:t>6 (10,5%)</w:t>
            </w:r>
          </w:p>
        </w:tc>
      </w:tr>
      <w:tr>
        <w:trPr>
          <w:trHeight w:val="578" w:hRule="exact"/>
        </w:trPr>
        <w:tc>
          <w:tcPr>
            <w:tcW w:w="1812" w:type="dxa"/>
          </w:tcPr>
          <w:p>
            <w:pPr>
              <w:pStyle w:val="TableParagraph"/>
              <w:spacing w:before="17"/>
              <w:ind w:left="3"/>
              <w:jc w:val="center"/>
              <w:rPr>
                <w:sz w:val="28"/>
              </w:rPr>
            </w:pPr>
            <w:r>
              <w:rPr>
                <w:w w:val="100"/>
                <w:sz w:val="28"/>
              </w:rPr>
              <w:t>р</w:t>
            </w:r>
          </w:p>
        </w:tc>
        <w:tc>
          <w:tcPr>
            <w:tcW w:w="1949" w:type="dxa"/>
          </w:tcPr>
          <w:p>
            <w:pPr/>
          </w:p>
        </w:tc>
        <w:tc>
          <w:tcPr>
            <w:tcW w:w="1810" w:type="dxa"/>
          </w:tcPr>
          <w:p>
            <w:pPr>
              <w:pStyle w:val="TableParagraph"/>
              <w:spacing w:before="17"/>
              <w:ind w:left="248" w:right="250"/>
              <w:jc w:val="center"/>
              <w:rPr>
                <w:sz w:val="28"/>
              </w:rPr>
            </w:pPr>
            <w:r>
              <w:rPr>
                <w:sz w:val="28"/>
              </w:rPr>
              <w:t>&lt;0,05</w:t>
            </w:r>
          </w:p>
        </w:tc>
        <w:tc>
          <w:tcPr>
            <w:tcW w:w="2081" w:type="dxa"/>
          </w:tcPr>
          <w:p>
            <w:pPr/>
          </w:p>
        </w:tc>
        <w:tc>
          <w:tcPr>
            <w:tcW w:w="1637" w:type="dxa"/>
          </w:tcPr>
          <w:p>
            <w:pPr>
              <w:pStyle w:val="TableParagraph"/>
              <w:spacing w:before="17"/>
              <w:ind w:left="233" w:right="233"/>
              <w:jc w:val="center"/>
              <w:rPr>
                <w:sz w:val="28"/>
              </w:rPr>
            </w:pPr>
            <w:r>
              <w:rPr>
                <w:sz w:val="28"/>
              </w:rPr>
              <w:t>&lt;0,05</w:t>
            </w:r>
          </w:p>
        </w:tc>
      </w:tr>
    </w:tbl>
    <w:p>
      <w:pPr>
        <w:spacing w:after="0"/>
        <w:jc w:val="center"/>
        <w:rPr>
          <w:sz w:val="28"/>
        </w:rPr>
        <w:sectPr>
          <w:pgSz w:w="11900" w:h="16850"/>
          <w:pgMar w:header="712" w:footer="0" w:top="1020" w:bottom="280" w:left="1480" w:right="900"/>
        </w:sectPr>
      </w:pPr>
    </w:p>
    <w:p>
      <w:pPr>
        <w:pStyle w:val="BodyText"/>
        <w:rPr>
          <w:sz w:val="20"/>
        </w:rPr>
      </w:pPr>
    </w:p>
    <w:p>
      <w:pPr>
        <w:pStyle w:val="BodyText"/>
        <w:rPr>
          <w:sz w:val="20"/>
        </w:rPr>
      </w:pPr>
    </w:p>
    <w:p>
      <w:pPr>
        <w:pStyle w:val="BodyText"/>
        <w:spacing w:line="360" w:lineRule="auto" w:before="224"/>
        <w:ind w:left="122" w:right="143" w:firstLine="278"/>
        <w:jc w:val="both"/>
      </w:pPr>
      <w:r>
        <w:rPr/>
        <w:t>При размере опухоли боле 4 см и глубине инвазии более 1 см частота метастазирования опухоли шейки матки в регионарные лимфатические узлы закономерно</w:t>
      </w:r>
      <w:r>
        <w:rPr>
          <w:spacing w:val="63"/>
        </w:rPr>
        <w:t> </w:t>
      </w:r>
      <w:r>
        <w:rPr/>
        <w:t>возрастает.</w:t>
      </w:r>
    </w:p>
    <w:p>
      <w:pPr>
        <w:pStyle w:val="BodyText"/>
        <w:spacing w:line="360" w:lineRule="auto" w:before="207"/>
        <w:ind w:left="122" w:right="141" w:firstLine="208"/>
        <w:jc w:val="both"/>
      </w:pPr>
      <w:r>
        <w:rPr/>
        <w:t>Частота обнаружения метастазов как в подвздошных, так и в поясничных лимфатических узлов повышалась при распространении опухоли на своды влагалища или параметральную клетчатку. В следующей таблице сопоставлена частота выявления метастазов в тазовых и парааортальных лимфатических узлах в зависимости от степени местного распространения опухоли (Табл.4.7).</w:t>
      </w:r>
    </w:p>
    <w:p>
      <w:pPr>
        <w:pStyle w:val="BodyText"/>
        <w:spacing w:line="520" w:lineRule="atLeast" w:before="6"/>
        <w:ind w:left="126" w:right="127" w:firstLine="7645"/>
      </w:pPr>
      <w:r>
        <w:rPr/>
        <w:t>Таблица 4.7 Зависимость частоты лимфогенного метастазирования от степени местного</w:t>
      </w:r>
    </w:p>
    <w:p>
      <w:pPr>
        <w:pStyle w:val="BodyText"/>
        <w:spacing w:line="322" w:lineRule="exact"/>
        <w:ind w:left="3105"/>
      </w:pPr>
      <w:r>
        <w:rPr/>
        <w:t>распространения опухоли</w:t>
      </w:r>
    </w:p>
    <w:p>
      <w:pPr>
        <w:pStyle w:val="BodyText"/>
        <w:spacing w:before="1"/>
        <w:rPr>
          <w:sz w:val="1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1"/>
        <w:gridCol w:w="780"/>
        <w:gridCol w:w="1304"/>
        <w:gridCol w:w="782"/>
        <w:gridCol w:w="1169"/>
        <w:gridCol w:w="780"/>
        <w:gridCol w:w="1169"/>
        <w:gridCol w:w="785"/>
        <w:gridCol w:w="1032"/>
      </w:tblGrid>
      <w:tr>
        <w:trPr>
          <w:trHeight w:val="576" w:hRule="exact"/>
        </w:trPr>
        <w:tc>
          <w:tcPr>
            <w:tcW w:w="1291" w:type="dxa"/>
            <w:vMerge w:val="restart"/>
          </w:tcPr>
          <w:p>
            <w:pPr>
              <w:pStyle w:val="TableParagraph"/>
              <w:spacing w:line="388" w:lineRule="auto" w:before="43"/>
              <w:ind w:left="259" w:right="238" w:firstLine="297"/>
              <w:rPr>
                <w:sz w:val="28"/>
              </w:rPr>
            </w:pPr>
            <w:r>
              <w:rPr>
                <w:sz w:val="28"/>
              </w:rPr>
              <w:t>T (n=57)</w:t>
            </w:r>
          </w:p>
        </w:tc>
        <w:tc>
          <w:tcPr>
            <w:tcW w:w="2084" w:type="dxa"/>
            <w:gridSpan w:val="2"/>
          </w:tcPr>
          <w:p>
            <w:pPr>
              <w:pStyle w:val="TableParagraph"/>
              <w:spacing w:before="14"/>
              <w:ind w:left="805" w:right="807"/>
              <w:jc w:val="center"/>
              <w:rPr>
                <w:sz w:val="28"/>
              </w:rPr>
            </w:pPr>
            <w:r>
              <w:rPr>
                <w:sz w:val="28"/>
              </w:rPr>
              <w:t>N0</w:t>
            </w:r>
          </w:p>
        </w:tc>
        <w:tc>
          <w:tcPr>
            <w:tcW w:w="1952" w:type="dxa"/>
            <w:gridSpan w:val="2"/>
          </w:tcPr>
          <w:p>
            <w:pPr>
              <w:pStyle w:val="TableParagraph"/>
              <w:spacing w:before="14"/>
              <w:ind w:left="740" w:right="740"/>
              <w:jc w:val="center"/>
              <w:rPr>
                <w:sz w:val="28"/>
              </w:rPr>
            </w:pPr>
            <w:r>
              <w:rPr>
                <w:sz w:val="28"/>
              </w:rPr>
              <w:t>N1</w:t>
            </w:r>
          </w:p>
        </w:tc>
        <w:tc>
          <w:tcPr>
            <w:tcW w:w="1949" w:type="dxa"/>
            <w:gridSpan w:val="2"/>
          </w:tcPr>
          <w:p>
            <w:pPr>
              <w:pStyle w:val="TableParagraph"/>
              <w:spacing w:before="14"/>
              <w:ind w:left="318" w:right="320"/>
              <w:jc w:val="center"/>
              <w:rPr>
                <w:sz w:val="28"/>
              </w:rPr>
            </w:pPr>
            <w:r>
              <w:rPr>
                <w:sz w:val="28"/>
              </w:rPr>
              <w:t>M0</w:t>
            </w:r>
          </w:p>
        </w:tc>
        <w:tc>
          <w:tcPr>
            <w:tcW w:w="1817" w:type="dxa"/>
            <w:gridSpan w:val="2"/>
          </w:tcPr>
          <w:p>
            <w:pPr>
              <w:pStyle w:val="TableParagraph"/>
              <w:spacing w:before="14"/>
              <w:ind w:left="690" w:right="687"/>
              <w:jc w:val="center"/>
              <w:rPr>
                <w:sz w:val="28"/>
              </w:rPr>
            </w:pPr>
            <w:r>
              <w:rPr>
                <w:sz w:val="28"/>
              </w:rPr>
              <w:t>M1</w:t>
            </w:r>
          </w:p>
        </w:tc>
      </w:tr>
      <w:tr>
        <w:trPr>
          <w:trHeight w:val="576" w:hRule="exact"/>
        </w:trPr>
        <w:tc>
          <w:tcPr>
            <w:tcW w:w="1291" w:type="dxa"/>
            <w:vMerge/>
          </w:tcPr>
          <w:p>
            <w:pPr/>
          </w:p>
        </w:tc>
        <w:tc>
          <w:tcPr>
            <w:tcW w:w="780" w:type="dxa"/>
          </w:tcPr>
          <w:p>
            <w:pPr>
              <w:pStyle w:val="TableParagraph"/>
              <w:spacing w:before="17"/>
              <w:ind w:left="314"/>
              <w:rPr>
                <w:i/>
                <w:sz w:val="28"/>
              </w:rPr>
            </w:pPr>
            <w:r>
              <w:rPr>
                <w:i/>
                <w:w w:val="100"/>
                <w:sz w:val="28"/>
              </w:rPr>
              <w:t>n</w:t>
            </w:r>
          </w:p>
        </w:tc>
        <w:tc>
          <w:tcPr>
            <w:tcW w:w="1304" w:type="dxa"/>
          </w:tcPr>
          <w:p>
            <w:pPr>
              <w:pStyle w:val="TableParagraph"/>
              <w:spacing w:before="17"/>
              <w:ind w:right="1"/>
              <w:jc w:val="center"/>
              <w:rPr>
                <w:i/>
                <w:sz w:val="28"/>
              </w:rPr>
            </w:pPr>
            <w:r>
              <w:rPr>
                <w:i/>
                <w:w w:val="100"/>
                <w:sz w:val="28"/>
              </w:rPr>
              <w:t>%</w:t>
            </w:r>
          </w:p>
        </w:tc>
        <w:tc>
          <w:tcPr>
            <w:tcW w:w="782" w:type="dxa"/>
          </w:tcPr>
          <w:p>
            <w:pPr>
              <w:pStyle w:val="TableParagraph"/>
              <w:spacing w:before="17"/>
              <w:ind w:left="316"/>
              <w:rPr>
                <w:i/>
                <w:sz w:val="28"/>
              </w:rPr>
            </w:pPr>
            <w:r>
              <w:rPr>
                <w:i/>
                <w:w w:val="100"/>
                <w:sz w:val="28"/>
              </w:rPr>
              <w:t>n</w:t>
            </w:r>
          </w:p>
        </w:tc>
        <w:tc>
          <w:tcPr>
            <w:tcW w:w="1169" w:type="dxa"/>
          </w:tcPr>
          <w:p>
            <w:pPr>
              <w:pStyle w:val="TableParagraph"/>
              <w:spacing w:before="17"/>
              <w:ind w:right="2"/>
              <w:jc w:val="center"/>
              <w:rPr>
                <w:i/>
                <w:sz w:val="28"/>
              </w:rPr>
            </w:pPr>
            <w:r>
              <w:rPr>
                <w:i/>
                <w:w w:val="100"/>
                <w:sz w:val="28"/>
              </w:rPr>
              <w:t>%</w:t>
            </w:r>
          </w:p>
        </w:tc>
        <w:tc>
          <w:tcPr>
            <w:tcW w:w="780" w:type="dxa"/>
          </w:tcPr>
          <w:p>
            <w:pPr>
              <w:pStyle w:val="TableParagraph"/>
              <w:spacing w:before="17"/>
              <w:ind w:right="317"/>
              <w:jc w:val="right"/>
              <w:rPr>
                <w:i/>
                <w:sz w:val="28"/>
              </w:rPr>
            </w:pPr>
            <w:r>
              <w:rPr>
                <w:i/>
                <w:w w:val="100"/>
                <w:sz w:val="28"/>
              </w:rPr>
              <w:t>n</w:t>
            </w:r>
          </w:p>
        </w:tc>
        <w:tc>
          <w:tcPr>
            <w:tcW w:w="1169" w:type="dxa"/>
          </w:tcPr>
          <w:p>
            <w:pPr>
              <w:pStyle w:val="TableParagraph"/>
              <w:spacing w:before="17"/>
              <w:ind w:right="2"/>
              <w:jc w:val="center"/>
              <w:rPr>
                <w:i/>
                <w:sz w:val="28"/>
              </w:rPr>
            </w:pPr>
            <w:r>
              <w:rPr>
                <w:i/>
                <w:w w:val="100"/>
                <w:sz w:val="28"/>
              </w:rPr>
              <w:t>%</w:t>
            </w:r>
          </w:p>
        </w:tc>
        <w:tc>
          <w:tcPr>
            <w:tcW w:w="785" w:type="dxa"/>
          </w:tcPr>
          <w:p>
            <w:pPr>
              <w:pStyle w:val="TableParagraph"/>
              <w:spacing w:before="17"/>
              <w:ind w:right="1"/>
              <w:jc w:val="center"/>
              <w:rPr>
                <w:i/>
                <w:sz w:val="28"/>
              </w:rPr>
            </w:pPr>
            <w:r>
              <w:rPr>
                <w:i/>
                <w:w w:val="100"/>
                <w:sz w:val="28"/>
              </w:rPr>
              <w:t>n</w:t>
            </w:r>
          </w:p>
        </w:tc>
        <w:tc>
          <w:tcPr>
            <w:tcW w:w="1032" w:type="dxa"/>
          </w:tcPr>
          <w:p>
            <w:pPr>
              <w:pStyle w:val="TableParagraph"/>
              <w:spacing w:before="17"/>
              <w:ind w:right="1"/>
              <w:jc w:val="center"/>
              <w:rPr>
                <w:i/>
                <w:sz w:val="28"/>
              </w:rPr>
            </w:pPr>
            <w:r>
              <w:rPr>
                <w:i/>
                <w:w w:val="100"/>
                <w:sz w:val="28"/>
              </w:rPr>
              <w:t>%</w:t>
            </w:r>
          </w:p>
        </w:tc>
      </w:tr>
      <w:tr>
        <w:trPr>
          <w:trHeight w:val="1056" w:hRule="exact"/>
        </w:trPr>
        <w:tc>
          <w:tcPr>
            <w:tcW w:w="1291" w:type="dxa"/>
          </w:tcPr>
          <w:p>
            <w:pPr>
              <w:pStyle w:val="TableParagraph"/>
              <w:spacing w:line="388" w:lineRule="auto"/>
              <w:ind w:left="328" w:right="309" w:firstLine="16"/>
              <w:rPr>
                <w:sz w:val="28"/>
              </w:rPr>
            </w:pPr>
            <w:r>
              <w:rPr>
                <w:sz w:val="28"/>
              </w:rPr>
              <w:t>T1b2 (n=5)</w:t>
            </w:r>
          </w:p>
        </w:tc>
        <w:tc>
          <w:tcPr>
            <w:tcW w:w="780" w:type="dxa"/>
          </w:tcPr>
          <w:p>
            <w:pPr>
              <w:pStyle w:val="TableParagraph"/>
              <w:spacing w:before="254"/>
              <w:ind w:left="314"/>
              <w:rPr>
                <w:sz w:val="28"/>
              </w:rPr>
            </w:pPr>
            <w:r>
              <w:rPr>
                <w:w w:val="100"/>
                <w:sz w:val="28"/>
              </w:rPr>
              <w:t>5</w:t>
            </w:r>
          </w:p>
        </w:tc>
        <w:tc>
          <w:tcPr>
            <w:tcW w:w="1304" w:type="dxa"/>
          </w:tcPr>
          <w:p>
            <w:pPr>
              <w:pStyle w:val="TableParagraph"/>
              <w:spacing w:before="254"/>
              <w:ind w:left="380" w:right="381"/>
              <w:jc w:val="center"/>
              <w:rPr>
                <w:sz w:val="28"/>
              </w:rPr>
            </w:pPr>
            <w:r>
              <w:rPr>
                <w:sz w:val="28"/>
              </w:rPr>
              <w:t>100</w:t>
            </w:r>
          </w:p>
        </w:tc>
        <w:tc>
          <w:tcPr>
            <w:tcW w:w="782" w:type="dxa"/>
          </w:tcPr>
          <w:p>
            <w:pPr>
              <w:pStyle w:val="TableParagraph"/>
              <w:spacing w:before="254"/>
              <w:ind w:left="338"/>
              <w:rPr>
                <w:sz w:val="28"/>
              </w:rPr>
            </w:pPr>
            <w:r>
              <w:rPr>
                <w:w w:val="100"/>
                <w:sz w:val="28"/>
              </w:rPr>
              <w:t>-</w:t>
            </w:r>
          </w:p>
        </w:tc>
        <w:tc>
          <w:tcPr>
            <w:tcW w:w="1169" w:type="dxa"/>
          </w:tcPr>
          <w:p>
            <w:pPr>
              <w:pStyle w:val="TableParagraph"/>
              <w:spacing w:before="254"/>
              <w:ind w:right="3"/>
              <w:jc w:val="center"/>
              <w:rPr>
                <w:sz w:val="28"/>
              </w:rPr>
            </w:pPr>
            <w:r>
              <w:rPr>
                <w:w w:val="100"/>
                <w:sz w:val="28"/>
              </w:rPr>
              <w:t>-</w:t>
            </w:r>
          </w:p>
        </w:tc>
        <w:tc>
          <w:tcPr>
            <w:tcW w:w="780" w:type="dxa"/>
          </w:tcPr>
          <w:p>
            <w:pPr>
              <w:pStyle w:val="TableParagraph"/>
              <w:spacing w:before="254"/>
              <w:ind w:right="317"/>
              <w:jc w:val="right"/>
              <w:rPr>
                <w:sz w:val="28"/>
              </w:rPr>
            </w:pPr>
            <w:r>
              <w:rPr>
                <w:w w:val="100"/>
                <w:sz w:val="28"/>
              </w:rPr>
              <w:t>5</w:t>
            </w:r>
          </w:p>
        </w:tc>
        <w:tc>
          <w:tcPr>
            <w:tcW w:w="1169" w:type="dxa"/>
          </w:tcPr>
          <w:p>
            <w:pPr>
              <w:pStyle w:val="TableParagraph"/>
              <w:spacing w:before="254"/>
              <w:ind w:left="312" w:right="314"/>
              <w:jc w:val="center"/>
              <w:rPr>
                <w:sz w:val="28"/>
              </w:rPr>
            </w:pPr>
            <w:r>
              <w:rPr>
                <w:sz w:val="28"/>
              </w:rPr>
              <w:t>100</w:t>
            </w:r>
          </w:p>
        </w:tc>
        <w:tc>
          <w:tcPr>
            <w:tcW w:w="785" w:type="dxa"/>
          </w:tcPr>
          <w:p>
            <w:pPr>
              <w:pStyle w:val="TableParagraph"/>
              <w:spacing w:before="254"/>
              <w:jc w:val="center"/>
              <w:rPr>
                <w:sz w:val="28"/>
              </w:rPr>
            </w:pPr>
            <w:r>
              <w:rPr>
                <w:w w:val="100"/>
                <w:sz w:val="28"/>
              </w:rPr>
              <w:t>-</w:t>
            </w:r>
          </w:p>
        </w:tc>
        <w:tc>
          <w:tcPr>
            <w:tcW w:w="1032" w:type="dxa"/>
          </w:tcPr>
          <w:p>
            <w:pPr>
              <w:pStyle w:val="TableParagraph"/>
              <w:spacing w:before="254"/>
              <w:jc w:val="center"/>
              <w:rPr>
                <w:sz w:val="28"/>
              </w:rPr>
            </w:pPr>
            <w:r>
              <w:rPr>
                <w:w w:val="100"/>
                <w:sz w:val="28"/>
              </w:rPr>
              <w:t>-</w:t>
            </w:r>
          </w:p>
        </w:tc>
      </w:tr>
      <w:tr>
        <w:trPr>
          <w:trHeight w:val="1054" w:hRule="exact"/>
        </w:trPr>
        <w:tc>
          <w:tcPr>
            <w:tcW w:w="1291" w:type="dxa"/>
          </w:tcPr>
          <w:p>
            <w:pPr>
              <w:pStyle w:val="TableParagraph"/>
              <w:spacing w:line="388" w:lineRule="auto"/>
              <w:ind w:left="364" w:right="273" w:firstLine="57"/>
              <w:rPr>
                <w:sz w:val="28"/>
              </w:rPr>
            </w:pPr>
            <w:r>
              <w:rPr>
                <w:sz w:val="28"/>
              </w:rPr>
              <w:t>T2a (n=7)</w:t>
            </w:r>
          </w:p>
        </w:tc>
        <w:tc>
          <w:tcPr>
            <w:tcW w:w="780" w:type="dxa"/>
          </w:tcPr>
          <w:p>
            <w:pPr>
              <w:pStyle w:val="TableParagraph"/>
              <w:spacing w:before="254"/>
              <w:ind w:left="314"/>
              <w:rPr>
                <w:sz w:val="28"/>
              </w:rPr>
            </w:pPr>
            <w:r>
              <w:rPr>
                <w:w w:val="100"/>
                <w:sz w:val="28"/>
              </w:rPr>
              <w:t>6</w:t>
            </w:r>
          </w:p>
        </w:tc>
        <w:tc>
          <w:tcPr>
            <w:tcW w:w="1304" w:type="dxa"/>
          </w:tcPr>
          <w:p>
            <w:pPr>
              <w:pStyle w:val="TableParagraph"/>
              <w:spacing w:before="254"/>
              <w:ind w:left="380" w:right="381"/>
              <w:jc w:val="center"/>
              <w:rPr>
                <w:sz w:val="28"/>
              </w:rPr>
            </w:pPr>
            <w:r>
              <w:rPr>
                <w:sz w:val="28"/>
              </w:rPr>
              <w:t>85,7</w:t>
            </w:r>
          </w:p>
        </w:tc>
        <w:tc>
          <w:tcPr>
            <w:tcW w:w="782" w:type="dxa"/>
          </w:tcPr>
          <w:p>
            <w:pPr>
              <w:pStyle w:val="TableParagraph"/>
              <w:spacing w:before="254"/>
              <w:ind w:left="316"/>
              <w:rPr>
                <w:sz w:val="28"/>
              </w:rPr>
            </w:pPr>
            <w:r>
              <w:rPr>
                <w:w w:val="100"/>
                <w:sz w:val="28"/>
              </w:rPr>
              <w:t>1</w:t>
            </w:r>
          </w:p>
        </w:tc>
        <w:tc>
          <w:tcPr>
            <w:tcW w:w="1169" w:type="dxa"/>
          </w:tcPr>
          <w:p>
            <w:pPr>
              <w:pStyle w:val="TableParagraph"/>
              <w:spacing w:before="254"/>
              <w:ind w:left="312" w:right="317"/>
              <w:jc w:val="center"/>
              <w:rPr>
                <w:sz w:val="28"/>
              </w:rPr>
            </w:pPr>
            <w:r>
              <w:rPr>
                <w:sz w:val="28"/>
              </w:rPr>
              <w:t>14,3</w:t>
            </w:r>
          </w:p>
        </w:tc>
        <w:tc>
          <w:tcPr>
            <w:tcW w:w="780" w:type="dxa"/>
          </w:tcPr>
          <w:p>
            <w:pPr>
              <w:pStyle w:val="TableParagraph"/>
              <w:spacing w:before="254"/>
              <w:ind w:right="317"/>
              <w:jc w:val="right"/>
              <w:rPr>
                <w:sz w:val="28"/>
              </w:rPr>
            </w:pPr>
            <w:r>
              <w:rPr>
                <w:w w:val="100"/>
                <w:sz w:val="28"/>
              </w:rPr>
              <w:t>6</w:t>
            </w:r>
          </w:p>
        </w:tc>
        <w:tc>
          <w:tcPr>
            <w:tcW w:w="1169" w:type="dxa"/>
          </w:tcPr>
          <w:p>
            <w:pPr>
              <w:pStyle w:val="TableParagraph"/>
              <w:spacing w:before="254"/>
              <w:ind w:left="312" w:right="317"/>
              <w:jc w:val="center"/>
              <w:rPr>
                <w:sz w:val="28"/>
              </w:rPr>
            </w:pPr>
            <w:r>
              <w:rPr>
                <w:sz w:val="28"/>
              </w:rPr>
              <w:t>85,7</w:t>
            </w:r>
          </w:p>
        </w:tc>
        <w:tc>
          <w:tcPr>
            <w:tcW w:w="785" w:type="dxa"/>
          </w:tcPr>
          <w:p>
            <w:pPr>
              <w:pStyle w:val="TableParagraph"/>
              <w:spacing w:before="254"/>
              <w:ind w:right="1"/>
              <w:jc w:val="center"/>
              <w:rPr>
                <w:sz w:val="28"/>
              </w:rPr>
            </w:pPr>
            <w:r>
              <w:rPr>
                <w:w w:val="100"/>
                <w:sz w:val="28"/>
              </w:rPr>
              <w:t>1</w:t>
            </w:r>
          </w:p>
        </w:tc>
        <w:tc>
          <w:tcPr>
            <w:tcW w:w="1032" w:type="dxa"/>
          </w:tcPr>
          <w:p>
            <w:pPr>
              <w:pStyle w:val="TableParagraph"/>
              <w:spacing w:before="254"/>
              <w:ind w:right="266"/>
              <w:jc w:val="right"/>
              <w:rPr>
                <w:sz w:val="28"/>
              </w:rPr>
            </w:pPr>
            <w:r>
              <w:rPr>
                <w:sz w:val="28"/>
              </w:rPr>
              <w:t>14,3</w:t>
            </w:r>
          </w:p>
        </w:tc>
      </w:tr>
      <w:tr>
        <w:trPr>
          <w:trHeight w:val="855" w:hRule="exact"/>
        </w:trPr>
        <w:tc>
          <w:tcPr>
            <w:tcW w:w="1291" w:type="dxa"/>
          </w:tcPr>
          <w:p>
            <w:pPr>
              <w:pStyle w:val="TableParagraph"/>
              <w:ind w:left="259" w:right="238" w:firstLine="155"/>
              <w:rPr>
                <w:sz w:val="28"/>
              </w:rPr>
            </w:pPr>
            <w:r>
              <w:rPr>
                <w:sz w:val="28"/>
              </w:rPr>
              <w:t>T2b (n=35)</w:t>
            </w:r>
          </w:p>
        </w:tc>
        <w:tc>
          <w:tcPr>
            <w:tcW w:w="780" w:type="dxa"/>
          </w:tcPr>
          <w:p>
            <w:pPr>
              <w:pStyle w:val="TableParagraph"/>
              <w:spacing w:before="153"/>
              <w:ind w:left="244"/>
              <w:rPr>
                <w:sz w:val="28"/>
              </w:rPr>
            </w:pPr>
            <w:r>
              <w:rPr>
                <w:sz w:val="28"/>
              </w:rPr>
              <w:t>23</w:t>
            </w:r>
          </w:p>
        </w:tc>
        <w:tc>
          <w:tcPr>
            <w:tcW w:w="1304" w:type="dxa"/>
          </w:tcPr>
          <w:p>
            <w:pPr>
              <w:pStyle w:val="TableParagraph"/>
              <w:spacing w:before="153"/>
              <w:ind w:left="378" w:right="382"/>
              <w:jc w:val="center"/>
              <w:rPr>
                <w:sz w:val="28"/>
              </w:rPr>
            </w:pPr>
            <w:r>
              <w:rPr>
                <w:sz w:val="28"/>
              </w:rPr>
              <w:t>65,7</w:t>
            </w:r>
          </w:p>
        </w:tc>
        <w:tc>
          <w:tcPr>
            <w:tcW w:w="782" w:type="dxa"/>
          </w:tcPr>
          <w:p>
            <w:pPr>
              <w:pStyle w:val="TableParagraph"/>
              <w:spacing w:before="153"/>
              <w:ind w:left="244"/>
              <w:rPr>
                <w:sz w:val="28"/>
              </w:rPr>
            </w:pPr>
            <w:r>
              <w:rPr>
                <w:sz w:val="28"/>
              </w:rPr>
              <w:t>12</w:t>
            </w:r>
          </w:p>
        </w:tc>
        <w:tc>
          <w:tcPr>
            <w:tcW w:w="1169" w:type="dxa"/>
          </w:tcPr>
          <w:p>
            <w:pPr>
              <w:pStyle w:val="TableParagraph"/>
              <w:spacing w:before="153"/>
              <w:ind w:left="312" w:right="317"/>
              <w:jc w:val="center"/>
              <w:rPr>
                <w:sz w:val="28"/>
              </w:rPr>
            </w:pPr>
            <w:r>
              <w:rPr>
                <w:sz w:val="28"/>
              </w:rPr>
              <w:t>34,3</w:t>
            </w:r>
          </w:p>
        </w:tc>
        <w:tc>
          <w:tcPr>
            <w:tcW w:w="780" w:type="dxa"/>
          </w:tcPr>
          <w:p>
            <w:pPr>
              <w:pStyle w:val="TableParagraph"/>
              <w:spacing w:before="153"/>
              <w:ind w:right="242"/>
              <w:jc w:val="right"/>
              <w:rPr>
                <w:sz w:val="28"/>
              </w:rPr>
            </w:pPr>
            <w:r>
              <w:rPr>
                <w:sz w:val="28"/>
              </w:rPr>
              <w:t>32</w:t>
            </w:r>
          </w:p>
        </w:tc>
        <w:tc>
          <w:tcPr>
            <w:tcW w:w="1169" w:type="dxa"/>
          </w:tcPr>
          <w:p>
            <w:pPr>
              <w:pStyle w:val="TableParagraph"/>
              <w:spacing w:before="153"/>
              <w:ind w:left="312" w:right="317"/>
              <w:jc w:val="center"/>
              <w:rPr>
                <w:sz w:val="28"/>
              </w:rPr>
            </w:pPr>
            <w:r>
              <w:rPr>
                <w:sz w:val="28"/>
              </w:rPr>
              <w:t>91,4</w:t>
            </w:r>
          </w:p>
        </w:tc>
        <w:tc>
          <w:tcPr>
            <w:tcW w:w="785" w:type="dxa"/>
          </w:tcPr>
          <w:p>
            <w:pPr>
              <w:pStyle w:val="TableParagraph"/>
              <w:spacing w:before="153"/>
              <w:ind w:right="1"/>
              <w:jc w:val="center"/>
              <w:rPr>
                <w:sz w:val="28"/>
              </w:rPr>
            </w:pPr>
            <w:r>
              <w:rPr>
                <w:w w:val="100"/>
                <w:sz w:val="28"/>
              </w:rPr>
              <w:t>3</w:t>
            </w:r>
          </w:p>
        </w:tc>
        <w:tc>
          <w:tcPr>
            <w:tcW w:w="1032" w:type="dxa"/>
          </w:tcPr>
          <w:p>
            <w:pPr>
              <w:pStyle w:val="TableParagraph"/>
              <w:spacing w:before="153"/>
              <w:ind w:right="334"/>
              <w:jc w:val="right"/>
              <w:rPr>
                <w:sz w:val="28"/>
              </w:rPr>
            </w:pPr>
            <w:r>
              <w:rPr>
                <w:sz w:val="28"/>
              </w:rPr>
              <w:t>8,6</w:t>
            </w:r>
          </w:p>
        </w:tc>
      </w:tr>
      <w:tr>
        <w:trPr>
          <w:trHeight w:val="1054" w:hRule="exact"/>
        </w:trPr>
        <w:tc>
          <w:tcPr>
            <w:tcW w:w="1291" w:type="dxa"/>
          </w:tcPr>
          <w:p>
            <w:pPr>
              <w:pStyle w:val="TableParagraph"/>
              <w:spacing w:line="388" w:lineRule="auto"/>
              <w:ind w:left="328" w:right="309" w:firstLine="93"/>
              <w:rPr>
                <w:sz w:val="28"/>
              </w:rPr>
            </w:pPr>
            <w:r>
              <w:rPr>
                <w:sz w:val="28"/>
              </w:rPr>
              <w:t>T3a (n=1)</w:t>
            </w:r>
          </w:p>
        </w:tc>
        <w:tc>
          <w:tcPr>
            <w:tcW w:w="780" w:type="dxa"/>
          </w:tcPr>
          <w:p>
            <w:pPr>
              <w:pStyle w:val="TableParagraph"/>
              <w:spacing w:before="252"/>
              <w:ind w:left="338"/>
              <w:rPr>
                <w:sz w:val="28"/>
              </w:rPr>
            </w:pPr>
            <w:r>
              <w:rPr>
                <w:w w:val="100"/>
                <w:sz w:val="28"/>
              </w:rPr>
              <w:t>-</w:t>
            </w:r>
          </w:p>
        </w:tc>
        <w:tc>
          <w:tcPr>
            <w:tcW w:w="1304" w:type="dxa"/>
          </w:tcPr>
          <w:p>
            <w:pPr>
              <w:pStyle w:val="TableParagraph"/>
              <w:spacing w:before="252"/>
              <w:ind w:right="2"/>
              <w:jc w:val="center"/>
              <w:rPr>
                <w:sz w:val="28"/>
              </w:rPr>
            </w:pPr>
            <w:r>
              <w:rPr>
                <w:w w:val="100"/>
                <w:sz w:val="28"/>
              </w:rPr>
              <w:t>-</w:t>
            </w:r>
          </w:p>
        </w:tc>
        <w:tc>
          <w:tcPr>
            <w:tcW w:w="782" w:type="dxa"/>
          </w:tcPr>
          <w:p>
            <w:pPr>
              <w:pStyle w:val="TableParagraph"/>
              <w:spacing w:before="252"/>
              <w:ind w:left="314"/>
              <w:rPr>
                <w:sz w:val="28"/>
              </w:rPr>
            </w:pPr>
            <w:r>
              <w:rPr>
                <w:w w:val="100"/>
                <w:sz w:val="28"/>
              </w:rPr>
              <w:t>1</w:t>
            </w:r>
          </w:p>
        </w:tc>
        <w:tc>
          <w:tcPr>
            <w:tcW w:w="1169" w:type="dxa"/>
          </w:tcPr>
          <w:p>
            <w:pPr>
              <w:pStyle w:val="TableParagraph"/>
              <w:spacing w:before="252"/>
              <w:ind w:left="312" w:right="314"/>
              <w:jc w:val="center"/>
              <w:rPr>
                <w:sz w:val="28"/>
              </w:rPr>
            </w:pPr>
            <w:r>
              <w:rPr>
                <w:sz w:val="28"/>
              </w:rPr>
              <w:t>100</w:t>
            </w:r>
          </w:p>
        </w:tc>
        <w:tc>
          <w:tcPr>
            <w:tcW w:w="780" w:type="dxa"/>
          </w:tcPr>
          <w:p>
            <w:pPr>
              <w:pStyle w:val="TableParagraph"/>
              <w:spacing w:before="252"/>
              <w:ind w:right="317"/>
              <w:jc w:val="right"/>
              <w:rPr>
                <w:sz w:val="28"/>
              </w:rPr>
            </w:pPr>
            <w:r>
              <w:rPr>
                <w:w w:val="100"/>
                <w:sz w:val="28"/>
              </w:rPr>
              <w:t>1</w:t>
            </w:r>
          </w:p>
        </w:tc>
        <w:tc>
          <w:tcPr>
            <w:tcW w:w="1169" w:type="dxa"/>
          </w:tcPr>
          <w:p>
            <w:pPr>
              <w:pStyle w:val="TableParagraph"/>
              <w:spacing w:before="252"/>
              <w:ind w:left="312" w:right="314"/>
              <w:jc w:val="center"/>
              <w:rPr>
                <w:sz w:val="28"/>
              </w:rPr>
            </w:pPr>
            <w:r>
              <w:rPr>
                <w:sz w:val="28"/>
              </w:rPr>
              <w:t>100</w:t>
            </w:r>
          </w:p>
        </w:tc>
        <w:tc>
          <w:tcPr>
            <w:tcW w:w="785" w:type="dxa"/>
          </w:tcPr>
          <w:p>
            <w:pPr>
              <w:pStyle w:val="TableParagraph"/>
              <w:spacing w:before="252"/>
              <w:jc w:val="center"/>
              <w:rPr>
                <w:sz w:val="28"/>
              </w:rPr>
            </w:pPr>
            <w:r>
              <w:rPr>
                <w:w w:val="100"/>
                <w:sz w:val="28"/>
              </w:rPr>
              <w:t>-</w:t>
            </w:r>
          </w:p>
        </w:tc>
        <w:tc>
          <w:tcPr>
            <w:tcW w:w="1032" w:type="dxa"/>
          </w:tcPr>
          <w:p>
            <w:pPr>
              <w:pStyle w:val="TableParagraph"/>
              <w:spacing w:before="252"/>
              <w:jc w:val="center"/>
              <w:rPr>
                <w:sz w:val="28"/>
              </w:rPr>
            </w:pPr>
            <w:r>
              <w:rPr>
                <w:w w:val="100"/>
                <w:sz w:val="28"/>
              </w:rPr>
              <w:t>-</w:t>
            </w:r>
          </w:p>
        </w:tc>
      </w:tr>
      <w:tr>
        <w:trPr>
          <w:trHeight w:val="1054" w:hRule="exact"/>
        </w:trPr>
        <w:tc>
          <w:tcPr>
            <w:tcW w:w="1291" w:type="dxa"/>
          </w:tcPr>
          <w:p>
            <w:pPr>
              <w:pStyle w:val="TableParagraph"/>
              <w:spacing w:line="388" w:lineRule="auto"/>
              <w:ind w:left="328" w:right="309" w:firstLine="86"/>
              <w:rPr>
                <w:sz w:val="28"/>
              </w:rPr>
            </w:pPr>
            <w:r>
              <w:rPr>
                <w:sz w:val="28"/>
              </w:rPr>
              <w:t>T3b (n=8)</w:t>
            </w:r>
          </w:p>
        </w:tc>
        <w:tc>
          <w:tcPr>
            <w:tcW w:w="780" w:type="dxa"/>
          </w:tcPr>
          <w:p>
            <w:pPr>
              <w:pStyle w:val="TableParagraph"/>
              <w:spacing w:before="254"/>
              <w:ind w:left="314"/>
              <w:rPr>
                <w:sz w:val="28"/>
              </w:rPr>
            </w:pPr>
            <w:r>
              <w:rPr>
                <w:w w:val="100"/>
                <w:sz w:val="28"/>
              </w:rPr>
              <w:t>4</w:t>
            </w:r>
          </w:p>
        </w:tc>
        <w:tc>
          <w:tcPr>
            <w:tcW w:w="1304" w:type="dxa"/>
          </w:tcPr>
          <w:p>
            <w:pPr>
              <w:pStyle w:val="TableParagraph"/>
              <w:spacing w:before="254"/>
              <w:ind w:left="380" w:right="381"/>
              <w:jc w:val="center"/>
              <w:rPr>
                <w:sz w:val="28"/>
              </w:rPr>
            </w:pPr>
            <w:r>
              <w:rPr>
                <w:sz w:val="28"/>
              </w:rPr>
              <w:t>50,0</w:t>
            </w:r>
          </w:p>
        </w:tc>
        <w:tc>
          <w:tcPr>
            <w:tcW w:w="782" w:type="dxa"/>
          </w:tcPr>
          <w:p>
            <w:pPr>
              <w:pStyle w:val="TableParagraph"/>
              <w:spacing w:before="254"/>
              <w:ind w:left="316"/>
              <w:rPr>
                <w:sz w:val="28"/>
              </w:rPr>
            </w:pPr>
            <w:r>
              <w:rPr>
                <w:w w:val="100"/>
                <w:sz w:val="28"/>
              </w:rPr>
              <w:t>4</w:t>
            </w:r>
          </w:p>
        </w:tc>
        <w:tc>
          <w:tcPr>
            <w:tcW w:w="1169" w:type="dxa"/>
          </w:tcPr>
          <w:p>
            <w:pPr>
              <w:pStyle w:val="TableParagraph"/>
              <w:spacing w:before="254"/>
              <w:ind w:left="312" w:right="317"/>
              <w:jc w:val="center"/>
              <w:rPr>
                <w:sz w:val="28"/>
              </w:rPr>
            </w:pPr>
            <w:r>
              <w:rPr>
                <w:sz w:val="28"/>
              </w:rPr>
              <w:t>50,0</w:t>
            </w:r>
          </w:p>
        </w:tc>
        <w:tc>
          <w:tcPr>
            <w:tcW w:w="780" w:type="dxa"/>
          </w:tcPr>
          <w:p>
            <w:pPr>
              <w:pStyle w:val="TableParagraph"/>
              <w:spacing w:before="254"/>
              <w:ind w:right="317"/>
              <w:jc w:val="right"/>
              <w:rPr>
                <w:sz w:val="28"/>
              </w:rPr>
            </w:pPr>
            <w:r>
              <w:rPr>
                <w:w w:val="100"/>
                <w:sz w:val="28"/>
              </w:rPr>
              <w:t>7</w:t>
            </w:r>
          </w:p>
        </w:tc>
        <w:tc>
          <w:tcPr>
            <w:tcW w:w="1169" w:type="dxa"/>
          </w:tcPr>
          <w:p>
            <w:pPr>
              <w:pStyle w:val="TableParagraph"/>
              <w:spacing w:before="254"/>
              <w:ind w:left="312" w:right="317"/>
              <w:jc w:val="center"/>
              <w:rPr>
                <w:sz w:val="28"/>
              </w:rPr>
            </w:pPr>
            <w:r>
              <w:rPr>
                <w:sz w:val="28"/>
              </w:rPr>
              <w:t>87,5</w:t>
            </w:r>
          </w:p>
        </w:tc>
        <w:tc>
          <w:tcPr>
            <w:tcW w:w="785" w:type="dxa"/>
          </w:tcPr>
          <w:p>
            <w:pPr>
              <w:pStyle w:val="TableParagraph"/>
              <w:spacing w:before="254"/>
              <w:ind w:right="1"/>
              <w:jc w:val="center"/>
              <w:rPr>
                <w:sz w:val="28"/>
              </w:rPr>
            </w:pPr>
            <w:r>
              <w:rPr>
                <w:w w:val="100"/>
                <w:sz w:val="28"/>
              </w:rPr>
              <w:t>1</w:t>
            </w:r>
          </w:p>
        </w:tc>
        <w:tc>
          <w:tcPr>
            <w:tcW w:w="1032" w:type="dxa"/>
          </w:tcPr>
          <w:p>
            <w:pPr>
              <w:pStyle w:val="TableParagraph"/>
              <w:spacing w:before="254"/>
              <w:ind w:right="266"/>
              <w:jc w:val="right"/>
              <w:rPr>
                <w:sz w:val="28"/>
              </w:rPr>
            </w:pPr>
            <w:r>
              <w:rPr>
                <w:sz w:val="28"/>
              </w:rPr>
              <w:t>12,5</w:t>
            </w:r>
          </w:p>
        </w:tc>
      </w:tr>
      <w:tr>
        <w:trPr>
          <w:trHeight w:val="1054" w:hRule="exact"/>
        </w:trPr>
        <w:tc>
          <w:tcPr>
            <w:tcW w:w="1291" w:type="dxa"/>
          </w:tcPr>
          <w:p>
            <w:pPr>
              <w:pStyle w:val="TableParagraph"/>
              <w:spacing w:line="388" w:lineRule="auto"/>
              <w:ind w:left="398" w:right="239" w:firstLine="86"/>
              <w:rPr>
                <w:sz w:val="28"/>
              </w:rPr>
            </w:pPr>
            <w:r>
              <w:rPr>
                <w:sz w:val="28"/>
              </w:rPr>
              <w:t>T4 (n=1)</w:t>
            </w:r>
          </w:p>
        </w:tc>
        <w:tc>
          <w:tcPr>
            <w:tcW w:w="780" w:type="dxa"/>
          </w:tcPr>
          <w:p>
            <w:pPr>
              <w:pStyle w:val="TableParagraph"/>
              <w:spacing w:before="254"/>
              <w:ind w:left="338"/>
              <w:rPr>
                <w:sz w:val="28"/>
              </w:rPr>
            </w:pPr>
            <w:r>
              <w:rPr>
                <w:w w:val="100"/>
                <w:sz w:val="28"/>
              </w:rPr>
              <w:t>-</w:t>
            </w:r>
          </w:p>
        </w:tc>
        <w:tc>
          <w:tcPr>
            <w:tcW w:w="1304" w:type="dxa"/>
          </w:tcPr>
          <w:p>
            <w:pPr/>
          </w:p>
        </w:tc>
        <w:tc>
          <w:tcPr>
            <w:tcW w:w="782" w:type="dxa"/>
          </w:tcPr>
          <w:p>
            <w:pPr>
              <w:pStyle w:val="TableParagraph"/>
              <w:spacing w:before="254"/>
              <w:ind w:left="316"/>
              <w:rPr>
                <w:sz w:val="28"/>
              </w:rPr>
            </w:pPr>
            <w:r>
              <w:rPr>
                <w:w w:val="100"/>
                <w:sz w:val="28"/>
              </w:rPr>
              <w:t>1</w:t>
            </w:r>
          </w:p>
        </w:tc>
        <w:tc>
          <w:tcPr>
            <w:tcW w:w="1169" w:type="dxa"/>
          </w:tcPr>
          <w:p>
            <w:pPr>
              <w:pStyle w:val="TableParagraph"/>
              <w:spacing w:before="254"/>
              <w:ind w:left="312" w:right="314"/>
              <w:jc w:val="center"/>
              <w:rPr>
                <w:sz w:val="28"/>
              </w:rPr>
            </w:pPr>
            <w:r>
              <w:rPr>
                <w:sz w:val="28"/>
              </w:rPr>
              <w:t>100</w:t>
            </w:r>
          </w:p>
        </w:tc>
        <w:tc>
          <w:tcPr>
            <w:tcW w:w="780" w:type="dxa"/>
          </w:tcPr>
          <w:p>
            <w:pPr>
              <w:pStyle w:val="TableParagraph"/>
              <w:spacing w:before="254"/>
              <w:ind w:right="2"/>
              <w:jc w:val="center"/>
              <w:rPr>
                <w:sz w:val="28"/>
              </w:rPr>
            </w:pPr>
            <w:r>
              <w:rPr>
                <w:w w:val="100"/>
                <w:sz w:val="28"/>
              </w:rPr>
              <w:t>-</w:t>
            </w:r>
          </w:p>
        </w:tc>
        <w:tc>
          <w:tcPr>
            <w:tcW w:w="1169" w:type="dxa"/>
          </w:tcPr>
          <w:p>
            <w:pPr>
              <w:pStyle w:val="TableParagraph"/>
              <w:spacing w:before="254"/>
              <w:ind w:left="61"/>
              <w:jc w:val="center"/>
              <w:rPr>
                <w:sz w:val="28"/>
              </w:rPr>
            </w:pPr>
            <w:r>
              <w:rPr>
                <w:w w:val="100"/>
                <w:sz w:val="28"/>
              </w:rPr>
              <w:t>-</w:t>
            </w:r>
          </w:p>
        </w:tc>
        <w:tc>
          <w:tcPr>
            <w:tcW w:w="785" w:type="dxa"/>
          </w:tcPr>
          <w:p>
            <w:pPr>
              <w:pStyle w:val="TableParagraph"/>
              <w:spacing w:before="254"/>
              <w:ind w:right="1"/>
              <w:jc w:val="center"/>
              <w:rPr>
                <w:sz w:val="28"/>
              </w:rPr>
            </w:pPr>
            <w:r>
              <w:rPr>
                <w:w w:val="100"/>
                <w:sz w:val="28"/>
              </w:rPr>
              <w:t>1</w:t>
            </w:r>
          </w:p>
        </w:tc>
        <w:tc>
          <w:tcPr>
            <w:tcW w:w="1032" w:type="dxa"/>
          </w:tcPr>
          <w:p>
            <w:pPr>
              <w:pStyle w:val="TableParagraph"/>
              <w:spacing w:before="254"/>
              <w:ind w:right="299"/>
              <w:jc w:val="right"/>
              <w:rPr>
                <w:sz w:val="28"/>
              </w:rPr>
            </w:pPr>
            <w:r>
              <w:rPr>
                <w:sz w:val="28"/>
              </w:rPr>
              <w:t>100</w:t>
            </w:r>
          </w:p>
        </w:tc>
      </w:tr>
      <w:tr>
        <w:trPr>
          <w:trHeight w:val="578" w:hRule="exact"/>
        </w:trPr>
        <w:tc>
          <w:tcPr>
            <w:tcW w:w="1291" w:type="dxa"/>
          </w:tcPr>
          <w:p>
            <w:pPr>
              <w:pStyle w:val="TableParagraph"/>
              <w:spacing w:before="17"/>
              <w:ind w:left="256"/>
              <w:rPr>
                <w:sz w:val="28"/>
              </w:rPr>
            </w:pPr>
            <w:r>
              <w:rPr>
                <w:sz w:val="28"/>
              </w:rPr>
              <w:t>Всего:</w:t>
            </w:r>
          </w:p>
        </w:tc>
        <w:tc>
          <w:tcPr>
            <w:tcW w:w="2084" w:type="dxa"/>
            <w:gridSpan w:val="2"/>
          </w:tcPr>
          <w:p>
            <w:pPr>
              <w:pStyle w:val="TableParagraph"/>
              <w:spacing w:before="17"/>
              <w:ind w:left="845" w:right="706"/>
              <w:jc w:val="center"/>
              <w:rPr>
                <w:sz w:val="28"/>
              </w:rPr>
            </w:pPr>
            <w:r>
              <w:rPr>
                <w:sz w:val="28"/>
              </w:rPr>
              <w:t>38</w:t>
            </w:r>
          </w:p>
        </w:tc>
        <w:tc>
          <w:tcPr>
            <w:tcW w:w="1952" w:type="dxa"/>
            <w:gridSpan w:val="2"/>
          </w:tcPr>
          <w:p>
            <w:pPr>
              <w:pStyle w:val="TableParagraph"/>
              <w:spacing w:before="17"/>
              <w:ind w:left="779" w:right="638"/>
              <w:jc w:val="center"/>
              <w:rPr>
                <w:sz w:val="28"/>
              </w:rPr>
            </w:pPr>
            <w:r>
              <w:rPr>
                <w:sz w:val="28"/>
              </w:rPr>
              <w:t>19</w:t>
            </w:r>
          </w:p>
        </w:tc>
        <w:tc>
          <w:tcPr>
            <w:tcW w:w="1949" w:type="dxa"/>
            <w:gridSpan w:val="2"/>
          </w:tcPr>
          <w:p>
            <w:pPr>
              <w:pStyle w:val="TableParagraph"/>
              <w:spacing w:before="17"/>
              <w:ind w:left="317" w:right="320"/>
              <w:jc w:val="center"/>
              <w:rPr>
                <w:sz w:val="28"/>
              </w:rPr>
            </w:pPr>
            <w:r>
              <w:rPr>
                <w:sz w:val="28"/>
              </w:rPr>
              <w:t>51</w:t>
            </w:r>
          </w:p>
        </w:tc>
        <w:tc>
          <w:tcPr>
            <w:tcW w:w="1817" w:type="dxa"/>
            <w:gridSpan w:val="2"/>
          </w:tcPr>
          <w:p>
            <w:pPr>
              <w:pStyle w:val="TableParagraph"/>
              <w:spacing w:before="17"/>
              <w:ind w:left="137"/>
              <w:jc w:val="center"/>
              <w:rPr>
                <w:sz w:val="28"/>
              </w:rPr>
            </w:pPr>
            <w:r>
              <w:rPr>
                <w:w w:val="100"/>
                <w:sz w:val="28"/>
              </w:rPr>
              <w:t>6</w:t>
            </w:r>
          </w:p>
        </w:tc>
      </w:tr>
    </w:tbl>
    <w:p>
      <w:pPr>
        <w:spacing w:after="0"/>
        <w:jc w:val="center"/>
        <w:rPr>
          <w:sz w:val="28"/>
        </w:rPr>
        <w:sectPr>
          <w:pgSz w:w="11900" w:h="16850"/>
          <w:pgMar w:header="712" w:footer="0" w:top="1020" w:bottom="280" w:left="1580" w:right="980"/>
        </w:sectPr>
      </w:pPr>
    </w:p>
    <w:p>
      <w:pPr>
        <w:pStyle w:val="BodyText"/>
        <w:rPr>
          <w:sz w:val="20"/>
        </w:rPr>
      </w:pPr>
    </w:p>
    <w:p>
      <w:pPr>
        <w:pStyle w:val="BodyText"/>
        <w:rPr>
          <w:sz w:val="20"/>
        </w:rPr>
      </w:pPr>
    </w:p>
    <w:p>
      <w:pPr>
        <w:pStyle w:val="BodyText"/>
        <w:spacing w:line="360" w:lineRule="auto" w:before="224"/>
        <w:ind w:left="102" w:right="98" w:firstLine="139"/>
        <w:jc w:val="both"/>
      </w:pPr>
      <w:r>
        <w:rPr/>
        <w:t>Кроме описанных выше метастазов в подвздошные и поясничные лимфатические узлы при ревизии органов малого таза в 6 случаях было выявлено прорастание опухоли брюшины мочевого пузыря (Рис. 4.9а), прямой кишки (Рис. 4.9б), распространение по крестцово-маточным связкам (Рис. 4.9в). Еще в одном наблюдении обнаружен метастаз опухоли в брыжейку сигмовидной кишки (Рис. 4.9г).</w:t>
      </w:r>
    </w:p>
    <w:p>
      <w:pPr>
        <w:pStyle w:val="BodyText"/>
        <w:spacing w:line="508" w:lineRule="auto" w:before="205"/>
        <w:ind w:left="351" w:right="86" w:firstLine="7407"/>
      </w:pPr>
      <w:r>
        <w:rPr/>
        <w:pict>
          <v:group style="position:absolute;margin-left:86.300003pt;margin-top:80.155289pt;width:201.9pt;height:170.7pt;mso-position-horizontal-relative:page;mso-position-vertical-relative:paragraph;z-index:4240;mso-wrap-distance-left:0;mso-wrap-distance-right:0" coordorigin="1726,1603" coordsize="4038,3414">
            <v:shape style="position:absolute;left:1741;top:1618;width:4008;height:3383" type="#_x0000_t75" stroked="false">
              <v:imagedata r:id="rId123" o:title=""/>
            </v:shape>
            <v:rect style="position:absolute;left:1734;top:1611;width:4023;height:3398" filled="false" stroked="true" strokeweight=".75pt" strokecolor="#000000">
              <v:stroke dashstyle="solid"/>
            </v:rect>
            <w10:wrap type="topAndBottom"/>
          </v:group>
        </w:pict>
      </w:r>
      <w:r>
        <w:rPr/>
        <w:pict>
          <v:group style="position:absolute;margin-left:321.804993pt;margin-top:82.185287pt;width:198.05pt;height:170.55pt;mso-position-horizontal-relative:page;mso-position-vertical-relative:paragraph;z-index:4264;mso-wrap-distance-left:0;mso-wrap-distance-right:0" coordorigin="6436,1644" coordsize="3961,3411">
            <v:shape style="position:absolute;left:6451;top:1659;width:3931;height:3381" type="#_x0000_t75" stroked="false">
              <v:imagedata r:id="rId124" o:title=""/>
            </v:shape>
            <v:rect style="position:absolute;left:6444;top:1651;width:3946;height:3396" filled="false" stroked="true" strokeweight=".75pt" strokecolor="#000000">
              <v:stroke dashstyle="solid"/>
            </v:rect>
            <w10:wrap type="topAndBottom"/>
          </v:group>
        </w:pict>
      </w:r>
      <w:r>
        <w:rPr/>
        <w:t>Рисунок 4.9 Результаты ревизии органов малого таза у больных раком шейки матки</w:t>
      </w:r>
    </w:p>
    <w:p>
      <w:pPr>
        <w:pStyle w:val="BodyText"/>
        <w:spacing w:before="8"/>
      </w:pPr>
    </w:p>
    <w:p>
      <w:pPr>
        <w:pStyle w:val="BodyText"/>
        <w:tabs>
          <w:tab w:pos="7782" w:val="left" w:leader="none"/>
        </w:tabs>
        <w:ind w:left="2339"/>
      </w:pPr>
      <w:r>
        <w:rPr/>
        <w:t>а</w:t>
        <w:tab/>
        <w:t>б</w:t>
      </w:r>
    </w:p>
    <w:p>
      <w:pPr>
        <w:pStyle w:val="BodyText"/>
        <w:spacing w:before="6"/>
      </w:pPr>
      <w:r>
        <w:rPr/>
        <w:pict>
          <v:group style="position:absolute;margin-left:86.300003pt;margin-top:19.640615pt;width:207.05pt;height:186.35pt;mso-position-horizontal-relative:page;mso-position-vertical-relative:paragraph;z-index:4288;mso-wrap-distance-left:0;mso-wrap-distance-right:0" coordorigin="1726,393" coordsize="4141,3727">
            <v:shape style="position:absolute;left:1741;top:408;width:4111;height:3697" type="#_x0000_t75" stroked="false">
              <v:imagedata r:id="rId125" o:title=""/>
            </v:shape>
            <v:rect style="position:absolute;left:1734;top:400;width:4126;height:3712" filled="false" stroked="true" strokeweight=".75pt" strokecolor="#000000">
              <v:stroke dashstyle="solid"/>
            </v:rect>
            <w10:wrap type="topAndBottom"/>
          </v:group>
        </w:pict>
      </w:r>
      <w:r>
        <w:rPr/>
        <w:drawing>
          <wp:anchor distT="0" distB="0" distL="0" distR="0" allowOverlap="1" layoutInCell="1" locked="0" behindDoc="0" simplePos="0" relativeHeight="4312">
            <wp:simplePos x="0" y="0"/>
            <wp:positionH relativeFrom="page">
              <wp:posOffset>4058411</wp:posOffset>
            </wp:positionH>
            <wp:positionV relativeFrom="paragraph">
              <wp:posOffset>233370</wp:posOffset>
            </wp:positionV>
            <wp:extent cx="2567139" cy="2366581"/>
            <wp:effectExtent l="0" t="0" r="0" b="0"/>
            <wp:wrapTopAndBottom/>
            <wp:docPr id="83" name="image113.jpeg" descr=""/>
            <wp:cNvGraphicFramePr>
              <a:graphicFrameLocks noChangeAspect="1"/>
            </wp:cNvGraphicFramePr>
            <a:graphic>
              <a:graphicData uri="http://schemas.openxmlformats.org/drawingml/2006/picture">
                <pic:pic>
                  <pic:nvPicPr>
                    <pic:cNvPr id="84" name="image113.jpeg"/>
                    <pic:cNvPicPr/>
                  </pic:nvPicPr>
                  <pic:blipFill>
                    <a:blip r:embed="rId126" cstate="print"/>
                    <a:stretch>
                      <a:fillRect/>
                    </a:stretch>
                  </pic:blipFill>
                  <pic:spPr>
                    <a:xfrm>
                      <a:off x="0" y="0"/>
                      <a:ext cx="2567139" cy="2366581"/>
                    </a:xfrm>
                    <a:prstGeom prst="rect">
                      <a:avLst/>
                    </a:prstGeom>
                  </pic:spPr>
                </pic:pic>
              </a:graphicData>
            </a:graphic>
          </wp:anchor>
        </w:drawing>
      </w:r>
    </w:p>
    <w:p>
      <w:pPr>
        <w:pStyle w:val="BodyText"/>
        <w:spacing w:before="1"/>
        <w:rPr>
          <w:sz w:val="29"/>
        </w:rPr>
      </w:pPr>
    </w:p>
    <w:p>
      <w:pPr>
        <w:pStyle w:val="BodyText"/>
        <w:tabs>
          <w:tab w:pos="7652" w:val="left" w:leader="none"/>
        </w:tabs>
        <w:spacing w:before="1"/>
        <w:ind w:left="2339"/>
      </w:pPr>
      <w:r>
        <w:rPr/>
        <w:t>в</w:t>
        <w:tab/>
        <w:t>г</w:t>
      </w:r>
    </w:p>
    <w:p>
      <w:pPr>
        <w:spacing w:after="0"/>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62"/>
        <w:ind w:left="102" w:right="106"/>
        <w:jc w:val="both"/>
      </w:pPr>
      <w:r>
        <w:rPr/>
        <w:t>Обращает на себя внимание достаточно серьезные расхождения установленной при клиническом обследовании и в результате хирургического стадирования степени распространения опухолевого процесса у больных раком шейки матки (Рис. 4.10).</w:t>
      </w:r>
    </w:p>
    <w:p>
      <w:pPr>
        <w:pStyle w:val="BodyText"/>
        <w:spacing w:before="247"/>
        <w:ind w:right="104"/>
        <w:jc w:val="right"/>
      </w:pPr>
      <w:r>
        <w:rPr/>
        <w:t>Рисунок 4.10</w:t>
      </w:r>
    </w:p>
    <w:p>
      <w:pPr>
        <w:pStyle w:val="BodyText"/>
        <w:spacing w:before="8"/>
        <w:rPr>
          <w:sz w:val="34"/>
        </w:rPr>
      </w:pPr>
    </w:p>
    <w:p>
      <w:pPr>
        <w:pStyle w:val="BodyText"/>
        <w:spacing w:before="1"/>
        <w:ind w:left="2146"/>
      </w:pPr>
      <w:r>
        <w:rPr/>
        <w:t>Соотношение выявленных стадий (FIGO)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spacing w:line="20" w:lineRule="exact"/>
        <w:ind w:left="4954"/>
        <w:rPr>
          <w:sz w:val="2"/>
        </w:rPr>
      </w:pPr>
      <w:r>
        <w:rPr>
          <w:sz w:val="2"/>
        </w:rPr>
        <w:pict>
          <v:group style="width:149.1pt;height:.75pt;mso-position-horizontal-relative:char;mso-position-vertical-relative:line" coordorigin="0,0" coordsize="2982,15">
            <v:line style="position:absolute" from="8,8" to="2974,8" stroked="true" strokeweight=".72pt" strokecolor="#858585">
              <v:stroke dashstyle="solid"/>
            </v:line>
          </v:group>
        </w:pict>
      </w:r>
      <w:r>
        <w:rPr>
          <w:sz w:val="2"/>
        </w:rPr>
      </w:r>
    </w:p>
    <w:p>
      <w:pPr>
        <w:spacing w:after="0" w:line="20" w:lineRule="exact"/>
        <w:rPr>
          <w:sz w:val="2"/>
        </w:rPr>
        <w:sectPr>
          <w:pgSz w:w="11900" w:h="16850"/>
          <w:pgMar w:header="712" w:footer="0" w:top="1020" w:bottom="280" w:left="1600" w:right="1020"/>
        </w:sectPr>
      </w:pPr>
    </w:p>
    <w:p>
      <w:pPr>
        <w:spacing w:before="29"/>
        <w:ind w:left="444" w:right="0" w:firstLine="0"/>
        <w:jc w:val="left"/>
        <w:rPr>
          <w:rFonts w:ascii="Cambria"/>
          <w:sz w:val="20"/>
        </w:rPr>
      </w:pPr>
      <w:r>
        <w:rPr/>
        <w:pict>
          <v:group style="position:absolute;margin-left:127.665001pt;margin-top:7.406939pt;width:140.1pt;height:170.55pt;mso-position-horizontal-relative:page;mso-position-vertical-relative:paragraph;z-index:-337816" coordorigin="2553,148" coordsize="2802,3411">
            <v:shape style="position:absolute;left:2623;top:895;width:2724;height:2223" coordorigin="2623,895" coordsize="2724,2223" path="m5231,3117l5347,3117m4324,3117l5006,3117m3871,3117l4099,3117m3417,3117l3645,3117m2963,3117l3191,3117m2623,3117l2738,3117m4324,2748l5347,2748m3871,2748l4099,2748m2963,2748l3645,2748m2623,2748l2738,2748m4324,2376l5347,2376m3871,2376l4099,2376m2623,2376l3645,2376m4324,2006l5347,2006m3871,2006l4099,2006m2623,2006l3645,2006m4324,1636l5347,1636m3871,1636l4099,1636m2623,1636l3645,1636m4324,1264l5347,1264m3871,1264l4099,1264m2623,1264l3645,1264m4324,895l5347,895m2623,895l4099,895e" filled="false" stroked="true" strokeweight=".72pt" strokecolor="#858585">
              <v:path arrowok="t"/>
              <v:stroke dashstyle="solid"/>
            </v:shape>
            <v:shape style="position:absolute;left:2616;top:513;width:2738;height:2993" type="#_x0000_t75" stroked="false">
              <v:imagedata r:id="rId127" o:title=""/>
            </v:shape>
            <v:shape style="position:absolute;left:2738;top:556;width:2494;height:2931" coordorigin="2738,556" coordsize="2494,2931" path="m2963,2716l2738,2716,2738,3486,2963,3486,2963,2716m3417,3023l3191,3023,3191,3486,3417,3486,3417,3023m3871,1019l3645,1019,3645,3486,3871,3486,3871,1019m4324,556l4099,556,4099,3486,4324,3486,4324,556m4778,3332l4552,3332,4552,3486,4778,3486,4778,3332m5231,2869l5006,2869,5006,3486,5231,3486,5231,2869e" filled="true" fillcolor="#4f81bc" stroked="false">
              <v:path arrowok="t"/>
              <v:fill type="solid"/>
            </v:shape>
            <v:shape style="position:absolute;left:2738;top:556;width:2494;height:2931" coordorigin="2738,556" coordsize="2494,2931" path="m2738,2716l2963,2716,2963,3486,2738,3486,2738,2716xm3191,3023l3417,3023,3417,3486,3191,3486,3191,3023xm3645,1019l3871,1019,3871,3486,3645,3486,3645,1019xm4099,556l4324,556,4324,3486,4099,3486,4099,556xm4552,3332l4778,3332,4778,3486,4552,3486,4552,3332xm5006,2869l5231,2869,5231,3486,5006,3486,5006,2869xe" filled="false" stroked="true" strokeweight=".75pt" strokecolor="#f8f8f8">
              <v:path arrowok="t"/>
              <v:stroke dashstyle="solid"/>
            </v:shape>
            <v:shape style="position:absolute;left:2561;top:156;width:2787;height:3396" coordorigin="2561,156" coordsize="2787,3396" path="m2623,3487l5347,3487m2623,3487l2623,3552m3077,3487l3077,3552m3530,3487l3530,3552m3986,3487l3986,3552m4440,3487l4440,3552m4894,3487l4894,3552m5347,3487l5347,3552m2623,156l5347,156m2623,3487l2623,156m2561,3487l2623,3487m2561,3117l2623,3117m2561,2748l2623,2748m2561,2376l2623,2376m2561,2006l2623,2006m2561,1636l2623,1636m2561,1264l2623,1264m2561,895l2623,895m2561,525l2623,525m2561,156l2623,156e" filled="false" stroked="true" strokeweight=".72pt" strokecolor="#858585">
              <v:path arrowok="t"/>
              <v:stroke dashstyle="solid"/>
            </v:shape>
            <v:shape style="position:absolute;left:2623;top:2376;width:1022;height:372" type="#_x0000_t202" filled="false" stroked="false">
              <v:textbox inset="0,0,0,0">
                <w:txbxContent>
                  <w:p>
                    <w:pPr>
                      <w:spacing w:before="71"/>
                      <w:ind w:left="89" w:right="0" w:firstLine="0"/>
                      <w:jc w:val="left"/>
                      <w:rPr>
                        <w:sz w:val="24"/>
                      </w:rPr>
                    </w:pPr>
                    <w:r>
                      <w:rPr>
                        <w:sz w:val="24"/>
                      </w:rPr>
                      <w:t>0%</w:t>
                    </w:r>
                  </w:p>
                </w:txbxContent>
              </v:textbox>
              <w10:wrap type="none"/>
            </v:shape>
            <w10:wrap type="none"/>
          </v:group>
        </w:pict>
      </w:r>
      <w:r>
        <w:rPr>
          <w:rFonts w:ascii="Cambria"/>
          <w:sz w:val="20"/>
        </w:rPr>
        <w:t>45%</w:t>
      </w:r>
    </w:p>
    <w:p>
      <w:pPr>
        <w:spacing w:before="135"/>
        <w:ind w:left="444" w:right="0" w:firstLine="0"/>
        <w:jc w:val="left"/>
        <w:rPr>
          <w:rFonts w:ascii="Cambria"/>
          <w:sz w:val="20"/>
        </w:rPr>
      </w:pPr>
      <w:r>
        <w:rPr>
          <w:rFonts w:ascii="Cambria"/>
          <w:sz w:val="20"/>
        </w:rPr>
        <w:t>40%</w:t>
      </w:r>
    </w:p>
    <w:p>
      <w:pPr>
        <w:spacing w:before="135"/>
        <w:ind w:left="444" w:right="0" w:firstLine="0"/>
        <w:jc w:val="left"/>
        <w:rPr>
          <w:rFonts w:ascii="Cambria"/>
          <w:sz w:val="20"/>
        </w:rPr>
      </w:pPr>
      <w:r>
        <w:rPr>
          <w:rFonts w:ascii="Cambria"/>
          <w:sz w:val="20"/>
        </w:rPr>
        <w:t>35%</w:t>
      </w:r>
    </w:p>
    <w:p>
      <w:pPr>
        <w:spacing w:before="135"/>
        <w:ind w:left="444" w:right="0" w:firstLine="0"/>
        <w:jc w:val="left"/>
        <w:rPr>
          <w:rFonts w:ascii="Cambria"/>
          <w:sz w:val="20"/>
        </w:rPr>
      </w:pPr>
      <w:r>
        <w:rPr>
          <w:rFonts w:ascii="Cambria"/>
          <w:sz w:val="20"/>
        </w:rPr>
        <w:t>30%</w:t>
      </w:r>
    </w:p>
    <w:p>
      <w:pPr>
        <w:spacing w:before="135"/>
        <w:ind w:left="444" w:right="0" w:firstLine="0"/>
        <w:jc w:val="left"/>
        <w:rPr>
          <w:rFonts w:ascii="Cambria"/>
          <w:sz w:val="20"/>
        </w:rPr>
      </w:pPr>
      <w:r>
        <w:rPr>
          <w:rFonts w:ascii="Cambria"/>
          <w:sz w:val="20"/>
        </w:rPr>
        <w:t>25%</w:t>
      </w:r>
    </w:p>
    <w:p>
      <w:pPr>
        <w:spacing w:before="135"/>
        <w:ind w:left="444" w:right="0" w:firstLine="0"/>
        <w:jc w:val="left"/>
        <w:rPr>
          <w:rFonts w:ascii="Cambria"/>
          <w:sz w:val="20"/>
        </w:rPr>
      </w:pPr>
      <w:r>
        <w:rPr>
          <w:rFonts w:ascii="Cambria"/>
          <w:sz w:val="20"/>
        </w:rPr>
        <w:t>20%</w:t>
      </w:r>
    </w:p>
    <w:p>
      <w:pPr>
        <w:spacing w:line="216" w:lineRule="exact" w:before="135"/>
        <w:ind w:left="444" w:right="0" w:firstLine="0"/>
        <w:jc w:val="left"/>
        <w:rPr>
          <w:rFonts w:ascii="Cambria"/>
          <w:sz w:val="20"/>
        </w:rPr>
      </w:pPr>
      <w:r>
        <w:rPr>
          <w:rFonts w:ascii="Cambria"/>
          <w:sz w:val="20"/>
        </w:rPr>
        <w:t>15%</w:t>
      </w:r>
    </w:p>
    <w:p>
      <w:pPr>
        <w:spacing w:line="390" w:lineRule="exact" w:before="0"/>
        <w:ind w:left="444" w:right="0" w:firstLine="0"/>
        <w:jc w:val="left"/>
        <w:rPr>
          <w:sz w:val="24"/>
        </w:rPr>
      </w:pPr>
      <w:r>
        <w:rPr>
          <w:rFonts w:ascii="Cambria"/>
          <w:sz w:val="20"/>
        </w:rPr>
        <w:t>10%   </w:t>
      </w:r>
      <w:r>
        <w:rPr>
          <w:position w:val="14"/>
          <w:sz w:val="24"/>
        </w:rPr>
        <w:t>1</w:t>
      </w:r>
    </w:p>
    <w:p>
      <w:pPr>
        <w:spacing w:before="135"/>
        <w:ind w:left="535" w:right="250" w:firstLine="0"/>
        <w:jc w:val="center"/>
        <w:rPr>
          <w:rFonts w:ascii="Cambria"/>
          <w:sz w:val="20"/>
        </w:rPr>
      </w:pPr>
      <w:r>
        <w:rPr>
          <w:rFonts w:ascii="Cambria"/>
          <w:sz w:val="20"/>
        </w:rPr>
        <w:t>5%</w:t>
      </w:r>
    </w:p>
    <w:p>
      <w:pPr>
        <w:pStyle w:val="BodyText"/>
        <w:rPr>
          <w:rFonts w:ascii="Cambria"/>
          <w:sz w:val="26"/>
        </w:rPr>
      </w:pPr>
      <w:r>
        <w:rPr/>
        <w:br w:type="column"/>
      </w:r>
      <w:r>
        <w:rPr>
          <w:rFonts w:ascii="Cambria"/>
          <w:sz w:val="26"/>
        </w:rPr>
      </w:r>
    </w:p>
    <w:p>
      <w:pPr>
        <w:pStyle w:val="BodyText"/>
        <w:spacing w:before="9"/>
        <w:rPr>
          <w:rFonts w:ascii="Cambria"/>
          <w:sz w:val="36"/>
        </w:rPr>
      </w:pPr>
    </w:p>
    <w:p>
      <w:pPr>
        <w:spacing w:line="236" w:lineRule="exact" w:before="0"/>
        <w:ind w:left="0" w:right="30" w:firstLine="0"/>
        <w:jc w:val="right"/>
        <w:rPr>
          <w:sz w:val="24"/>
        </w:rPr>
      </w:pPr>
      <w:r>
        <w:rPr>
          <w:sz w:val="24"/>
        </w:rPr>
        <w:t>39%</w:t>
      </w:r>
    </w:p>
    <w:p>
      <w:pPr>
        <w:spacing w:line="236" w:lineRule="exact" w:before="0"/>
        <w:ind w:left="459" w:right="0" w:firstLine="0"/>
        <w:jc w:val="left"/>
        <w:rPr>
          <w:sz w:val="24"/>
        </w:rPr>
      </w:pPr>
      <w:r>
        <w:rPr>
          <w:sz w:val="24"/>
        </w:rPr>
        <w:t>33%</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30"/>
        </w:rPr>
      </w:pPr>
    </w:p>
    <w:p>
      <w:pPr>
        <w:spacing w:line="247" w:lineRule="exact" w:before="0"/>
        <w:ind w:left="235" w:right="0" w:firstLine="0"/>
        <w:jc w:val="left"/>
        <w:rPr>
          <w:sz w:val="24"/>
        </w:rPr>
      </w:pPr>
      <w:r>
        <w:rPr>
          <w:sz w:val="24"/>
        </w:rPr>
        <w:t>6,3%</w:t>
      </w:r>
    </w:p>
    <w:p>
      <w:pPr>
        <w:spacing w:line="247" w:lineRule="exact" w:before="0"/>
        <w:ind w:left="0" w:right="0" w:firstLine="0"/>
        <w:jc w:val="right"/>
        <w:rPr>
          <w:sz w:val="24"/>
        </w:rPr>
      </w:pPr>
      <w:r>
        <w:rPr>
          <w:sz w:val="24"/>
        </w:rPr>
        <w:t>2,1%</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186"/>
        <w:ind w:left="60" w:right="0" w:firstLine="0"/>
        <w:jc w:val="left"/>
        <w:rPr>
          <w:sz w:val="24"/>
        </w:rPr>
      </w:pPr>
      <w:r>
        <w:rPr>
          <w:sz w:val="24"/>
        </w:rPr>
        <w:t>9,6%</w:t>
      </w:r>
    </w:p>
    <w:p>
      <w:pPr>
        <w:spacing w:after="0"/>
        <w:jc w:val="left"/>
        <w:rPr>
          <w:sz w:val="24"/>
        </w:rPr>
        <w:sectPr>
          <w:type w:val="continuous"/>
          <w:pgSz w:w="11900" w:h="16850"/>
          <w:pgMar w:top="1020" w:bottom="280" w:left="1600" w:right="1020"/>
          <w:cols w:num="3" w:equalWidth="0">
            <w:col w:w="1114" w:space="40"/>
            <w:col w:w="2164" w:space="40"/>
            <w:col w:w="5922"/>
          </w:cols>
        </w:sectPr>
      </w:pPr>
    </w:p>
    <w:p>
      <w:pPr>
        <w:spacing w:before="119"/>
        <w:ind w:left="555" w:right="0" w:firstLine="0"/>
        <w:jc w:val="left"/>
        <w:rPr>
          <w:rFonts w:ascii="Cambria"/>
          <w:sz w:val="20"/>
        </w:rPr>
      </w:pPr>
      <w:r>
        <w:rPr>
          <w:rFonts w:ascii="Cambria"/>
          <w:sz w:val="20"/>
        </w:rPr>
        <w:t>0%</w:t>
      </w:r>
    </w:p>
    <w:p>
      <w:pPr>
        <w:tabs>
          <w:tab w:pos="1576" w:val="left" w:leader="none"/>
          <w:tab w:pos="2032" w:val="left" w:leader="none"/>
        </w:tabs>
        <w:spacing w:before="18"/>
        <w:ind w:left="1156" w:right="0" w:firstLine="0"/>
        <w:jc w:val="left"/>
        <w:rPr>
          <w:rFonts w:ascii="Cambria"/>
          <w:sz w:val="20"/>
        </w:rPr>
      </w:pPr>
      <w:r>
        <w:rPr>
          <w:rFonts w:ascii="Cambria"/>
          <w:sz w:val="20"/>
        </w:rPr>
        <w:t>IB</w:t>
        <w:tab/>
        <w:t>IIA</w:t>
        <w:tab/>
        <w:t>IIB    IIIB   IVA  </w:t>
      </w:r>
      <w:r>
        <w:rPr>
          <w:rFonts w:ascii="Cambria"/>
          <w:spacing w:val="5"/>
          <w:sz w:val="20"/>
        </w:rPr>
        <w:t> </w:t>
      </w:r>
      <w:r>
        <w:rPr>
          <w:rFonts w:ascii="Cambria"/>
          <w:sz w:val="20"/>
        </w:rPr>
        <w:t>IVB</w:t>
      </w:r>
    </w:p>
    <w:p>
      <w:pPr>
        <w:pStyle w:val="BodyText"/>
        <w:rPr>
          <w:rFonts w:ascii="Cambria"/>
          <w:sz w:val="24"/>
        </w:rPr>
      </w:pPr>
      <w:r>
        <w:rPr/>
        <w:br w:type="column"/>
      </w:r>
      <w:r>
        <w:rPr>
          <w:rFonts w:ascii="Cambria"/>
          <w:sz w:val="24"/>
        </w:rPr>
      </w:r>
    </w:p>
    <w:p>
      <w:pPr>
        <w:tabs>
          <w:tab w:pos="1015" w:val="left" w:leader="none"/>
          <w:tab w:pos="1509" w:val="left" w:leader="none"/>
          <w:tab w:pos="1973" w:val="left" w:leader="none"/>
        </w:tabs>
        <w:spacing w:before="0"/>
        <w:ind w:left="555" w:right="0" w:firstLine="0"/>
        <w:jc w:val="left"/>
        <w:rPr>
          <w:rFonts w:ascii="Cambria"/>
          <w:sz w:val="20"/>
        </w:rPr>
      </w:pPr>
      <w:r>
        <w:rPr/>
        <w:pict>
          <v:group style="position:absolute;margin-left:327.704987pt;margin-top:-166.398056pt;width:153pt;height:163.6pt;mso-position-horizontal-relative:page;mso-position-vertical-relative:paragraph;z-index:4528" coordorigin="6554,-3328" coordsize="3060,3272">
            <v:shape style="position:absolute;left:6562;top:-3158;width:2967;height:2652" coordorigin="6562,-3158" coordsize="2967,2652" path="m9403,-506l9528,-506m8414,-506l9155,-506m7922,-506l8167,-506m6562,-506l7675,-506m9403,-885l9528,-885m8414,-885l9155,-885m7922,-885l8167,-885m6562,-885l7675,-885m9403,-1264l9528,-1264m8414,-1264l9155,-1264m7922,-1264l8167,-1264m6562,-1264l7675,-1264m9403,-1643l9528,-1643m8414,-1643l9155,-1643m7922,-1643l8167,-1643m6562,-1643l7675,-1643m9403,-2022l9528,-2022m8414,-2022l9155,-2022m6562,-2022l8167,-2022m8414,-2399l9528,-2399m6562,-2399l8167,-2399m8414,-2778l9528,-2778m6562,-2778l8167,-2778m8414,-3158l9528,-3158m6562,-3158l8167,-3158e" filled="false" stroked="true" strokeweight=".72pt" strokecolor="#858585">
              <v:path arrowok="t"/>
              <v:stroke dashstyle="solid"/>
            </v:shape>
            <v:shape style="position:absolute;left:6610;top:-3328;width:2868;height:3220" type="#_x0000_t75" stroked="false">
              <v:imagedata r:id="rId128" o:title=""/>
            </v:shape>
            <v:shape style="position:absolute;left:6686;top:-3285;width:2717;height:3158" coordorigin="6686,-3285" coordsize="2717,3158" path="m6933,-443l6686,-443,6686,-128,6933,-128,6933,-443m7427,-285l7180,-285,7180,-128,7427,-128,7427,-285m7922,-1864l7675,-1864,7675,-128,7922,-128,7922,-1864m8414,-3285l8167,-3285,8167,-128,8414,-128,8414,-3285m9403,-2337l9155,-2337,9155,-128,9403,-128,9403,-2337e" filled="true" fillcolor="#4f81bc" stroked="false">
              <v:path arrowok="t"/>
              <v:fill type="solid"/>
            </v:shape>
            <v:shape style="position:absolute;left:6686;top:-3285;width:2717;height:3158" coordorigin="6686,-3285" coordsize="2717,3158" path="m6686,-443l6933,-443,6933,-128,6686,-128,6686,-443xm7180,-285l7427,-285,7427,-128,7180,-128,7180,-285xm7675,-1864l7922,-1864,7922,-128,7675,-128,7675,-1864xm8167,-3285l8414,-3285,8414,-128,8167,-128,8167,-3285xm9155,-2337l9403,-2337,9403,-128,9155,-128,9155,-2337xe" filled="false" stroked="true" strokeweight=".75pt" strokecolor="#f8f8f8">
              <v:path arrowok="t"/>
              <v:stroke dashstyle="solid"/>
            </v:shape>
            <v:shape style="position:absolute;left:6562;top:-126;width:2967;height:63" coordorigin="6562,-126" coordsize="2967,63" path="m6562,-126l9528,-126m6562,-126l6562,-64m7056,-126l7056,-64m7550,-126l7550,-64m8045,-126l8045,-64m8539,-126l8539,-64m9034,-126l9034,-64m9528,-126l9528,-64e" filled="false" stroked="true" strokeweight=".72pt" strokecolor="#858585">
              <v:path arrowok="t"/>
              <v:stroke dashstyle="solid"/>
            </v:shape>
            <v:shape style="position:absolute;left:8414;top:-506;width:742;height:380" type="#_x0000_t202" filled="false" stroked="false">
              <v:textbox inset="0,0,0,0">
                <w:txbxContent>
                  <w:p>
                    <w:pPr>
                      <w:spacing w:before="12"/>
                      <w:ind w:left="213" w:right="0" w:firstLine="0"/>
                      <w:jc w:val="left"/>
                      <w:rPr>
                        <w:sz w:val="24"/>
                      </w:rPr>
                    </w:pPr>
                    <w:r>
                      <w:rPr>
                        <w:sz w:val="24"/>
                      </w:rPr>
                      <w:t>0%</w:t>
                    </w:r>
                  </w:p>
                </w:txbxContent>
              </v:textbox>
              <w10:wrap type="none"/>
            </v:shape>
            <v:shape style="position:absolute;left:8529;top:-3275;width:461;height:267" type="#_x0000_t202" filled="false" stroked="false">
              <v:textbox inset="0,0,0,0">
                <w:txbxContent>
                  <w:p>
                    <w:pPr>
                      <w:spacing w:line="266" w:lineRule="exact" w:before="0"/>
                      <w:ind w:left="0" w:right="0" w:firstLine="0"/>
                      <w:jc w:val="left"/>
                      <w:rPr>
                        <w:sz w:val="24"/>
                      </w:rPr>
                    </w:pPr>
                    <w:r>
                      <w:rPr>
                        <w:sz w:val="24"/>
                      </w:rPr>
                      <w:t>41%</w:t>
                    </w:r>
                  </w:p>
                </w:txbxContent>
              </v:textbox>
              <w10:wrap type="none"/>
            </v:shape>
            <v:shape style="position:absolute;left:9154;top:-2678;width:460;height:266" type="#_x0000_t202" filled="false" stroked="false">
              <v:textbox inset="0,0,0,0">
                <w:txbxContent>
                  <w:p>
                    <w:pPr>
                      <w:spacing w:line="266" w:lineRule="exact" w:before="0"/>
                      <w:ind w:left="0" w:right="0" w:firstLine="0"/>
                      <w:jc w:val="left"/>
                      <w:rPr>
                        <w:sz w:val="24"/>
                      </w:rPr>
                    </w:pPr>
                    <w:r>
                      <w:rPr>
                        <w:sz w:val="24"/>
                      </w:rPr>
                      <w:t>29%</w:t>
                    </w:r>
                  </w:p>
                </w:txbxContent>
              </v:textbox>
              <w10:wrap type="none"/>
            </v:shape>
            <v:shape style="position:absolute;left:7423;top:-2310;width:460;height:266" type="#_x0000_t202" filled="false" stroked="false">
              <v:textbox inset="0,0,0,0">
                <w:txbxContent>
                  <w:p>
                    <w:pPr>
                      <w:spacing w:line="266" w:lineRule="exact" w:before="0"/>
                      <w:ind w:left="0" w:right="0" w:firstLine="0"/>
                      <w:jc w:val="left"/>
                      <w:rPr>
                        <w:sz w:val="24"/>
                      </w:rPr>
                    </w:pPr>
                    <w:r>
                      <w:rPr>
                        <w:sz w:val="24"/>
                      </w:rPr>
                      <w:t>22%</w:t>
                    </w:r>
                  </w:p>
                </w:txbxContent>
              </v:textbox>
              <w10:wrap type="none"/>
            </v:shape>
            <v:shape style="position:absolute;left:6650;top:-799;width:834;height:425" type="#_x0000_t202" filled="false" stroked="false">
              <v:textbox inset="0,0,0,0">
                <w:txbxContent>
                  <w:p>
                    <w:pPr>
                      <w:spacing w:line="424" w:lineRule="exact" w:before="0"/>
                      <w:ind w:left="0" w:right="0" w:firstLine="0"/>
                      <w:jc w:val="left"/>
                      <w:rPr>
                        <w:sz w:val="24"/>
                      </w:rPr>
                    </w:pPr>
                    <w:r>
                      <w:rPr>
                        <w:sz w:val="24"/>
                      </w:rPr>
                      <w:t>6% </w:t>
                    </w:r>
                    <w:r>
                      <w:rPr>
                        <w:spacing w:val="52"/>
                        <w:sz w:val="24"/>
                      </w:rPr>
                      <w:t> </w:t>
                    </w:r>
                    <w:r>
                      <w:rPr>
                        <w:position w:val="-15"/>
                        <w:sz w:val="24"/>
                      </w:rPr>
                      <w:t>2%</w:t>
                    </w:r>
                  </w:p>
                </w:txbxContent>
              </v:textbox>
              <w10:wrap type="none"/>
            </v:shape>
            <w10:wrap type="none"/>
          </v:group>
        </w:pict>
      </w:r>
      <w:r>
        <w:rPr>
          <w:rFonts w:ascii="Cambria"/>
          <w:sz w:val="20"/>
        </w:rPr>
        <w:t>IB</w:t>
        <w:tab/>
        <w:t>IIA</w:t>
        <w:tab/>
        <w:t>IIB</w:t>
        <w:tab/>
        <w:t>IIIB    IVA   </w:t>
      </w:r>
      <w:r>
        <w:rPr>
          <w:rFonts w:ascii="Cambria"/>
          <w:spacing w:val="6"/>
          <w:sz w:val="20"/>
        </w:rPr>
        <w:t> </w:t>
      </w:r>
      <w:r>
        <w:rPr>
          <w:rFonts w:ascii="Cambria"/>
          <w:sz w:val="20"/>
        </w:rPr>
        <w:t>IVB</w:t>
      </w:r>
    </w:p>
    <w:p>
      <w:pPr>
        <w:spacing w:after="0"/>
        <w:jc w:val="left"/>
        <w:rPr>
          <w:rFonts w:ascii="Cambria"/>
          <w:sz w:val="20"/>
        </w:rPr>
        <w:sectPr>
          <w:type w:val="continuous"/>
          <w:pgSz w:w="11900" w:h="16850"/>
          <w:pgMar w:top="1020" w:bottom="280" w:left="1600" w:right="1020"/>
          <w:cols w:num="2" w:equalWidth="0">
            <w:col w:w="3672" w:space="889"/>
            <w:col w:w="4719"/>
          </w:cols>
        </w:sectPr>
      </w:pPr>
    </w:p>
    <w:p>
      <w:pPr>
        <w:pStyle w:val="BodyText"/>
        <w:rPr>
          <w:rFonts w:ascii="Cambria"/>
          <w:sz w:val="20"/>
        </w:rPr>
      </w:pPr>
    </w:p>
    <w:p>
      <w:pPr>
        <w:pStyle w:val="BodyText"/>
        <w:tabs>
          <w:tab w:pos="7853" w:val="left" w:leader="none"/>
        </w:tabs>
        <w:spacing w:before="245"/>
        <w:ind w:left="2483"/>
      </w:pPr>
      <w:r>
        <w:rPr/>
        <w:t>а</w:t>
        <w:tab/>
        <w:t>б</w:t>
      </w:r>
    </w:p>
    <w:p>
      <w:pPr>
        <w:pStyle w:val="BodyText"/>
        <w:spacing w:before="5"/>
        <w:rPr>
          <w:sz w:val="31"/>
        </w:rPr>
      </w:pPr>
    </w:p>
    <w:p>
      <w:pPr>
        <w:pStyle w:val="BodyText"/>
        <w:spacing w:line="360" w:lineRule="auto"/>
        <w:ind w:left="102" w:right="99"/>
        <w:jc w:val="both"/>
      </w:pPr>
      <w:r>
        <w:rPr/>
        <w:t>а – в результате клинического стадирования; б – в результате хирургического стадирования.</w:t>
      </w:r>
    </w:p>
    <w:p>
      <w:pPr>
        <w:pStyle w:val="BodyText"/>
        <w:spacing w:line="360" w:lineRule="auto" w:before="204"/>
        <w:ind w:left="102" w:right="101" w:firstLine="69"/>
        <w:jc w:val="both"/>
      </w:pPr>
      <w:r>
        <w:rPr/>
        <w:t>Подобная ситуация нуждается в самом серьезном анализе. Для уточнения причин описанных диагностических ошибок отдельно были рассмотрены наиболее важные характеристики опухоли: инфильтрация параметриев и состояние регионарных и парааортальных лимфатических узлов.</w:t>
      </w:r>
    </w:p>
    <w:p>
      <w:pPr>
        <w:spacing w:after="0" w:line="360" w:lineRule="auto"/>
        <w:jc w:val="both"/>
        <w:sectPr>
          <w:type w:val="continuous"/>
          <w:pgSz w:w="11900" w:h="16850"/>
          <w:pgMar w:top="1020" w:bottom="280" w:left="1600" w:right="1020"/>
        </w:sectPr>
      </w:pPr>
    </w:p>
    <w:p>
      <w:pPr>
        <w:pStyle w:val="BodyText"/>
        <w:rPr>
          <w:sz w:val="20"/>
        </w:rPr>
      </w:pPr>
    </w:p>
    <w:p>
      <w:pPr>
        <w:pStyle w:val="BodyText"/>
        <w:rPr>
          <w:sz w:val="20"/>
        </w:rPr>
      </w:pPr>
    </w:p>
    <w:p>
      <w:pPr>
        <w:pStyle w:val="BodyText"/>
        <w:spacing w:before="224"/>
        <w:ind w:left="921" w:right="922"/>
        <w:jc w:val="center"/>
      </w:pPr>
      <w:r>
        <w:rPr/>
        <w:t>Инфильтрация параметральной клетчатки</w:t>
      </w:r>
    </w:p>
    <w:p>
      <w:pPr>
        <w:pStyle w:val="BodyText"/>
        <w:spacing w:before="3"/>
        <w:rPr>
          <w:sz w:val="31"/>
        </w:rPr>
      </w:pPr>
    </w:p>
    <w:p>
      <w:pPr>
        <w:pStyle w:val="BodyText"/>
        <w:spacing w:line="360" w:lineRule="auto"/>
        <w:ind w:left="122" w:right="120" w:firstLine="347"/>
        <w:jc w:val="both"/>
      </w:pPr>
      <w:r>
        <w:rPr/>
        <w:t>При бимануальном исследовании лишь у 12 пациенток (21,1%) отсутствовала инфильтрация параметральной клетчатки, у 45 больных (78,9%) отмечалась инфильтрация параметриев различной степени выраженности (таблица 4.8).</w:t>
      </w:r>
    </w:p>
    <w:p>
      <w:pPr>
        <w:pStyle w:val="BodyText"/>
        <w:spacing w:before="206"/>
        <w:ind w:left="7772"/>
      </w:pPr>
      <w:r>
        <w:rPr/>
        <w:t>Таблица 4.8</w:t>
      </w:r>
    </w:p>
    <w:p>
      <w:pPr>
        <w:pStyle w:val="BodyText"/>
        <w:spacing w:before="3"/>
        <w:rPr>
          <w:sz w:val="31"/>
        </w:rPr>
      </w:pPr>
    </w:p>
    <w:p>
      <w:pPr>
        <w:pStyle w:val="BodyText"/>
        <w:spacing w:line="360" w:lineRule="auto"/>
        <w:ind w:left="921" w:right="928"/>
        <w:jc w:val="center"/>
      </w:pPr>
      <w:r>
        <w:rPr/>
        <w:t>Состояние параметриев при бимануальном ректовагинальном исследовании</w:t>
      </w:r>
    </w:p>
    <w:p>
      <w:pPr>
        <w:pStyle w:val="BodyText"/>
        <w:spacing w:before="6" w:after="1"/>
        <w:rPr>
          <w:sz w:val="1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4"/>
        <w:gridCol w:w="2191"/>
        <w:gridCol w:w="4679"/>
      </w:tblGrid>
      <w:tr>
        <w:trPr>
          <w:trHeight w:val="934" w:hRule="exact"/>
        </w:trPr>
        <w:tc>
          <w:tcPr>
            <w:tcW w:w="2204" w:type="dxa"/>
            <w:vMerge w:val="restart"/>
          </w:tcPr>
          <w:p>
            <w:pPr>
              <w:pStyle w:val="TableParagraph"/>
              <w:spacing w:line="276" w:lineRule="auto"/>
              <w:ind w:left="127" w:right="130" w:firstLine="1"/>
              <w:jc w:val="center"/>
              <w:rPr>
                <w:sz w:val="28"/>
              </w:rPr>
            </w:pPr>
            <w:r>
              <w:rPr>
                <w:sz w:val="28"/>
              </w:rPr>
              <w:t>Наличие инфильтрации параметральной клетчатки</w:t>
            </w:r>
          </w:p>
        </w:tc>
        <w:tc>
          <w:tcPr>
            <w:tcW w:w="6870" w:type="dxa"/>
            <w:gridSpan w:val="2"/>
          </w:tcPr>
          <w:p>
            <w:pPr>
              <w:pStyle w:val="TableParagraph"/>
              <w:spacing w:before="233"/>
              <w:ind w:left="1084"/>
              <w:rPr>
                <w:sz w:val="28"/>
              </w:rPr>
            </w:pPr>
            <w:r>
              <w:rPr>
                <w:sz w:val="28"/>
              </w:rPr>
              <w:t>Ректовагинальное исследование (n=57)</w:t>
            </w:r>
          </w:p>
        </w:tc>
      </w:tr>
      <w:tr>
        <w:trPr>
          <w:trHeight w:val="758" w:hRule="exact"/>
        </w:trPr>
        <w:tc>
          <w:tcPr>
            <w:tcW w:w="2204" w:type="dxa"/>
            <w:vMerge/>
          </w:tcPr>
          <w:p>
            <w:pPr/>
          </w:p>
        </w:tc>
        <w:tc>
          <w:tcPr>
            <w:tcW w:w="2191" w:type="dxa"/>
          </w:tcPr>
          <w:p>
            <w:pPr>
              <w:pStyle w:val="TableParagraph"/>
              <w:spacing w:before="81"/>
              <w:ind w:right="1"/>
              <w:jc w:val="center"/>
              <w:rPr>
                <w:sz w:val="28"/>
              </w:rPr>
            </w:pPr>
            <w:r>
              <w:rPr>
                <w:w w:val="100"/>
                <w:sz w:val="28"/>
              </w:rPr>
              <w:t>N</w:t>
            </w:r>
          </w:p>
        </w:tc>
        <w:tc>
          <w:tcPr>
            <w:tcW w:w="4679" w:type="dxa"/>
          </w:tcPr>
          <w:p>
            <w:pPr>
              <w:pStyle w:val="TableParagraph"/>
              <w:spacing w:before="24"/>
              <w:jc w:val="center"/>
              <w:rPr>
                <w:sz w:val="28"/>
              </w:rPr>
            </w:pPr>
            <w:r>
              <w:rPr>
                <w:w w:val="100"/>
                <w:sz w:val="28"/>
              </w:rPr>
              <w:t>%</w:t>
            </w:r>
          </w:p>
        </w:tc>
      </w:tr>
      <w:tr>
        <w:trPr>
          <w:trHeight w:val="692" w:hRule="exact"/>
        </w:trPr>
        <w:tc>
          <w:tcPr>
            <w:tcW w:w="2204" w:type="dxa"/>
          </w:tcPr>
          <w:p>
            <w:pPr>
              <w:pStyle w:val="TableParagraph"/>
              <w:spacing w:line="315" w:lineRule="exact"/>
              <w:ind w:left="280" w:right="281"/>
              <w:jc w:val="center"/>
              <w:rPr>
                <w:sz w:val="28"/>
              </w:rPr>
            </w:pPr>
            <w:r>
              <w:rPr>
                <w:sz w:val="28"/>
              </w:rPr>
              <w:t>присутствует</w:t>
            </w:r>
          </w:p>
        </w:tc>
        <w:tc>
          <w:tcPr>
            <w:tcW w:w="2191" w:type="dxa"/>
          </w:tcPr>
          <w:p>
            <w:pPr>
              <w:pStyle w:val="TableParagraph"/>
              <w:spacing w:line="315" w:lineRule="exact"/>
              <w:ind w:left="930" w:right="930"/>
              <w:jc w:val="center"/>
              <w:rPr>
                <w:sz w:val="28"/>
              </w:rPr>
            </w:pPr>
            <w:r>
              <w:rPr>
                <w:sz w:val="28"/>
              </w:rPr>
              <w:t>45</w:t>
            </w:r>
          </w:p>
        </w:tc>
        <w:tc>
          <w:tcPr>
            <w:tcW w:w="4679" w:type="dxa"/>
          </w:tcPr>
          <w:p>
            <w:pPr>
              <w:pStyle w:val="TableParagraph"/>
              <w:spacing w:line="315" w:lineRule="exact"/>
              <w:ind w:left="2069" w:right="2069"/>
              <w:jc w:val="center"/>
              <w:rPr>
                <w:sz w:val="28"/>
              </w:rPr>
            </w:pPr>
            <w:r>
              <w:rPr>
                <w:sz w:val="28"/>
              </w:rPr>
              <w:t>78,9</w:t>
            </w:r>
          </w:p>
        </w:tc>
      </w:tr>
      <w:tr>
        <w:trPr>
          <w:trHeight w:val="694" w:hRule="exact"/>
        </w:trPr>
        <w:tc>
          <w:tcPr>
            <w:tcW w:w="2204" w:type="dxa"/>
          </w:tcPr>
          <w:p>
            <w:pPr>
              <w:pStyle w:val="TableParagraph"/>
              <w:spacing w:line="315" w:lineRule="exact"/>
              <w:ind w:left="280" w:right="281"/>
              <w:jc w:val="center"/>
              <w:rPr>
                <w:sz w:val="28"/>
              </w:rPr>
            </w:pPr>
            <w:r>
              <w:rPr>
                <w:sz w:val="28"/>
              </w:rPr>
              <w:t>отсутствует</w:t>
            </w:r>
          </w:p>
        </w:tc>
        <w:tc>
          <w:tcPr>
            <w:tcW w:w="2191" w:type="dxa"/>
          </w:tcPr>
          <w:p>
            <w:pPr>
              <w:pStyle w:val="TableParagraph"/>
              <w:spacing w:line="315" w:lineRule="exact"/>
              <w:ind w:left="930" w:right="930"/>
              <w:jc w:val="center"/>
              <w:rPr>
                <w:sz w:val="28"/>
              </w:rPr>
            </w:pPr>
            <w:r>
              <w:rPr>
                <w:sz w:val="28"/>
              </w:rPr>
              <w:t>12</w:t>
            </w:r>
          </w:p>
        </w:tc>
        <w:tc>
          <w:tcPr>
            <w:tcW w:w="4679" w:type="dxa"/>
          </w:tcPr>
          <w:p>
            <w:pPr>
              <w:pStyle w:val="TableParagraph"/>
              <w:spacing w:line="315" w:lineRule="exact"/>
              <w:ind w:left="2069" w:right="2069"/>
              <w:jc w:val="center"/>
              <w:rPr>
                <w:sz w:val="28"/>
              </w:rPr>
            </w:pPr>
            <w:r>
              <w:rPr>
                <w:sz w:val="28"/>
              </w:rPr>
              <w:t>21,1</w:t>
            </w:r>
          </w:p>
        </w:tc>
      </w:tr>
    </w:tbl>
    <w:p>
      <w:pPr>
        <w:pStyle w:val="BodyText"/>
        <w:rPr>
          <w:sz w:val="30"/>
        </w:rPr>
      </w:pPr>
    </w:p>
    <w:p>
      <w:pPr>
        <w:pStyle w:val="BodyText"/>
        <w:spacing w:before="10"/>
      </w:pPr>
    </w:p>
    <w:p>
      <w:pPr>
        <w:pStyle w:val="BodyText"/>
        <w:spacing w:line="360" w:lineRule="auto"/>
        <w:ind w:left="122" w:right="121" w:firstLine="347"/>
        <w:jc w:val="both"/>
      </w:pPr>
      <w:r>
        <w:rPr/>
        <w:t>Во всех случаях клинических наблюдений результаты бимануального исследования в оценке состояния параметриев полностью совпали с данными лапароскопического стадирования.</w:t>
      </w:r>
    </w:p>
    <w:p>
      <w:pPr>
        <w:pStyle w:val="BodyText"/>
        <w:spacing w:line="360" w:lineRule="auto" w:before="207"/>
        <w:ind w:left="122" w:right="122" w:firstLine="278"/>
        <w:jc w:val="both"/>
      </w:pPr>
      <w:r>
        <w:rPr/>
        <w:t>Обращает на себя внимание низкая информативность методов лучевой диагностики в оценке состояния параметриев – одном из основных показателей степени распространенности опухолевого процесса, определяющим лечебную тактику в каждом конкретном случае.</w:t>
      </w:r>
    </w:p>
    <w:p>
      <w:pPr>
        <w:pStyle w:val="BodyText"/>
        <w:spacing w:line="360" w:lineRule="auto" w:before="245"/>
        <w:ind w:left="122" w:right="119" w:firstLine="556"/>
        <w:jc w:val="both"/>
      </w:pPr>
      <w:r>
        <w:rPr/>
        <w:t>Совпадение результатов ультразвукового исследования и данных операций хирургического стадирования отмечено лишь в 24 (42,1%) случаев, а результатов МРТ -     в 31  (54,4%) (Табл. 4.9).</w:t>
      </w:r>
    </w:p>
    <w:p>
      <w:pPr>
        <w:spacing w:after="0" w:line="360" w:lineRule="auto"/>
        <w:jc w:val="both"/>
        <w:sectPr>
          <w:pgSz w:w="11900" w:h="16850"/>
          <w:pgMar w:header="712" w:footer="0" w:top="1020" w:bottom="280" w:left="1580" w:right="1000"/>
        </w:sectPr>
      </w:pPr>
    </w:p>
    <w:p>
      <w:pPr>
        <w:pStyle w:val="BodyText"/>
        <w:rPr>
          <w:sz w:val="20"/>
        </w:rPr>
      </w:pPr>
    </w:p>
    <w:p>
      <w:pPr>
        <w:pStyle w:val="BodyText"/>
        <w:spacing w:before="8"/>
        <w:rPr>
          <w:sz w:val="17"/>
        </w:rPr>
      </w:pPr>
    </w:p>
    <w:p>
      <w:pPr>
        <w:pStyle w:val="BodyText"/>
        <w:spacing w:before="89"/>
        <w:ind w:left="7770"/>
      </w:pPr>
      <w:r>
        <w:rPr/>
        <w:t>Таблица 4.9</w:t>
      </w:r>
    </w:p>
    <w:p>
      <w:pPr>
        <w:pStyle w:val="BodyText"/>
        <w:spacing w:before="198"/>
        <w:ind w:left="2154" w:right="733" w:hanging="1409"/>
      </w:pPr>
      <w:r>
        <w:rPr/>
        <w:t>Сопоставление результатов клинического обследования в оценке инфильтрации параметральной клетчатки</w:t>
      </w:r>
    </w:p>
    <w:p>
      <w:pPr>
        <w:pStyle w:val="BodyText"/>
        <w:spacing w:before="1"/>
        <w:rPr>
          <w:sz w:val="1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2403"/>
        <w:gridCol w:w="1709"/>
        <w:gridCol w:w="1699"/>
        <w:gridCol w:w="1985"/>
      </w:tblGrid>
      <w:tr>
        <w:trPr>
          <w:trHeight w:val="1054" w:hRule="exact"/>
        </w:trPr>
        <w:tc>
          <w:tcPr>
            <w:tcW w:w="1277" w:type="dxa"/>
            <w:vMerge w:val="restart"/>
          </w:tcPr>
          <w:p>
            <w:pPr>
              <w:pStyle w:val="TableParagraph"/>
              <w:rPr>
                <w:sz w:val="30"/>
              </w:rPr>
            </w:pPr>
          </w:p>
          <w:p>
            <w:pPr>
              <w:pStyle w:val="TableParagraph"/>
              <w:spacing w:before="6"/>
              <w:rPr>
                <w:sz w:val="35"/>
              </w:rPr>
            </w:pPr>
          </w:p>
          <w:p>
            <w:pPr>
              <w:pStyle w:val="TableParagraph"/>
              <w:ind w:left="112" w:right="110" w:hanging="4"/>
              <w:jc w:val="center"/>
              <w:rPr>
                <w:sz w:val="28"/>
              </w:rPr>
            </w:pPr>
            <w:r>
              <w:rPr>
                <w:sz w:val="28"/>
              </w:rPr>
              <w:t>Метод лучевой диагнос- тики</w:t>
            </w:r>
          </w:p>
        </w:tc>
        <w:tc>
          <w:tcPr>
            <w:tcW w:w="7797" w:type="dxa"/>
            <w:gridSpan w:val="4"/>
          </w:tcPr>
          <w:p>
            <w:pPr>
              <w:pStyle w:val="TableParagraph"/>
              <w:spacing w:line="388" w:lineRule="auto"/>
              <w:ind w:left="3509" w:right="2119" w:hanging="1381"/>
              <w:rPr>
                <w:sz w:val="28"/>
              </w:rPr>
            </w:pPr>
            <w:r>
              <w:rPr>
                <w:sz w:val="28"/>
              </w:rPr>
              <w:t>Хирургическое стадирование (n=57)</w:t>
            </w:r>
          </w:p>
        </w:tc>
      </w:tr>
      <w:tr>
        <w:trPr>
          <w:trHeight w:val="1577" w:hRule="exact"/>
        </w:trPr>
        <w:tc>
          <w:tcPr>
            <w:tcW w:w="1277" w:type="dxa"/>
            <w:vMerge/>
          </w:tcPr>
          <w:p>
            <w:pPr/>
          </w:p>
        </w:tc>
        <w:tc>
          <w:tcPr>
            <w:tcW w:w="4112" w:type="dxa"/>
            <w:gridSpan w:val="2"/>
          </w:tcPr>
          <w:p>
            <w:pPr>
              <w:pStyle w:val="TableParagraph"/>
              <w:spacing w:line="388" w:lineRule="auto"/>
              <w:ind w:left="358" w:right="359"/>
              <w:jc w:val="center"/>
              <w:rPr>
                <w:sz w:val="28"/>
              </w:rPr>
            </w:pPr>
            <w:r>
              <w:rPr>
                <w:sz w:val="28"/>
              </w:rPr>
              <w:t>Инфильтрация параметриев присутствует</w:t>
            </w:r>
          </w:p>
          <w:p>
            <w:pPr>
              <w:pStyle w:val="TableParagraph"/>
              <w:spacing w:before="14"/>
              <w:ind w:left="358" w:right="359"/>
              <w:jc w:val="center"/>
              <w:rPr>
                <w:sz w:val="28"/>
              </w:rPr>
            </w:pPr>
            <w:r>
              <w:rPr>
                <w:sz w:val="28"/>
              </w:rPr>
              <w:t>n=45 (78,9%)</w:t>
            </w:r>
          </w:p>
        </w:tc>
        <w:tc>
          <w:tcPr>
            <w:tcW w:w="3685" w:type="dxa"/>
            <w:gridSpan w:val="2"/>
          </w:tcPr>
          <w:p>
            <w:pPr>
              <w:pStyle w:val="TableParagraph"/>
              <w:spacing w:line="388" w:lineRule="auto"/>
              <w:ind w:left="145" w:right="145"/>
              <w:jc w:val="center"/>
              <w:rPr>
                <w:sz w:val="28"/>
              </w:rPr>
            </w:pPr>
            <w:r>
              <w:rPr>
                <w:sz w:val="28"/>
              </w:rPr>
              <w:t>Инфильтрация параметриев отсутствует</w:t>
            </w:r>
          </w:p>
          <w:p>
            <w:pPr>
              <w:pStyle w:val="TableParagraph"/>
              <w:spacing w:before="14"/>
              <w:ind w:left="144" w:right="145"/>
              <w:jc w:val="center"/>
              <w:rPr>
                <w:sz w:val="28"/>
              </w:rPr>
            </w:pPr>
            <w:r>
              <w:rPr>
                <w:sz w:val="28"/>
              </w:rPr>
              <w:t>n=12 (21,1%)</w:t>
            </w:r>
          </w:p>
        </w:tc>
      </w:tr>
      <w:tr>
        <w:trPr>
          <w:trHeight w:val="1697" w:hRule="exact"/>
        </w:trPr>
        <w:tc>
          <w:tcPr>
            <w:tcW w:w="1277" w:type="dxa"/>
            <w:vMerge/>
          </w:tcPr>
          <w:p>
            <w:pPr/>
          </w:p>
        </w:tc>
        <w:tc>
          <w:tcPr>
            <w:tcW w:w="2403" w:type="dxa"/>
          </w:tcPr>
          <w:p>
            <w:pPr>
              <w:pStyle w:val="TableParagraph"/>
              <w:ind w:left="482" w:right="484"/>
              <w:jc w:val="center"/>
              <w:rPr>
                <w:sz w:val="28"/>
              </w:rPr>
            </w:pPr>
            <w:r>
              <w:rPr>
                <w:sz w:val="28"/>
              </w:rPr>
              <w:t>Совпадение результатов</w:t>
            </w:r>
          </w:p>
          <w:p>
            <w:pPr>
              <w:pStyle w:val="TableParagraph"/>
              <w:spacing w:before="206"/>
              <w:ind w:left="482" w:right="483"/>
              <w:jc w:val="center"/>
              <w:rPr>
                <w:sz w:val="28"/>
              </w:rPr>
            </w:pPr>
            <w:r>
              <w:rPr>
                <w:sz w:val="28"/>
              </w:rPr>
              <w:t>(n, %)</w:t>
            </w:r>
          </w:p>
        </w:tc>
        <w:tc>
          <w:tcPr>
            <w:tcW w:w="1709" w:type="dxa"/>
          </w:tcPr>
          <w:p>
            <w:pPr>
              <w:pStyle w:val="TableParagraph"/>
              <w:ind w:left="136" w:right="139" w:firstLine="2"/>
              <w:jc w:val="center"/>
              <w:rPr>
                <w:sz w:val="28"/>
              </w:rPr>
            </w:pPr>
            <w:r>
              <w:rPr>
                <w:sz w:val="28"/>
              </w:rPr>
              <w:t>Не    совпадение результатов</w:t>
            </w:r>
          </w:p>
          <w:p>
            <w:pPr>
              <w:pStyle w:val="TableParagraph"/>
              <w:spacing w:before="208"/>
              <w:ind w:left="374" w:right="374"/>
              <w:jc w:val="center"/>
              <w:rPr>
                <w:sz w:val="28"/>
              </w:rPr>
            </w:pPr>
            <w:r>
              <w:rPr>
                <w:sz w:val="28"/>
              </w:rPr>
              <w:t>(n, %)</w:t>
            </w:r>
          </w:p>
        </w:tc>
        <w:tc>
          <w:tcPr>
            <w:tcW w:w="1699" w:type="dxa"/>
          </w:tcPr>
          <w:p>
            <w:pPr>
              <w:pStyle w:val="TableParagraph"/>
              <w:ind w:left="129" w:right="132" w:hanging="1"/>
              <w:jc w:val="center"/>
              <w:rPr>
                <w:sz w:val="28"/>
              </w:rPr>
            </w:pPr>
            <w:r>
              <w:rPr>
                <w:sz w:val="28"/>
              </w:rPr>
              <w:t>Совпадение результатов (n, %)</w:t>
            </w:r>
          </w:p>
        </w:tc>
        <w:tc>
          <w:tcPr>
            <w:tcW w:w="1985" w:type="dxa"/>
          </w:tcPr>
          <w:p>
            <w:pPr>
              <w:pStyle w:val="TableParagraph"/>
              <w:ind w:left="141" w:right="143"/>
              <w:jc w:val="center"/>
              <w:rPr>
                <w:sz w:val="28"/>
              </w:rPr>
            </w:pPr>
            <w:r>
              <w:rPr>
                <w:sz w:val="28"/>
              </w:rPr>
              <w:t>Несовпадение результатов</w:t>
            </w:r>
          </w:p>
          <w:p>
            <w:pPr>
              <w:pStyle w:val="TableParagraph"/>
              <w:spacing w:before="206"/>
              <w:ind w:left="141" w:right="141"/>
              <w:jc w:val="center"/>
              <w:rPr>
                <w:sz w:val="28"/>
              </w:rPr>
            </w:pPr>
            <w:r>
              <w:rPr>
                <w:sz w:val="28"/>
              </w:rPr>
              <w:t>(n, %)</w:t>
            </w:r>
          </w:p>
        </w:tc>
      </w:tr>
      <w:tr>
        <w:trPr>
          <w:trHeight w:val="1577" w:hRule="exact"/>
        </w:trPr>
        <w:tc>
          <w:tcPr>
            <w:tcW w:w="1277" w:type="dxa"/>
          </w:tcPr>
          <w:p>
            <w:pPr>
              <w:pStyle w:val="TableParagraph"/>
              <w:spacing w:before="10"/>
              <w:rPr>
                <w:sz w:val="44"/>
              </w:rPr>
            </w:pPr>
          </w:p>
          <w:p>
            <w:pPr>
              <w:pStyle w:val="TableParagraph"/>
              <w:ind w:right="359"/>
              <w:jc w:val="right"/>
              <w:rPr>
                <w:sz w:val="28"/>
              </w:rPr>
            </w:pPr>
            <w:r>
              <w:rPr>
                <w:sz w:val="28"/>
              </w:rPr>
              <w:t>УЗИ</w:t>
            </w:r>
          </w:p>
        </w:tc>
        <w:tc>
          <w:tcPr>
            <w:tcW w:w="2403" w:type="dxa"/>
          </w:tcPr>
          <w:p>
            <w:pPr>
              <w:pStyle w:val="TableParagraph"/>
              <w:spacing w:before="254"/>
              <w:ind w:left="482" w:right="483"/>
              <w:jc w:val="center"/>
              <w:rPr>
                <w:sz w:val="28"/>
              </w:rPr>
            </w:pPr>
            <w:r>
              <w:rPr>
                <w:sz w:val="28"/>
              </w:rPr>
              <w:t>14</w:t>
            </w:r>
          </w:p>
          <w:p>
            <w:pPr>
              <w:pStyle w:val="TableParagraph"/>
              <w:spacing w:before="198"/>
              <w:ind w:left="482" w:right="482"/>
              <w:jc w:val="center"/>
              <w:rPr>
                <w:sz w:val="28"/>
              </w:rPr>
            </w:pPr>
            <w:r>
              <w:rPr>
                <w:sz w:val="28"/>
              </w:rPr>
              <w:t>(31,1%)</w:t>
            </w:r>
          </w:p>
        </w:tc>
        <w:tc>
          <w:tcPr>
            <w:tcW w:w="1709" w:type="dxa"/>
          </w:tcPr>
          <w:p>
            <w:pPr>
              <w:pStyle w:val="TableParagraph"/>
              <w:spacing w:before="10"/>
              <w:rPr>
                <w:sz w:val="44"/>
              </w:rPr>
            </w:pPr>
          </w:p>
          <w:p>
            <w:pPr>
              <w:pStyle w:val="TableParagraph"/>
              <w:ind w:left="374" w:right="374"/>
              <w:jc w:val="center"/>
              <w:rPr>
                <w:sz w:val="28"/>
              </w:rPr>
            </w:pPr>
            <w:r>
              <w:rPr>
                <w:sz w:val="28"/>
              </w:rPr>
              <w:t>31</w:t>
            </w:r>
          </w:p>
          <w:p>
            <w:pPr>
              <w:pStyle w:val="TableParagraph"/>
              <w:spacing w:before="199"/>
              <w:ind w:left="374" w:right="375"/>
              <w:jc w:val="center"/>
              <w:rPr>
                <w:sz w:val="28"/>
              </w:rPr>
            </w:pPr>
            <w:r>
              <w:rPr>
                <w:sz w:val="28"/>
              </w:rPr>
              <w:t>(68,9%)</w:t>
            </w:r>
          </w:p>
        </w:tc>
        <w:tc>
          <w:tcPr>
            <w:tcW w:w="1699" w:type="dxa"/>
          </w:tcPr>
          <w:p>
            <w:pPr>
              <w:pStyle w:val="TableParagraph"/>
              <w:spacing w:before="254"/>
              <w:ind w:left="256" w:right="256"/>
              <w:jc w:val="center"/>
              <w:rPr>
                <w:sz w:val="28"/>
              </w:rPr>
            </w:pPr>
            <w:r>
              <w:rPr>
                <w:sz w:val="28"/>
              </w:rPr>
              <w:t>10</w:t>
            </w:r>
          </w:p>
          <w:p>
            <w:pPr>
              <w:pStyle w:val="TableParagraph"/>
              <w:spacing w:before="198"/>
              <w:ind w:left="256" w:right="257"/>
              <w:jc w:val="center"/>
              <w:rPr>
                <w:sz w:val="28"/>
              </w:rPr>
            </w:pPr>
            <w:r>
              <w:rPr>
                <w:sz w:val="28"/>
              </w:rPr>
              <w:t>(83,3%)</w:t>
            </w:r>
          </w:p>
        </w:tc>
        <w:tc>
          <w:tcPr>
            <w:tcW w:w="1985" w:type="dxa"/>
          </w:tcPr>
          <w:p>
            <w:pPr>
              <w:pStyle w:val="TableParagraph"/>
              <w:spacing w:before="254"/>
              <w:jc w:val="center"/>
              <w:rPr>
                <w:sz w:val="28"/>
              </w:rPr>
            </w:pPr>
            <w:r>
              <w:rPr>
                <w:w w:val="100"/>
                <w:sz w:val="28"/>
              </w:rPr>
              <w:t>2</w:t>
            </w:r>
          </w:p>
          <w:p>
            <w:pPr>
              <w:pStyle w:val="TableParagraph"/>
              <w:spacing w:before="198"/>
              <w:ind w:left="141" w:right="140"/>
              <w:jc w:val="center"/>
              <w:rPr>
                <w:sz w:val="28"/>
              </w:rPr>
            </w:pPr>
            <w:r>
              <w:rPr>
                <w:sz w:val="28"/>
              </w:rPr>
              <w:t>(16,7%)</w:t>
            </w:r>
          </w:p>
        </w:tc>
      </w:tr>
      <w:tr>
        <w:trPr>
          <w:trHeight w:val="1574" w:hRule="exact"/>
        </w:trPr>
        <w:tc>
          <w:tcPr>
            <w:tcW w:w="1277" w:type="dxa"/>
          </w:tcPr>
          <w:p>
            <w:pPr>
              <w:pStyle w:val="TableParagraph"/>
              <w:spacing w:before="7"/>
              <w:rPr>
                <w:sz w:val="44"/>
              </w:rPr>
            </w:pPr>
          </w:p>
          <w:p>
            <w:pPr>
              <w:pStyle w:val="TableParagraph"/>
              <w:spacing w:before="1"/>
              <w:ind w:right="342"/>
              <w:jc w:val="right"/>
              <w:rPr>
                <w:sz w:val="28"/>
              </w:rPr>
            </w:pPr>
            <w:r>
              <w:rPr>
                <w:sz w:val="28"/>
              </w:rPr>
              <w:t>МРТ</w:t>
            </w:r>
          </w:p>
        </w:tc>
        <w:tc>
          <w:tcPr>
            <w:tcW w:w="2403" w:type="dxa"/>
          </w:tcPr>
          <w:p>
            <w:pPr>
              <w:pStyle w:val="TableParagraph"/>
              <w:spacing w:before="254"/>
              <w:ind w:left="482" w:right="483"/>
              <w:jc w:val="center"/>
              <w:rPr>
                <w:sz w:val="28"/>
              </w:rPr>
            </w:pPr>
            <w:r>
              <w:rPr>
                <w:sz w:val="28"/>
              </w:rPr>
              <w:t>19</w:t>
            </w:r>
          </w:p>
          <w:p>
            <w:pPr>
              <w:pStyle w:val="TableParagraph"/>
              <w:spacing w:before="198"/>
              <w:ind w:left="482" w:right="483"/>
              <w:jc w:val="center"/>
              <w:rPr>
                <w:sz w:val="28"/>
              </w:rPr>
            </w:pPr>
            <w:r>
              <w:rPr>
                <w:sz w:val="28"/>
              </w:rPr>
              <w:t>(42,2%)</w:t>
            </w:r>
          </w:p>
        </w:tc>
        <w:tc>
          <w:tcPr>
            <w:tcW w:w="1709" w:type="dxa"/>
          </w:tcPr>
          <w:p>
            <w:pPr>
              <w:pStyle w:val="TableParagraph"/>
              <w:spacing w:before="7"/>
              <w:rPr>
                <w:sz w:val="44"/>
              </w:rPr>
            </w:pPr>
          </w:p>
          <w:p>
            <w:pPr>
              <w:pStyle w:val="TableParagraph"/>
              <w:spacing w:before="1"/>
              <w:ind w:left="374" w:right="374"/>
              <w:jc w:val="center"/>
              <w:rPr>
                <w:sz w:val="28"/>
              </w:rPr>
            </w:pPr>
            <w:r>
              <w:rPr>
                <w:sz w:val="28"/>
              </w:rPr>
              <w:t>26</w:t>
            </w:r>
          </w:p>
          <w:p>
            <w:pPr>
              <w:pStyle w:val="TableParagraph"/>
              <w:spacing w:before="201"/>
              <w:ind w:left="374" w:right="375"/>
              <w:jc w:val="center"/>
              <w:rPr>
                <w:sz w:val="28"/>
              </w:rPr>
            </w:pPr>
            <w:r>
              <w:rPr>
                <w:sz w:val="28"/>
              </w:rPr>
              <w:t>(57,8%)</w:t>
            </w:r>
          </w:p>
        </w:tc>
        <w:tc>
          <w:tcPr>
            <w:tcW w:w="1699" w:type="dxa"/>
          </w:tcPr>
          <w:p>
            <w:pPr>
              <w:pStyle w:val="TableParagraph"/>
              <w:spacing w:before="254"/>
              <w:ind w:left="256" w:right="256"/>
              <w:jc w:val="center"/>
              <w:rPr>
                <w:sz w:val="28"/>
              </w:rPr>
            </w:pPr>
            <w:r>
              <w:rPr>
                <w:sz w:val="28"/>
              </w:rPr>
              <w:t>12</w:t>
            </w:r>
          </w:p>
          <w:p>
            <w:pPr>
              <w:pStyle w:val="TableParagraph"/>
              <w:spacing w:before="198"/>
              <w:ind w:left="256" w:right="257"/>
              <w:jc w:val="center"/>
              <w:rPr>
                <w:sz w:val="28"/>
              </w:rPr>
            </w:pPr>
            <w:r>
              <w:rPr>
                <w:sz w:val="28"/>
              </w:rPr>
              <w:t>(100%)</w:t>
            </w:r>
          </w:p>
        </w:tc>
        <w:tc>
          <w:tcPr>
            <w:tcW w:w="1985" w:type="dxa"/>
          </w:tcPr>
          <w:p>
            <w:pPr>
              <w:pStyle w:val="TableParagraph"/>
              <w:spacing w:before="7"/>
              <w:rPr>
                <w:sz w:val="44"/>
              </w:rPr>
            </w:pPr>
          </w:p>
          <w:p>
            <w:pPr>
              <w:pStyle w:val="TableParagraph"/>
              <w:spacing w:before="1"/>
              <w:jc w:val="center"/>
              <w:rPr>
                <w:sz w:val="28"/>
              </w:rPr>
            </w:pPr>
            <w:r>
              <w:rPr>
                <w:w w:val="100"/>
                <w:sz w:val="28"/>
              </w:rPr>
              <w:t>0</w:t>
            </w:r>
          </w:p>
        </w:tc>
      </w:tr>
    </w:tbl>
    <w:p>
      <w:pPr>
        <w:pStyle w:val="BodyText"/>
        <w:rPr>
          <w:sz w:val="30"/>
        </w:rPr>
      </w:pPr>
    </w:p>
    <w:p>
      <w:pPr>
        <w:pStyle w:val="BodyText"/>
        <w:spacing w:before="10"/>
      </w:pPr>
    </w:p>
    <w:p>
      <w:pPr>
        <w:pStyle w:val="BodyText"/>
        <w:spacing w:line="360" w:lineRule="auto"/>
        <w:ind w:left="122" w:right="119" w:firstLine="417"/>
        <w:jc w:val="both"/>
      </w:pPr>
      <w:r>
        <w:rPr/>
        <w:t>При анализе полученных результатов выяснилось, что несоответствие установленных стадий опухоли приблизительно с одинаковой частотой отмечено как в сторону их завышения, так и понижения. Наиболее информативными оказались результаты МРТ при отсутствии инфильтрации параметральной</w:t>
      </w:r>
      <w:r>
        <w:rPr>
          <w:spacing w:val="-11"/>
        </w:rPr>
        <w:t> </w:t>
      </w:r>
      <w:r>
        <w:rPr/>
        <w:t>клетчатки.</w:t>
      </w:r>
    </w:p>
    <w:p>
      <w:pPr>
        <w:pStyle w:val="BodyText"/>
        <w:spacing w:line="360" w:lineRule="auto" w:before="207"/>
        <w:ind w:left="122" w:right="121" w:firstLine="278"/>
        <w:jc w:val="both"/>
      </w:pPr>
      <w:r>
        <w:rPr/>
        <w:t>Далее приведен расчёт чувствительности, специфичности, точности и прогностической ценности положительного и отрицательного тестов (Таблица 4.10). Формула расчета подробно описана в главе, посвященной материалам и методам исследования.</w:t>
      </w:r>
    </w:p>
    <w:p>
      <w:pPr>
        <w:spacing w:after="0" w:line="360" w:lineRule="auto"/>
        <w:jc w:val="both"/>
        <w:sectPr>
          <w:pgSz w:w="11900" w:h="16850"/>
          <w:pgMar w:header="712" w:footer="0" w:top="1020" w:bottom="280" w:left="1580" w:right="1000"/>
        </w:sectPr>
      </w:pPr>
    </w:p>
    <w:p>
      <w:pPr>
        <w:pStyle w:val="BodyText"/>
        <w:rPr>
          <w:sz w:val="20"/>
        </w:rPr>
      </w:pPr>
    </w:p>
    <w:p>
      <w:pPr>
        <w:pStyle w:val="BodyText"/>
        <w:spacing w:before="8"/>
        <w:rPr>
          <w:sz w:val="17"/>
        </w:rPr>
      </w:pPr>
    </w:p>
    <w:p>
      <w:pPr>
        <w:pStyle w:val="BodyText"/>
        <w:spacing w:line="388" w:lineRule="auto" w:before="89"/>
        <w:ind w:left="335" w:right="88" w:firstLine="7295"/>
      </w:pPr>
      <w:r>
        <w:rPr/>
        <w:t>Таблица 4.10 Информативность  данных УЗИ, МРТ  в  оценке состояния параметриев</w:t>
      </w:r>
    </w:p>
    <w:p>
      <w:pPr>
        <w:pStyle w:val="BodyText"/>
        <w:spacing w:before="8"/>
        <w:rPr>
          <w:sz w:val="24"/>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1527"/>
        <w:gridCol w:w="1275"/>
        <w:gridCol w:w="1135"/>
        <w:gridCol w:w="1133"/>
        <w:gridCol w:w="1136"/>
        <w:gridCol w:w="850"/>
      </w:tblGrid>
      <w:tr>
        <w:trPr>
          <w:trHeight w:val="578" w:hRule="exact"/>
        </w:trPr>
        <w:tc>
          <w:tcPr>
            <w:tcW w:w="3512" w:type="dxa"/>
            <w:gridSpan w:val="2"/>
            <w:vMerge w:val="restart"/>
          </w:tcPr>
          <w:p>
            <w:pPr>
              <w:pStyle w:val="TableParagraph"/>
              <w:rPr>
                <w:sz w:val="30"/>
              </w:rPr>
            </w:pPr>
          </w:p>
          <w:p>
            <w:pPr>
              <w:pStyle w:val="TableParagraph"/>
              <w:spacing w:before="197"/>
              <w:ind w:left="256"/>
              <w:rPr>
                <w:sz w:val="28"/>
              </w:rPr>
            </w:pPr>
            <w:r>
              <w:rPr>
                <w:sz w:val="28"/>
              </w:rPr>
              <w:t>Оцениваемые параметры</w:t>
            </w:r>
          </w:p>
        </w:tc>
        <w:tc>
          <w:tcPr>
            <w:tcW w:w="4679" w:type="dxa"/>
            <w:gridSpan w:val="4"/>
          </w:tcPr>
          <w:p>
            <w:pPr>
              <w:pStyle w:val="TableParagraph"/>
              <w:spacing w:before="17"/>
              <w:ind w:left="1075"/>
              <w:rPr>
                <w:sz w:val="28"/>
              </w:rPr>
            </w:pPr>
            <w:r>
              <w:rPr>
                <w:sz w:val="28"/>
              </w:rPr>
              <w:t>Методы диагностики</w:t>
            </w:r>
          </w:p>
        </w:tc>
        <w:tc>
          <w:tcPr>
            <w:tcW w:w="850" w:type="dxa"/>
            <w:vMerge w:val="restart"/>
          </w:tcPr>
          <w:p>
            <w:pPr>
              <w:pStyle w:val="TableParagraph"/>
              <w:rPr>
                <w:sz w:val="30"/>
              </w:rPr>
            </w:pPr>
          </w:p>
          <w:p>
            <w:pPr>
              <w:pStyle w:val="TableParagraph"/>
              <w:spacing w:before="197"/>
              <w:ind w:left="25"/>
              <w:jc w:val="center"/>
              <w:rPr>
                <w:sz w:val="28"/>
              </w:rPr>
            </w:pPr>
            <w:r>
              <w:rPr>
                <w:w w:val="100"/>
                <w:sz w:val="28"/>
              </w:rPr>
              <w:t>p</w:t>
            </w:r>
          </w:p>
        </w:tc>
      </w:tr>
      <w:tr>
        <w:trPr>
          <w:trHeight w:val="1054" w:hRule="exact"/>
        </w:trPr>
        <w:tc>
          <w:tcPr>
            <w:tcW w:w="3512" w:type="dxa"/>
            <w:gridSpan w:val="2"/>
            <w:vMerge/>
          </w:tcPr>
          <w:p>
            <w:pPr/>
          </w:p>
        </w:tc>
        <w:tc>
          <w:tcPr>
            <w:tcW w:w="2410" w:type="dxa"/>
            <w:gridSpan w:val="2"/>
          </w:tcPr>
          <w:p>
            <w:pPr>
              <w:pStyle w:val="TableParagraph"/>
              <w:spacing w:line="315" w:lineRule="exact"/>
              <w:ind w:left="479" w:right="460"/>
              <w:jc w:val="center"/>
              <w:rPr>
                <w:sz w:val="28"/>
              </w:rPr>
            </w:pPr>
            <w:r>
              <w:rPr>
                <w:sz w:val="28"/>
              </w:rPr>
              <w:t>УЗИ</w:t>
            </w:r>
          </w:p>
          <w:p>
            <w:pPr>
              <w:pStyle w:val="TableParagraph"/>
              <w:tabs>
                <w:tab w:pos="1065" w:val="left" w:leader="none"/>
              </w:tabs>
              <w:spacing w:before="199"/>
              <w:ind w:left="19"/>
              <w:jc w:val="center"/>
              <w:rPr>
                <w:sz w:val="28"/>
              </w:rPr>
            </w:pPr>
            <w:r>
              <w:rPr>
                <w:sz w:val="28"/>
              </w:rPr>
              <w:t>(%)</w:t>
              <w:tab/>
              <w:t>(95%CI)</w:t>
            </w:r>
          </w:p>
        </w:tc>
        <w:tc>
          <w:tcPr>
            <w:tcW w:w="2269" w:type="dxa"/>
            <w:gridSpan w:val="2"/>
          </w:tcPr>
          <w:p>
            <w:pPr>
              <w:pStyle w:val="TableParagraph"/>
              <w:spacing w:line="315" w:lineRule="exact"/>
              <w:ind w:left="88" w:right="66"/>
              <w:jc w:val="center"/>
              <w:rPr>
                <w:sz w:val="28"/>
              </w:rPr>
            </w:pPr>
            <w:r>
              <w:rPr>
                <w:sz w:val="28"/>
              </w:rPr>
              <w:t>МРТ</w:t>
            </w:r>
          </w:p>
          <w:p>
            <w:pPr>
              <w:pStyle w:val="TableParagraph"/>
              <w:tabs>
                <w:tab w:pos="995" w:val="left" w:leader="none"/>
              </w:tabs>
              <w:spacing w:before="199"/>
              <w:ind w:left="88"/>
              <w:jc w:val="center"/>
              <w:rPr>
                <w:sz w:val="28"/>
              </w:rPr>
            </w:pPr>
            <w:r>
              <w:rPr>
                <w:sz w:val="28"/>
              </w:rPr>
              <w:t>(%)</w:t>
              <w:tab/>
              <w:t>(95%CI)</w:t>
            </w:r>
          </w:p>
        </w:tc>
        <w:tc>
          <w:tcPr>
            <w:tcW w:w="850" w:type="dxa"/>
            <w:vMerge/>
          </w:tcPr>
          <w:p>
            <w:pPr/>
          </w:p>
        </w:tc>
      </w:tr>
      <w:tr>
        <w:trPr>
          <w:trHeight w:val="1177" w:hRule="exact"/>
        </w:trPr>
        <w:tc>
          <w:tcPr>
            <w:tcW w:w="3512" w:type="dxa"/>
            <w:gridSpan w:val="2"/>
          </w:tcPr>
          <w:p>
            <w:pPr>
              <w:pStyle w:val="TableParagraph"/>
              <w:spacing w:before="4"/>
              <w:rPr>
                <w:sz w:val="27"/>
              </w:rPr>
            </w:pPr>
          </w:p>
          <w:p>
            <w:pPr>
              <w:pStyle w:val="TableParagraph"/>
              <w:ind w:left="722"/>
              <w:rPr>
                <w:sz w:val="28"/>
              </w:rPr>
            </w:pPr>
            <w:r>
              <w:rPr>
                <w:sz w:val="28"/>
              </w:rPr>
              <w:t>Чувствительность</w:t>
            </w:r>
          </w:p>
        </w:tc>
        <w:tc>
          <w:tcPr>
            <w:tcW w:w="1275" w:type="dxa"/>
          </w:tcPr>
          <w:p>
            <w:pPr>
              <w:pStyle w:val="TableParagraph"/>
              <w:spacing w:before="4"/>
              <w:rPr>
                <w:sz w:val="27"/>
              </w:rPr>
            </w:pPr>
          </w:p>
          <w:p>
            <w:pPr>
              <w:pStyle w:val="TableParagraph"/>
              <w:ind w:right="145"/>
              <w:jc w:val="right"/>
              <w:rPr>
                <w:sz w:val="28"/>
              </w:rPr>
            </w:pPr>
            <w:r>
              <w:rPr>
                <w:sz w:val="28"/>
              </w:rPr>
              <w:t>32,43%</w:t>
            </w:r>
          </w:p>
        </w:tc>
        <w:tc>
          <w:tcPr>
            <w:tcW w:w="1135" w:type="dxa"/>
          </w:tcPr>
          <w:p>
            <w:pPr>
              <w:pStyle w:val="TableParagraph"/>
              <w:spacing w:line="315" w:lineRule="exact"/>
              <w:ind w:left="163" w:right="58"/>
              <w:jc w:val="center"/>
              <w:rPr>
                <w:sz w:val="28"/>
              </w:rPr>
            </w:pPr>
            <w:r>
              <w:rPr>
                <w:sz w:val="28"/>
              </w:rPr>
              <w:t>18,55%</w:t>
            </w:r>
          </w:p>
          <w:p>
            <w:pPr>
              <w:pStyle w:val="TableParagraph"/>
              <w:ind w:left="163" w:right="56"/>
              <w:jc w:val="center"/>
              <w:rPr>
                <w:sz w:val="28"/>
              </w:rPr>
            </w:pPr>
            <w:r>
              <w:rPr>
                <w:sz w:val="28"/>
              </w:rPr>
              <w:t>-     49,89%</w:t>
            </w:r>
          </w:p>
        </w:tc>
        <w:tc>
          <w:tcPr>
            <w:tcW w:w="1133" w:type="dxa"/>
          </w:tcPr>
          <w:p>
            <w:pPr>
              <w:pStyle w:val="TableParagraph"/>
              <w:spacing w:before="4"/>
              <w:rPr>
                <w:sz w:val="27"/>
              </w:rPr>
            </w:pPr>
          </w:p>
          <w:p>
            <w:pPr>
              <w:pStyle w:val="TableParagraph"/>
              <w:ind w:left="160" w:right="58"/>
              <w:jc w:val="center"/>
              <w:rPr>
                <w:sz w:val="28"/>
              </w:rPr>
            </w:pPr>
            <w:r>
              <w:rPr>
                <w:sz w:val="28"/>
              </w:rPr>
              <w:t>43,24%</w:t>
            </w:r>
          </w:p>
        </w:tc>
        <w:tc>
          <w:tcPr>
            <w:tcW w:w="1136" w:type="dxa"/>
          </w:tcPr>
          <w:p>
            <w:pPr>
              <w:pStyle w:val="TableParagraph"/>
              <w:spacing w:line="315" w:lineRule="exact"/>
              <w:ind w:left="163" w:right="59"/>
              <w:jc w:val="center"/>
              <w:rPr>
                <w:sz w:val="28"/>
              </w:rPr>
            </w:pPr>
            <w:r>
              <w:rPr>
                <w:sz w:val="28"/>
              </w:rPr>
              <w:t>27,50%</w:t>
            </w:r>
          </w:p>
          <w:p>
            <w:pPr>
              <w:pStyle w:val="TableParagraph"/>
              <w:ind w:left="182" w:right="75" w:firstLine="1"/>
              <w:jc w:val="center"/>
              <w:rPr>
                <w:sz w:val="28"/>
              </w:rPr>
            </w:pPr>
            <w:r>
              <w:rPr>
                <w:sz w:val="28"/>
              </w:rPr>
              <w:t>-     60,36%</w:t>
            </w:r>
          </w:p>
        </w:tc>
        <w:tc>
          <w:tcPr>
            <w:tcW w:w="850" w:type="dxa"/>
          </w:tcPr>
          <w:p>
            <w:pPr>
              <w:pStyle w:val="TableParagraph"/>
              <w:spacing w:line="391" w:lineRule="auto" w:before="53"/>
              <w:ind w:left="155" w:right="35" w:firstLine="168"/>
              <w:rPr>
                <w:sz w:val="28"/>
              </w:rPr>
            </w:pPr>
            <w:r>
              <w:rPr>
                <w:sz w:val="28"/>
              </w:rPr>
              <w:t>p= 0,125</w:t>
            </w:r>
          </w:p>
        </w:tc>
      </w:tr>
      <w:tr>
        <w:trPr>
          <w:trHeight w:val="1176" w:hRule="exact"/>
        </w:trPr>
        <w:tc>
          <w:tcPr>
            <w:tcW w:w="3512" w:type="dxa"/>
            <w:gridSpan w:val="2"/>
          </w:tcPr>
          <w:p>
            <w:pPr>
              <w:pStyle w:val="TableParagraph"/>
              <w:spacing w:before="4"/>
              <w:rPr>
                <w:sz w:val="27"/>
              </w:rPr>
            </w:pPr>
          </w:p>
          <w:p>
            <w:pPr>
              <w:pStyle w:val="TableParagraph"/>
              <w:ind w:left="854"/>
              <w:rPr>
                <w:sz w:val="28"/>
              </w:rPr>
            </w:pPr>
            <w:r>
              <w:rPr>
                <w:sz w:val="28"/>
              </w:rPr>
              <w:t>Специфичность</w:t>
            </w:r>
          </w:p>
        </w:tc>
        <w:tc>
          <w:tcPr>
            <w:tcW w:w="1275" w:type="dxa"/>
          </w:tcPr>
          <w:p>
            <w:pPr>
              <w:pStyle w:val="TableParagraph"/>
              <w:spacing w:before="4"/>
              <w:rPr>
                <w:sz w:val="27"/>
              </w:rPr>
            </w:pPr>
          </w:p>
          <w:p>
            <w:pPr>
              <w:pStyle w:val="TableParagraph"/>
              <w:ind w:right="145"/>
              <w:jc w:val="right"/>
              <w:rPr>
                <w:sz w:val="28"/>
              </w:rPr>
            </w:pPr>
            <w:r>
              <w:rPr>
                <w:sz w:val="28"/>
              </w:rPr>
              <w:t>81,81%</w:t>
            </w:r>
          </w:p>
        </w:tc>
        <w:tc>
          <w:tcPr>
            <w:tcW w:w="1135" w:type="dxa"/>
          </w:tcPr>
          <w:p>
            <w:pPr>
              <w:pStyle w:val="TableParagraph"/>
              <w:spacing w:line="315" w:lineRule="exact"/>
              <w:ind w:left="163" w:right="58"/>
              <w:jc w:val="center"/>
              <w:rPr>
                <w:sz w:val="28"/>
              </w:rPr>
            </w:pPr>
            <w:r>
              <w:rPr>
                <w:sz w:val="28"/>
              </w:rPr>
              <w:t>47,75%</w:t>
            </w:r>
          </w:p>
          <w:p>
            <w:pPr>
              <w:pStyle w:val="TableParagraph"/>
              <w:ind w:left="163" w:right="56"/>
              <w:jc w:val="center"/>
              <w:rPr>
                <w:sz w:val="28"/>
              </w:rPr>
            </w:pPr>
            <w:r>
              <w:rPr>
                <w:sz w:val="28"/>
              </w:rPr>
              <w:t>-     96,79%</w:t>
            </w:r>
          </w:p>
        </w:tc>
        <w:tc>
          <w:tcPr>
            <w:tcW w:w="1133" w:type="dxa"/>
          </w:tcPr>
          <w:p>
            <w:pPr>
              <w:pStyle w:val="TableParagraph"/>
              <w:spacing w:before="4"/>
              <w:rPr>
                <w:sz w:val="27"/>
              </w:rPr>
            </w:pPr>
          </w:p>
          <w:p>
            <w:pPr>
              <w:pStyle w:val="TableParagraph"/>
              <w:ind w:left="160" w:right="57"/>
              <w:jc w:val="center"/>
              <w:rPr>
                <w:sz w:val="28"/>
              </w:rPr>
            </w:pPr>
            <w:r>
              <w:rPr>
                <w:sz w:val="28"/>
              </w:rPr>
              <w:t>100%</w:t>
            </w:r>
          </w:p>
        </w:tc>
        <w:tc>
          <w:tcPr>
            <w:tcW w:w="1136" w:type="dxa"/>
          </w:tcPr>
          <w:p>
            <w:pPr>
              <w:pStyle w:val="TableParagraph"/>
              <w:spacing w:line="322" w:lineRule="exact" w:before="153"/>
              <w:ind w:left="182"/>
              <w:rPr>
                <w:sz w:val="28"/>
              </w:rPr>
            </w:pPr>
            <w:r>
              <w:rPr>
                <w:sz w:val="28"/>
              </w:rPr>
              <w:t>67,85%</w:t>
            </w:r>
          </w:p>
          <w:p>
            <w:pPr>
              <w:pStyle w:val="TableParagraph"/>
              <w:ind w:left="207"/>
              <w:rPr>
                <w:sz w:val="28"/>
              </w:rPr>
            </w:pPr>
            <w:r>
              <w:rPr>
                <w:sz w:val="28"/>
              </w:rPr>
              <w:t>- 100%</w:t>
            </w:r>
          </w:p>
        </w:tc>
        <w:tc>
          <w:tcPr>
            <w:tcW w:w="850" w:type="dxa"/>
          </w:tcPr>
          <w:p>
            <w:pPr>
              <w:pStyle w:val="TableParagraph"/>
              <w:spacing w:line="388" w:lineRule="auto" w:before="53"/>
              <w:ind w:left="297" w:right="173" w:firstLine="26"/>
              <w:rPr>
                <w:sz w:val="28"/>
              </w:rPr>
            </w:pPr>
            <w:r>
              <w:rPr>
                <w:sz w:val="28"/>
              </w:rPr>
              <w:t>p= 0,5</w:t>
            </w:r>
          </w:p>
        </w:tc>
      </w:tr>
      <w:tr>
        <w:trPr>
          <w:trHeight w:val="1176" w:hRule="exact"/>
        </w:trPr>
        <w:tc>
          <w:tcPr>
            <w:tcW w:w="1985" w:type="dxa"/>
            <w:vMerge w:val="restart"/>
          </w:tcPr>
          <w:p>
            <w:pPr>
              <w:pStyle w:val="TableParagraph"/>
              <w:spacing w:before="158"/>
              <w:ind w:left="180" w:right="162" w:hanging="3"/>
              <w:jc w:val="center"/>
              <w:rPr>
                <w:sz w:val="28"/>
              </w:rPr>
            </w:pPr>
            <w:r>
              <w:rPr>
                <w:sz w:val="28"/>
              </w:rPr>
              <w:t>Для каждого результата исследования вероятность,</w:t>
            </w:r>
          </w:p>
          <w:p>
            <w:pPr>
              <w:pStyle w:val="TableParagraph"/>
              <w:spacing w:before="201"/>
              <w:ind w:left="27" w:right="14"/>
              <w:jc w:val="center"/>
              <w:rPr>
                <w:sz w:val="28"/>
              </w:rPr>
            </w:pPr>
            <w:r>
              <w:rPr>
                <w:sz w:val="28"/>
              </w:rPr>
              <w:t>что он будет</w:t>
            </w:r>
          </w:p>
        </w:tc>
        <w:tc>
          <w:tcPr>
            <w:tcW w:w="1527" w:type="dxa"/>
          </w:tcPr>
          <w:p>
            <w:pPr>
              <w:pStyle w:val="TableParagraph"/>
              <w:spacing w:before="153"/>
              <w:ind w:left="567" w:right="-30" w:hanging="457"/>
              <w:rPr>
                <w:sz w:val="28"/>
              </w:rPr>
            </w:pPr>
            <w:r>
              <w:rPr>
                <w:spacing w:val="-1"/>
                <w:sz w:val="28"/>
              </w:rPr>
              <w:t>положитель </w:t>
            </w:r>
            <w:r>
              <w:rPr>
                <w:sz w:val="28"/>
              </w:rPr>
              <w:t>ным</w:t>
            </w:r>
          </w:p>
        </w:tc>
        <w:tc>
          <w:tcPr>
            <w:tcW w:w="1275" w:type="dxa"/>
          </w:tcPr>
          <w:p>
            <w:pPr>
              <w:pStyle w:val="TableParagraph"/>
              <w:spacing w:before="4"/>
              <w:rPr>
                <w:sz w:val="27"/>
              </w:rPr>
            </w:pPr>
          </w:p>
          <w:p>
            <w:pPr>
              <w:pStyle w:val="TableParagraph"/>
              <w:ind w:right="145"/>
              <w:jc w:val="right"/>
              <w:rPr>
                <w:sz w:val="28"/>
              </w:rPr>
            </w:pPr>
            <w:r>
              <w:rPr>
                <w:sz w:val="28"/>
              </w:rPr>
              <w:t>29,17%</w:t>
            </w:r>
          </w:p>
        </w:tc>
        <w:tc>
          <w:tcPr>
            <w:tcW w:w="1135" w:type="dxa"/>
          </w:tcPr>
          <w:p>
            <w:pPr>
              <w:pStyle w:val="TableParagraph"/>
              <w:spacing w:line="315" w:lineRule="exact"/>
              <w:ind w:left="163" w:right="58"/>
              <w:jc w:val="center"/>
              <w:rPr>
                <w:sz w:val="28"/>
              </w:rPr>
            </w:pPr>
            <w:r>
              <w:rPr>
                <w:sz w:val="28"/>
              </w:rPr>
              <w:t>17,40%</w:t>
            </w:r>
          </w:p>
          <w:p>
            <w:pPr>
              <w:pStyle w:val="TableParagraph"/>
              <w:ind w:left="163" w:right="56"/>
              <w:jc w:val="center"/>
              <w:rPr>
                <w:sz w:val="28"/>
              </w:rPr>
            </w:pPr>
            <w:r>
              <w:rPr>
                <w:sz w:val="28"/>
              </w:rPr>
              <w:t>-     44,26%</w:t>
            </w:r>
          </w:p>
        </w:tc>
        <w:tc>
          <w:tcPr>
            <w:tcW w:w="1133" w:type="dxa"/>
          </w:tcPr>
          <w:p>
            <w:pPr>
              <w:pStyle w:val="TableParagraph"/>
              <w:spacing w:before="4"/>
              <w:rPr>
                <w:sz w:val="27"/>
              </w:rPr>
            </w:pPr>
          </w:p>
          <w:p>
            <w:pPr>
              <w:pStyle w:val="TableParagraph"/>
              <w:ind w:left="160" w:right="58"/>
              <w:jc w:val="center"/>
              <w:rPr>
                <w:sz w:val="28"/>
              </w:rPr>
            </w:pPr>
            <w:r>
              <w:rPr>
                <w:sz w:val="28"/>
              </w:rPr>
              <w:t>33,33%</w:t>
            </w:r>
          </w:p>
        </w:tc>
        <w:tc>
          <w:tcPr>
            <w:tcW w:w="1136" w:type="dxa"/>
          </w:tcPr>
          <w:p>
            <w:pPr>
              <w:pStyle w:val="TableParagraph"/>
              <w:spacing w:line="315" w:lineRule="exact"/>
              <w:ind w:left="163" w:right="59"/>
              <w:jc w:val="center"/>
              <w:rPr>
                <w:sz w:val="28"/>
              </w:rPr>
            </w:pPr>
            <w:r>
              <w:rPr>
                <w:sz w:val="28"/>
              </w:rPr>
              <w:t>20,81%</w:t>
            </w:r>
          </w:p>
          <w:p>
            <w:pPr>
              <w:pStyle w:val="TableParagraph"/>
              <w:ind w:left="182" w:right="75" w:firstLine="1"/>
              <w:jc w:val="center"/>
              <w:rPr>
                <w:sz w:val="28"/>
              </w:rPr>
            </w:pPr>
            <w:r>
              <w:rPr>
                <w:sz w:val="28"/>
              </w:rPr>
              <w:t>-     48,51%</w:t>
            </w:r>
          </w:p>
        </w:tc>
        <w:tc>
          <w:tcPr>
            <w:tcW w:w="850" w:type="dxa"/>
          </w:tcPr>
          <w:p>
            <w:pPr/>
          </w:p>
        </w:tc>
      </w:tr>
      <w:tr>
        <w:trPr>
          <w:trHeight w:val="1176" w:hRule="exact"/>
        </w:trPr>
        <w:tc>
          <w:tcPr>
            <w:tcW w:w="1985" w:type="dxa"/>
            <w:vMerge/>
          </w:tcPr>
          <w:p>
            <w:pPr/>
          </w:p>
        </w:tc>
        <w:tc>
          <w:tcPr>
            <w:tcW w:w="1527" w:type="dxa"/>
          </w:tcPr>
          <w:p>
            <w:pPr>
              <w:pStyle w:val="TableParagraph"/>
              <w:spacing w:before="154"/>
              <w:ind w:left="552" w:right="19" w:hanging="414"/>
              <w:rPr>
                <w:sz w:val="28"/>
              </w:rPr>
            </w:pPr>
            <w:r>
              <w:rPr>
                <w:sz w:val="28"/>
              </w:rPr>
              <w:t>отрицатель ным</w:t>
            </w:r>
          </w:p>
        </w:tc>
        <w:tc>
          <w:tcPr>
            <w:tcW w:w="1275" w:type="dxa"/>
          </w:tcPr>
          <w:p>
            <w:pPr>
              <w:pStyle w:val="TableParagraph"/>
              <w:spacing w:before="4"/>
              <w:rPr>
                <w:sz w:val="27"/>
              </w:rPr>
            </w:pPr>
          </w:p>
          <w:p>
            <w:pPr>
              <w:pStyle w:val="TableParagraph"/>
              <w:ind w:right="145"/>
              <w:jc w:val="right"/>
              <w:rPr>
                <w:sz w:val="28"/>
              </w:rPr>
            </w:pPr>
            <w:r>
              <w:rPr>
                <w:sz w:val="28"/>
              </w:rPr>
              <w:t>70,83%</w:t>
            </w:r>
          </w:p>
        </w:tc>
        <w:tc>
          <w:tcPr>
            <w:tcW w:w="1135" w:type="dxa"/>
          </w:tcPr>
          <w:p>
            <w:pPr>
              <w:pStyle w:val="TableParagraph"/>
              <w:spacing w:line="315" w:lineRule="exact"/>
              <w:ind w:left="163" w:right="58"/>
              <w:jc w:val="center"/>
              <w:rPr>
                <w:sz w:val="28"/>
              </w:rPr>
            </w:pPr>
            <w:r>
              <w:rPr>
                <w:sz w:val="28"/>
              </w:rPr>
              <w:t>55,74%</w:t>
            </w:r>
          </w:p>
          <w:p>
            <w:pPr>
              <w:pStyle w:val="TableParagraph"/>
              <w:ind w:left="163" w:right="56"/>
              <w:jc w:val="center"/>
              <w:rPr>
                <w:sz w:val="28"/>
              </w:rPr>
            </w:pPr>
            <w:r>
              <w:rPr>
                <w:sz w:val="28"/>
              </w:rPr>
              <w:t>-     82,60%</w:t>
            </w:r>
          </w:p>
        </w:tc>
        <w:tc>
          <w:tcPr>
            <w:tcW w:w="1133" w:type="dxa"/>
          </w:tcPr>
          <w:p>
            <w:pPr>
              <w:pStyle w:val="TableParagraph"/>
              <w:spacing w:before="4"/>
              <w:rPr>
                <w:sz w:val="27"/>
              </w:rPr>
            </w:pPr>
          </w:p>
          <w:p>
            <w:pPr>
              <w:pStyle w:val="TableParagraph"/>
              <w:ind w:left="160" w:right="58"/>
              <w:jc w:val="center"/>
              <w:rPr>
                <w:sz w:val="28"/>
              </w:rPr>
            </w:pPr>
            <w:r>
              <w:rPr>
                <w:sz w:val="28"/>
              </w:rPr>
              <w:t>66,67%</w:t>
            </w:r>
          </w:p>
        </w:tc>
        <w:tc>
          <w:tcPr>
            <w:tcW w:w="1136" w:type="dxa"/>
          </w:tcPr>
          <w:p>
            <w:pPr>
              <w:pStyle w:val="TableParagraph"/>
              <w:spacing w:line="315" w:lineRule="exact"/>
              <w:ind w:left="163" w:right="59"/>
              <w:jc w:val="center"/>
              <w:rPr>
                <w:sz w:val="28"/>
              </w:rPr>
            </w:pPr>
            <w:r>
              <w:rPr>
                <w:sz w:val="28"/>
              </w:rPr>
              <w:t>51,49%</w:t>
            </w:r>
          </w:p>
          <w:p>
            <w:pPr>
              <w:pStyle w:val="TableParagraph"/>
              <w:ind w:left="182" w:right="75" w:firstLine="1"/>
              <w:jc w:val="center"/>
              <w:rPr>
                <w:sz w:val="28"/>
              </w:rPr>
            </w:pPr>
            <w:r>
              <w:rPr>
                <w:sz w:val="28"/>
              </w:rPr>
              <w:t>-     79,19%</w:t>
            </w:r>
          </w:p>
        </w:tc>
        <w:tc>
          <w:tcPr>
            <w:tcW w:w="850" w:type="dxa"/>
          </w:tcPr>
          <w:p>
            <w:pPr/>
          </w:p>
        </w:tc>
      </w:tr>
      <w:tr>
        <w:trPr>
          <w:trHeight w:val="1174" w:hRule="exact"/>
        </w:trPr>
        <w:tc>
          <w:tcPr>
            <w:tcW w:w="1985" w:type="dxa"/>
            <w:vMerge w:val="restart"/>
          </w:tcPr>
          <w:p>
            <w:pPr>
              <w:pStyle w:val="TableParagraph"/>
              <w:spacing w:line="315" w:lineRule="exact"/>
              <w:ind w:left="39" w:right="13"/>
              <w:jc w:val="center"/>
              <w:rPr>
                <w:sz w:val="28"/>
              </w:rPr>
            </w:pPr>
            <w:r>
              <w:rPr>
                <w:sz w:val="28"/>
              </w:rPr>
              <w:t>(PPV)</w:t>
            </w:r>
          </w:p>
          <w:p>
            <w:pPr>
              <w:pStyle w:val="TableParagraph"/>
              <w:spacing w:before="199"/>
              <w:ind w:left="55" w:right="30" w:hanging="1"/>
              <w:jc w:val="center"/>
              <w:rPr>
                <w:sz w:val="28"/>
              </w:rPr>
            </w:pPr>
            <w:r>
              <w:rPr>
                <w:sz w:val="28"/>
              </w:rPr>
              <w:t>Для каждого положитель-</w:t>
            </w:r>
          </w:p>
          <w:p>
            <w:pPr>
              <w:pStyle w:val="TableParagraph"/>
              <w:spacing w:before="201"/>
              <w:ind w:left="39" w:right="14"/>
              <w:jc w:val="center"/>
              <w:rPr>
                <w:sz w:val="28"/>
              </w:rPr>
            </w:pPr>
            <w:r>
              <w:rPr>
                <w:sz w:val="28"/>
              </w:rPr>
              <w:t>ного результата исследования вероятность,</w:t>
            </w:r>
          </w:p>
          <w:p>
            <w:pPr>
              <w:pStyle w:val="TableParagraph"/>
              <w:spacing w:before="201"/>
              <w:ind w:left="36" w:right="14"/>
              <w:jc w:val="center"/>
              <w:rPr>
                <w:sz w:val="28"/>
              </w:rPr>
            </w:pPr>
            <w:r>
              <w:rPr>
                <w:sz w:val="28"/>
              </w:rPr>
              <w:t>что он будет</w:t>
            </w:r>
          </w:p>
        </w:tc>
        <w:tc>
          <w:tcPr>
            <w:tcW w:w="1527" w:type="dxa"/>
          </w:tcPr>
          <w:p>
            <w:pPr>
              <w:pStyle w:val="TableParagraph"/>
              <w:ind w:left="295" w:right="188" w:firstLine="21"/>
              <w:jc w:val="both"/>
              <w:rPr>
                <w:sz w:val="28"/>
              </w:rPr>
            </w:pPr>
            <w:r>
              <w:rPr>
                <w:sz w:val="28"/>
              </w:rPr>
              <w:t>истинно положи- тельным</w:t>
            </w:r>
          </w:p>
        </w:tc>
        <w:tc>
          <w:tcPr>
            <w:tcW w:w="1275" w:type="dxa"/>
          </w:tcPr>
          <w:p>
            <w:pPr>
              <w:pStyle w:val="TableParagraph"/>
              <w:spacing w:before="4"/>
              <w:rPr>
                <w:sz w:val="27"/>
              </w:rPr>
            </w:pPr>
          </w:p>
          <w:p>
            <w:pPr>
              <w:pStyle w:val="TableParagraph"/>
              <w:ind w:right="145"/>
              <w:jc w:val="right"/>
              <w:rPr>
                <w:sz w:val="28"/>
              </w:rPr>
            </w:pPr>
            <w:r>
              <w:rPr>
                <w:sz w:val="28"/>
              </w:rPr>
              <w:t>85,71%</w:t>
            </w:r>
          </w:p>
        </w:tc>
        <w:tc>
          <w:tcPr>
            <w:tcW w:w="1135" w:type="dxa"/>
          </w:tcPr>
          <w:p>
            <w:pPr>
              <w:pStyle w:val="TableParagraph"/>
              <w:spacing w:line="315" w:lineRule="exact"/>
              <w:ind w:left="163" w:right="58"/>
              <w:jc w:val="center"/>
              <w:rPr>
                <w:sz w:val="28"/>
              </w:rPr>
            </w:pPr>
            <w:r>
              <w:rPr>
                <w:sz w:val="28"/>
              </w:rPr>
              <w:t>56,15%</w:t>
            </w:r>
          </w:p>
          <w:p>
            <w:pPr>
              <w:pStyle w:val="TableParagraph"/>
              <w:ind w:left="163" w:right="56"/>
              <w:jc w:val="center"/>
              <w:rPr>
                <w:sz w:val="28"/>
              </w:rPr>
            </w:pPr>
            <w:r>
              <w:rPr>
                <w:sz w:val="28"/>
              </w:rPr>
              <w:t>-     97,49%</w:t>
            </w:r>
          </w:p>
        </w:tc>
        <w:tc>
          <w:tcPr>
            <w:tcW w:w="1133" w:type="dxa"/>
          </w:tcPr>
          <w:p>
            <w:pPr>
              <w:pStyle w:val="TableParagraph"/>
              <w:spacing w:before="4"/>
              <w:rPr>
                <w:sz w:val="27"/>
              </w:rPr>
            </w:pPr>
          </w:p>
          <w:p>
            <w:pPr>
              <w:pStyle w:val="TableParagraph"/>
              <w:ind w:left="160" w:right="57"/>
              <w:jc w:val="center"/>
              <w:rPr>
                <w:sz w:val="28"/>
              </w:rPr>
            </w:pPr>
            <w:r>
              <w:rPr>
                <w:sz w:val="28"/>
              </w:rPr>
              <w:t>100%</w:t>
            </w:r>
          </w:p>
        </w:tc>
        <w:tc>
          <w:tcPr>
            <w:tcW w:w="1136" w:type="dxa"/>
          </w:tcPr>
          <w:p>
            <w:pPr>
              <w:pStyle w:val="TableParagraph"/>
              <w:spacing w:line="322" w:lineRule="exact" w:before="153"/>
              <w:ind w:left="182"/>
              <w:rPr>
                <w:sz w:val="28"/>
              </w:rPr>
            </w:pPr>
            <w:r>
              <w:rPr>
                <w:sz w:val="28"/>
              </w:rPr>
              <w:t>75,93%</w:t>
            </w:r>
          </w:p>
          <w:p>
            <w:pPr>
              <w:pStyle w:val="TableParagraph"/>
              <w:ind w:left="207"/>
              <w:rPr>
                <w:sz w:val="28"/>
              </w:rPr>
            </w:pPr>
            <w:r>
              <w:rPr>
                <w:sz w:val="28"/>
              </w:rPr>
              <w:t>- 100%</w:t>
            </w:r>
          </w:p>
        </w:tc>
        <w:tc>
          <w:tcPr>
            <w:tcW w:w="850" w:type="dxa"/>
          </w:tcPr>
          <w:p>
            <w:pPr/>
          </w:p>
        </w:tc>
      </w:tr>
      <w:tr>
        <w:trPr>
          <w:trHeight w:val="1889" w:hRule="exact"/>
        </w:trPr>
        <w:tc>
          <w:tcPr>
            <w:tcW w:w="1985" w:type="dxa"/>
            <w:vMerge/>
          </w:tcPr>
          <w:p>
            <w:pPr/>
          </w:p>
        </w:tc>
        <w:tc>
          <w:tcPr>
            <w:tcW w:w="1527" w:type="dxa"/>
          </w:tcPr>
          <w:p>
            <w:pPr>
              <w:pStyle w:val="TableParagraph"/>
              <w:spacing w:before="5"/>
              <w:rPr>
                <w:sz w:val="30"/>
              </w:rPr>
            </w:pPr>
          </w:p>
          <w:p>
            <w:pPr>
              <w:pStyle w:val="TableParagraph"/>
              <w:ind w:left="295" w:right="173" w:firstLine="132"/>
              <w:rPr>
                <w:sz w:val="28"/>
              </w:rPr>
            </w:pPr>
            <w:r>
              <w:rPr>
                <w:sz w:val="28"/>
              </w:rPr>
              <w:t>ложно положи- тельным</w:t>
            </w:r>
          </w:p>
        </w:tc>
        <w:tc>
          <w:tcPr>
            <w:tcW w:w="1275" w:type="dxa"/>
          </w:tcPr>
          <w:p>
            <w:pPr>
              <w:pStyle w:val="TableParagraph"/>
              <w:rPr>
                <w:sz w:val="30"/>
              </w:rPr>
            </w:pPr>
          </w:p>
          <w:p>
            <w:pPr>
              <w:pStyle w:val="TableParagraph"/>
              <w:spacing w:before="5"/>
              <w:rPr>
                <w:sz w:val="28"/>
              </w:rPr>
            </w:pPr>
          </w:p>
          <w:p>
            <w:pPr>
              <w:pStyle w:val="TableParagraph"/>
              <w:ind w:right="145"/>
              <w:jc w:val="right"/>
              <w:rPr>
                <w:sz w:val="28"/>
              </w:rPr>
            </w:pPr>
            <w:r>
              <w:rPr>
                <w:sz w:val="28"/>
              </w:rPr>
              <w:t>14,28%</w:t>
            </w:r>
          </w:p>
        </w:tc>
        <w:tc>
          <w:tcPr>
            <w:tcW w:w="1135" w:type="dxa"/>
          </w:tcPr>
          <w:p>
            <w:pPr>
              <w:pStyle w:val="TableParagraph"/>
              <w:spacing w:before="5"/>
              <w:rPr>
                <w:sz w:val="44"/>
              </w:rPr>
            </w:pPr>
          </w:p>
          <w:p>
            <w:pPr>
              <w:pStyle w:val="TableParagraph"/>
              <w:spacing w:line="322" w:lineRule="exact"/>
              <w:ind w:left="170"/>
              <w:rPr>
                <w:sz w:val="28"/>
              </w:rPr>
            </w:pPr>
            <w:r>
              <w:rPr>
                <w:sz w:val="28"/>
              </w:rPr>
              <w:t>2,51% -</w:t>
            </w:r>
          </w:p>
          <w:p>
            <w:pPr>
              <w:pStyle w:val="TableParagraph"/>
              <w:ind w:left="182"/>
              <w:rPr>
                <w:sz w:val="28"/>
              </w:rPr>
            </w:pPr>
            <w:r>
              <w:rPr>
                <w:sz w:val="28"/>
              </w:rPr>
              <w:t>43,85%</w:t>
            </w:r>
          </w:p>
        </w:tc>
        <w:tc>
          <w:tcPr>
            <w:tcW w:w="1133" w:type="dxa"/>
          </w:tcPr>
          <w:p>
            <w:pPr>
              <w:pStyle w:val="TableParagraph"/>
              <w:rPr>
                <w:sz w:val="30"/>
              </w:rPr>
            </w:pPr>
          </w:p>
          <w:p>
            <w:pPr>
              <w:pStyle w:val="TableParagraph"/>
              <w:spacing w:before="5"/>
              <w:rPr>
                <w:sz w:val="28"/>
              </w:rPr>
            </w:pPr>
          </w:p>
          <w:p>
            <w:pPr>
              <w:pStyle w:val="TableParagraph"/>
              <w:ind w:left="101"/>
              <w:jc w:val="center"/>
              <w:rPr>
                <w:sz w:val="28"/>
              </w:rPr>
            </w:pPr>
            <w:r>
              <w:rPr>
                <w:w w:val="100"/>
                <w:sz w:val="28"/>
              </w:rPr>
              <w:t>0</w:t>
            </w:r>
          </w:p>
        </w:tc>
        <w:tc>
          <w:tcPr>
            <w:tcW w:w="1136" w:type="dxa"/>
          </w:tcPr>
          <w:p>
            <w:pPr>
              <w:pStyle w:val="TableParagraph"/>
              <w:spacing w:before="5"/>
              <w:rPr>
                <w:sz w:val="44"/>
              </w:rPr>
            </w:pPr>
          </w:p>
          <w:p>
            <w:pPr>
              <w:pStyle w:val="TableParagraph"/>
              <w:spacing w:line="322" w:lineRule="exact"/>
              <w:ind w:left="162" w:right="59"/>
              <w:jc w:val="center"/>
              <w:rPr>
                <w:sz w:val="28"/>
              </w:rPr>
            </w:pPr>
            <w:r>
              <w:rPr>
                <w:sz w:val="28"/>
              </w:rPr>
              <w:t>0% -</w:t>
            </w:r>
          </w:p>
          <w:p>
            <w:pPr>
              <w:pStyle w:val="TableParagraph"/>
              <w:ind w:left="163" w:right="59"/>
              <w:jc w:val="center"/>
              <w:rPr>
                <w:sz w:val="28"/>
              </w:rPr>
            </w:pPr>
            <w:r>
              <w:rPr>
                <w:sz w:val="28"/>
              </w:rPr>
              <w:t>24,07%</w:t>
            </w:r>
          </w:p>
        </w:tc>
        <w:tc>
          <w:tcPr>
            <w:tcW w:w="850" w:type="dxa"/>
          </w:tcPr>
          <w:p>
            <w:pPr/>
          </w:p>
        </w:tc>
      </w:tr>
      <w:tr>
        <w:trPr>
          <w:trHeight w:val="1176" w:hRule="exact"/>
        </w:trPr>
        <w:tc>
          <w:tcPr>
            <w:tcW w:w="1985" w:type="dxa"/>
            <w:vMerge w:val="restart"/>
          </w:tcPr>
          <w:p>
            <w:pPr>
              <w:pStyle w:val="TableParagraph"/>
              <w:spacing w:line="315" w:lineRule="exact"/>
              <w:ind w:left="37" w:right="14"/>
              <w:jc w:val="center"/>
              <w:rPr>
                <w:sz w:val="28"/>
              </w:rPr>
            </w:pPr>
            <w:r>
              <w:rPr>
                <w:sz w:val="28"/>
              </w:rPr>
              <w:t>(NPV)</w:t>
            </w:r>
          </w:p>
          <w:p>
            <w:pPr>
              <w:pStyle w:val="TableParagraph"/>
              <w:spacing w:before="201"/>
              <w:ind w:left="38" w:right="14"/>
              <w:jc w:val="center"/>
              <w:rPr>
                <w:sz w:val="28"/>
              </w:rPr>
            </w:pPr>
            <w:r>
              <w:rPr>
                <w:sz w:val="28"/>
              </w:rPr>
              <w:t>Для каждого отрицательного результата вероятность того, что он будет</w:t>
            </w:r>
          </w:p>
        </w:tc>
        <w:tc>
          <w:tcPr>
            <w:tcW w:w="1527" w:type="dxa"/>
          </w:tcPr>
          <w:p>
            <w:pPr>
              <w:pStyle w:val="TableParagraph"/>
              <w:ind w:left="139" w:right="34" w:firstLine="1"/>
              <w:jc w:val="center"/>
              <w:rPr>
                <w:sz w:val="28"/>
              </w:rPr>
            </w:pPr>
            <w:r>
              <w:rPr>
                <w:sz w:val="28"/>
              </w:rPr>
              <w:t>истинно отрицатель ным</w:t>
            </w:r>
          </w:p>
        </w:tc>
        <w:tc>
          <w:tcPr>
            <w:tcW w:w="1275" w:type="dxa"/>
          </w:tcPr>
          <w:p>
            <w:pPr>
              <w:pStyle w:val="TableParagraph"/>
              <w:spacing w:before="4"/>
              <w:rPr>
                <w:sz w:val="27"/>
              </w:rPr>
            </w:pPr>
          </w:p>
          <w:p>
            <w:pPr>
              <w:pStyle w:val="TableParagraph"/>
              <w:ind w:right="145"/>
              <w:jc w:val="right"/>
              <w:rPr>
                <w:sz w:val="28"/>
              </w:rPr>
            </w:pPr>
            <w:r>
              <w:rPr>
                <w:sz w:val="28"/>
              </w:rPr>
              <w:t>26,47%</w:t>
            </w:r>
          </w:p>
        </w:tc>
        <w:tc>
          <w:tcPr>
            <w:tcW w:w="1135" w:type="dxa"/>
          </w:tcPr>
          <w:p>
            <w:pPr>
              <w:pStyle w:val="TableParagraph"/>
              <w:spacing w:line="315" w:lineRule="exact"/>
              <w:ind w:left="163" w:right="58"/>
              <w:jc w:val="center"/>
              <w:rPr>
                <w:sz w:val="28"/>
              </w:rPr>
            </w:pPr>
            <w:r>
              <w:rPr>
                <w:sz w:val="28"/>
              </w:rPr>
              <w:t>13,51%</w:t>
            </w:r>
          </w:p>
          <w:p>
            <w:pPr>
              <w:pStyle w:val="TableParagraph"/>
              <w:spacing w:line="242" w:lineRule="auto"/>
              <w:ind w:left="163" w:right="56"/>
              <w:jc w:val="center"/>
              <w:rPr>
                <w:sz w:val="28"/>
              </w:rPr>
            </w:pPr>
            <w:r>
              <w:rPr>
                <w:sz w:val="28"/>
              </w:rPr>
              <w:t>-     44,65%</w:t>
            </w:r>
          </w:p>
        </w:tc>
        <w:tc>
          <w:tcPr>
            <w:tcW w:w="1133" w:type="dxa"/>
          </w:tcPr>
          <w:p>
            <w:pPr>
              <w:pStyle w:val="TableParagraph"/>
              <w:spacing w:before="4"/>
              <w:rPr>
                <w:sz w:val="27"/>
              </w:rPr>
            </w:pPr>
          </w:p>
          <w:p>
            <w:pPr>
              <w:pStyle w:val="TableParagraph"/>
              <w:ind w:left="160" w:right="58"/>
              <w:jc w:val="center"/>
              <w:rPr>
                <w:sz w:val="28"/>
              </w:rPr>
            </w:pPr>
            <w:r>
              <w:rPr>
                <w:sz w:val="28"/>
              </w:rPr>
              <w:t>34,37%</w:t>
            </w:r>
          </w:p>
        </w:tc>
        <w:tc>
          <w:tcPr>
            <w:tcW w:w="1136" w:type="dxa"/>
          </w:tcPr>
          <w:p>
            <w:pPr>
              <w:pStyle w:val="TableParagraph"/>
              <w:spacing w:line="315" w:lineRule="exact"/>
              <w:ind w:left="163" w:right="59"/>
              <w:jc w:val="center"/>
              <w:rPr>
                <w:sz w:val="28"/>
              </w:rPr>
            </w:pPr>
            <w:r>
              <w:rPr>
                <w:sz w:val="28"/>
              </w:rPr>
              <w:t>19,17%</w:t>
            </w:r>
          </w:p>
          <w:p>
            <w:pPr>
              <w:pStyle w:val="TableParagraph"/>
              <w:spacing w:line="242" w:lineRule="auto"/>
              <w:ind w:left="182" w:right="75" w:firstLine="1"/>
              <w:jc w:val="center"/>
              <w:rPr>
                <w:sz w:val="28"/>
              </w:rPr>
            </w:pPr>
            <w:r>
              <w:rPr>
                <w:sz w:val="28"/>
              </w:rPr>
              <w:t>-     53,22%</w:t>
            </w:r>
          </w:p>
        </w:tc>
        <w:tc>
          <w:tcPr>
            <w:tcW w:w="850" w:type="dxa"/>
          </w:tcPr>
          <w:p>
            <w:pPr/>
          </w:p>
        </w:tc>
      </w:tr>
      <w:tr>
        <w:trPr>
          <w:trHeight w:val="1488" w:hRule="exact"/>
        </w:trPr>
        <w:tc>
          <w:tcPr>
            <w:tcW w:w="1985" w:type="dxa"/>
            <w:vMerge/>
          </w:tcPr>
          <w:p>
            <w:pPr/>
          </w:p>
        </w:tc>
        <w:tc>
          <w:tcPr>
            <w:tcW w:w="1527" w:type="dxa"/>
          </w:tcPr>
          <w:p>
            <w:pPr>
              <w:pStyle w:val="TableParagraph"/>
              <w:spacing w:before="149"/>
              <w:ind w:left="139" w:right="34" w:hanging="1"/>
              <w:jc w:val="center"/>
              <w:rPr>
                <w:sz w:val="28"/>
              </w:rPr>
            </w:pPr>
            <w:r>
              <w:rPr>
                <w:sz w:val="28"/>
              </w:rPr>
              <w:t>ложно отрицатель ным</w:t>
            </w:r>
          </w:p>
        </w:tc>
        <w:tc>
          <w:tcPr>
            <w:tcW w:w="1275" w:type="dxa"/>
          </w:tcPr>
          <w:p>
            <w:pPr>
              <w:pStyle w:val="TableParagraph"/>
              <w:spacing w:before="10"/>
              <w:rPr>
                <w:sz w:val="40"/>
              </w:rPr>
            </w:pPr>
          </w:p>
          <w:p>
            <w:pPr>
              <w:pStyle w:val="TableParagraph"/>
              <w:ind w:right="145"/>
              <w:jc w:val="right"/>
              <w:rPr>
                <w:sz w:val="28"/>
              </w:rPr>
            </w:pPr>
            <w:r>
              <w:rPr>
                <w:sz w:val="28"/>
              </w:rPr>
              <w:t>73,53%</w:t>
            </w:r>
          </w:p>
        </w:tc>
        <w:tc>
          <w:tcPr>
            <w:tcW w:w="1135" w:type="dxa"/>
          </w:tcPr>
          <w:p>
            <w:pPr>
              <w:pStyle w:val="TableParagraph"/>
              <w:spacing w:line="322" w:lineRule="exact" w:before="149"/>
              <w:ind w:left="163" w:right="58"/>
              <w:jc w:val="center"/>
              <w:rPr>
                <w:sz w:val="28"/>
              </w:rPr>
            </w:pPr>
            <w:r>
              <w:rPr>
                <w:sz w:val="28"/>
              </w:rPr>
              <w:t>55,35%</w:t>
            </w:r>
          </w:p>
          <w:p>
            <w:pPr>
              <w:pStyle w:val="TableParagraph"/>
              <w:spacing w:line="242" w:lineRule="auto"/>
              <w:ind w:left="163" w:right="56"/>
              <w:jc w:val="center"/>
              <w:rPr>
                <w:sz w:val="28"/>
              </w:rPr>
            </w:pPr>
            <w:r>
              <w:rPr>
                <w:sz w:val="28"/>
              </w:rPr>
              <w:t>-     86,49%</w:t>
            </w:r>
          </w:p>
        </w:tc>
        <w:tc>
          <w:tcPr>
            <w:tcW w:w="1133" w:type="dxa"/>
          </w:tcPr>
          <w:p>
            <w:pPr>
              <w:pStyle w:val="TableParagraph"/>
              <w:spacing w:before="10"/>
              <w:rPr>
                <w:sz w:val="40"/>
              </w:rPr>
            </w:pPr>
          </w:p>
          <w:p>
            <w:pPr>
              <w:pStyle w:val="TableParagraph"/>
              <w:ind w:left="160" w:right="58"/>
              <w:jc w:val="center"/>
              <w:rPr>
                <w:sz w:val="28"/>
              </w:rPr>
            </w:pPr>
            <w:r>
              <w:rPr>
                <w:sz w:val="28"/>
              </w:rPr>
              <w:t>65,62%</w:t>
            </w:r>
          </w:p>
        </w:tc>
        <w:tc>
          <w:tcPr>
            <w:tcW w:w="1136" w:type="dxa"/>
          </w:tcPr>
          <w:p>
            <w:pPr>
              <w:pStyle w:val="TableParagraph"/>
              <w:spacing w:line="322" w:lineRule="exact" w:before="149"/>
              <w:ind w:left="163" w:right="59"/>
              <w:jc w:val="center"/>
              <w:rPr>
                <w:sz w:val="28"/>
              </w:rPr>
            </w:pPr>
            <w:r>
              <w:rPr>
                <w:sz w:val="28"/>
              </w:rPr>
              <w:t>46,77%</w:t>
            </w:r>
          </w:p>
          <w:p>
            <w:pPr>
              <w:pStyle w:val="TableParagraph"/>
              <w:spacing w:line="242" w:lineRule="auto"/>
              <w:ind w:left="182" w:right="75" w:firstLine="1"/>
              <w:jc w:val="center"/>
              <w:rPr>
                <w:sz w:val="28"/>
              </w:rPr>
            </w:pPr>
            <w:r>
              <w:rPr>
                <w:sz w:val="28"/>
              </w:rPr>
              <w:t>-     80,83%</w:t>
            </w:r>
          </w:p>
        </w:tc>
        <w:tc>
          <w:tcPr>
            <w:tcW w:w="850" w:type="dxa"/>
          </w:tcPr>
          <w:p>
            <w:pPr/>
          </w:p>
        </w:tc>
      </w:tr>
    </w:tbl>
    <w:p>
      <w:pPr>
        <w:spacing w:after="0"/>
        <w:sectPr>
          <w:pgSz w:w="11900" w:h="16850"/>
          <w:pgMar w:header="712" w:footer="0" w:top="1020" w:bottom="280" w:left="1580" w:right="1020"/>
        </w:sectPr>
      </w:pPr>
    </w:p>
    <w:p>
      <w:pPr>
        <w:pStyle w:val="BodyText"/>
        <w:rPr>
          <w:sz w:val="20"/>
        </w:rPr>
      </w:pPr>
    </w:p>
    <w:p>
      <w:pPr>
        <w:pStyle w:val="BodyText"/>
        <w:rPr>
          <w:sz w:val="20"/>
        </w:rPr>
      </w:pPr>
    </w:p>
    <w:p>
      <w:pPr>
        <w:pStyle w:val="BodyText"/>
        <w:spacing w:line="360" w:lineRule="auto" w:before="224"/>
        <w:ind w:left="102" w:right="127" w:firstLine="347"/>
        <w:jc w:val="both"/>
      </w:pPr>
      <w:r>
        <w:rPr/>
        <w:t>Прослеживается тенденция к более высокой чувствительности МРТ по сравнению с УЗИ, хотя статистически значимой разницы не получено (p=0,125).</w:t>
      </w:r>
    </w:p>
    <w:p>
      <w:pPr>
        <w:pStyle w:val="BodyText"/>
        <w:spacing w:line="360" w:lineRule="auto" w:before="207"/>
        <w:ind w:left="102" w:right="116" w:firstLine="278"/>
        <w:jc w:val="both"/>
      </w:pPr>
      <w:r>
        <w:rPr/>
        <w:t>Из представленных выше рассуждений можно заключить, что на сегодняшний день наиболее информативным способом оценки местного распространения опухоли шейки матки по-прежнему остается ректо- вагинальное исследование при достаточном опыте врача.</w:t>
      </w:r>
    </w:p>
    <w:p>
      <w:pPr>
        <w:pStyle w:val="BodyText"/>
        <w:spacing w:line="360" w:lineRule="auto" w:before="207"/>
        <w:ind w:left="102" w:right="126" w:firstLine="347"/>
        <w:jc w:val="both"/>
      </w:pPr>
      <w:r>
        <w:rPr/>
        <w:t>Несколько более оптимистичными представляются возможности методов лучевой диагностики в оценке состояния парааортальных и тазовых лимфатических узлов у больных раком шейки матки.</w:t>
      </w:r>
    </w:p>
    <w:p>
      <w:pPr>
        <w:pStyle w:val="BodyText"/>
        <w:spacing w:line="360" w:lineRule="auto" w:before="207"/>
        <w:ind w:left="102" w:right="119" w:firstLine="347"/>
        <w:jc w:val="both"/>
      </w:pPr>
      <w:r>
        <w:rPr/>
        <w:t>По данным клинического стадирования у 28 пациенток установлено метастатическое поражение тазовых лимфатических узлов. Из них после выполненных лапароскопических операций морфологически подтверждены 19 (67,8%).  </w:t>
      </w:r>
      <w:r>
        <w:rPr>
          <w:spacing w:val="-2"/>
        </w:rPr>
        <w:t>При</w:t>
      </w:r>
      <w:r>
        <w:rPr>
          <w:spacing w:val="66"/>
        </w:rPr>
        <w:t> </w:t>
      </w:r>
      <w:r>
        <w:rPr/>
        <w:t>более  подробном  рассмотрении оказалось, что приблизительно в каждом четвертом – пятом наблюдении присутствовала как гипо-, так и гипердиагностика. Только у одной пациентки при гистологическом исследовании обнаружены микрометастазы в тазовых и в парааортальных лимфатических узлах, которые не могли быть выявлены с помощью неинвазивных методов исследования (Таблица</w:t>
      </w:r>
      <w:r>
        <w:rPr>
          <w:spacing w:val="-9"/>
        </w:rPr>
        <w:t> </w:t>
      </w:r>
      <w:r>
        <w:rPr/>
        <w:t>4.11).</w:t>
      </w:r>
    </w:p>
    <w:p>
      <w:pPr>
        <w:spacing w:after="0" w:line="360" w:lineRule="auto"/>
        <w:jc w:val="both"/>
        <w:sectPr>
          <w:pgSz w:w="11900" w:h="16850"/>
          <w:pgMar w:header="712" w:footer="0" w:top="1020" w:bottom="280" w:left="1600" w:right="1000"/>
        </w:sectPr>
      </w:pPr>
    </w:p>
    <w:p>
      <w:pPr>
        <w:pStyle w:val="BodyText"/>
        <w:rPr>
          <w:sz w:val="20"/>
        </w:rPr>
      </w:pPr>
    </w:p>
    <w:p>
      <w:pPr>
        <w:pStyle w:val="BodyText"/>
        <w:rPr>
          <w:sz w:val="20"/>
        </w:rPr>
      </w:pPr>
    </w:p>
    <w:p>
      <w:pPr>
        <w:pStyle w:val="BodyText"/>
        <w:spacing w:before="224"/>
        <w:ind w:left="7630"/>
      </w:pPr>
      <w:r>
        <w:rPr/>
        <w:t>Таблица 4.11</w:t>
      </w:r>
    </w:p>
    <w:p>
      <w:pPr>
        <w:pStyle w:val="BodyText"/>
        <w:spacing w:before="3"/>
        <w:rPr>
          <w:sz w:val="31"/>
        </w:rPr>
      </w:pPr>
    </w:p>
    <w:p>
      <w:pPr>
        <w:pStyle w:val="BodyText"/>
        <w:spacing w:line="362" w:lineRule="auto"/>
        <w:ind w:left="1660" w:right="195" w:hanging="1455"/>
      </w:pPr>
      <w:r>
        <w:rPr/>
        <w:t>Сопоставление результатов клинического и хирургического стадирования в оценке состояния тазовых лимфатических узлов</w:t>
      </w:r>
    </w:p>
    <w:p>
      <w:pPr>
        <w:pStyle w:val="BodyText"/>
        <w:rPr>
          <w:sz w:val="20"/>
        </w:rPr>
      </w:pPr>
    </w:p>
    <w:p>
      <w:pPr>
        <w:pStyle w:val="BodyText"/>
        <w:rPr>
          <w:sz w:val="20"/>
        </w:rPr>
      </w:pPr>
    </w:p>
    <w:p>
      <w:pPr>
        <w:pStyle w:val="BodyText"/>
        <w:rPr>
          <w:sz w:val="20"/>
        </w:rPr>
      </w:pPr>
    </w:p>
    <w:p>
      <w:pPr>
        <w:pStyle w:val="BodyText"/>
        <w:spacing w:before="6" w:after="1"/>
        <w:rPr>
          <w:sz w:val="1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1844"/>
        <w:gridCol w:w="1985"/>
        <w:gridCol w:w="1700"/>
        <w:gridCol w:w="1702"/>
      </w:tblGrid>
      <w:tr>
        <w:trPr>
          <w:trHeight w:val="1376" w:hRule="exact"/>
        </w:trPr>
        <w:tc>
          <w:tcPr>
            <w:tcW w:w="1843" w:type="dxa"/>
            <w:vMerge w:val="restart"/>
          </w:tcPr>
          <w:p>
            <w:pPr>
              <w:pStyle w:val="TableParagraph"/>
              <w:rPr>
                <w:sz w:val="30"/>
              </w:rPr>
            </w:pPr>
          </w:p>
          <w:p>
            <w:pPr>
              <w:pStyle w:val="TableParagraph"/>
              <w:rPr>
                <w:sz w:val="30"/>
              </w:rPr>
            </w:pPr>
          </w:p>
          <w:p>
            <w:pPr>
              <w:pStyle w:val="TableParagraph"/>
              <w:spacing w:line="360" w:lineRule="auto" w:before="242"/>
              <w:ind w:left="163" w:right="163" w:hanging="1"/>
              <w:jc w:val="center"/>
              <w:rPr>
                <w:sz w:val="28"/>
              </w:rPr>
            </w:pPr>
            <w:r>
              <w:rPr>
                <w:sz w:val="28"/>
              </w:rPr>
              <w:t>Метод лучевой диагностики</w:t>
            </w:r>
          </w:p>
        </w:tc>
        <w:tc>
          <w:tcPr>
            <w:tcW w:w="7230" w:type="dxa"/>
            <w:gridSpan w:val="4"/>
          </w:tcPr>
          <w:p>
            <w:pPr>
              <w:pStyle w:val="TableParagraph"/>
              <w:spacing w:line="508" w:lineRule="auto"/>
              <w:ind w:left="3226" w:right="1832" w:hanging="1378"/>
              <w:rPr>
                <w:sz w:val="28"/>
              </w:rPr>
            </w:pPr>
            <w:r>
              <w:rPr>
                <w:sz w:val="28"/>
              </w:rPr>
              <w:t>Хирургическое стадирование (n=57)</w:t>
            </w:r>
          </w:p>
        </w:tc>
      </w:tr>
      <w:tr>
        <w:trPr>
          <w:trHeight w:val="581" w:hRule="exact"/>
        </w:trPr>
        <w:tc>
          <w:tcPr>
            <w:tcW w:w="1843" w:type="dxa"/>
            <w:vMerge/>
          </w:tcPr>
          <w:p>
            <w:pPr/>
          </w:p>
        </w:tc>
        <w:tc>
          <w:tcPr>
            <w:tcW w:w="3829" w:type="dxa"/>
            <w:gridSpan w:val="2"/>
          </w:tcPr>
          <w:p>
            <w:pPr>
              <w:pStyle w:val="TableParagraph"/>
              <w:spacing w:line="315" w:lineRule="exact"/>
              <w:ind w:left="1450" w:right="1450"/>
              <w:jc w:val="center"/>
              <w:rPr>
                <w:sz w:val="28"/>
              </w:rPr>
            </w:pPr>
            <w:r>
              <w:rPr>
                <w:sz w:val="28"/>
              </w:rPr>
              <w:t>N1 (19)</w:t>
            </w:r>
          </w:p>
        </w:tc>
        <w:tc>
          <w:tcPr>
            <w:tcW w:w="3401" w:type="dxa"/>
            <w:gridSpan w:val="2"/>
          </w:tcPr>
          <w:p>
            <w:pPr>
              <w:pStyle w:val="TableParagraph"/>
              <w:spacing w:line="315" w:lineRule="exact"/>
              <w:ind w:left="1236" w:right="1237"/>
              <w:jc w:val="center"/>
              <w:rPr>
                <w:sz w:val="28"/>
              </w:rPr>
            </w:pPr>
            <w:r>
              <w:rPr>
                <w:sz w:val="28"/>
              </w:rPr>
              <w:t>N0 (38)</w:t>
            </w:r>
          </w:p>
        </w:tc>
      </w:tr>
      <w:tr>
        <w:trPr>
          <w:trHeight w:val="2261" w:hRule="exact"/>
        </w:trPr>
        <w:tc>
          <w:tcPr>
            <w:tcW w:w="1843" w:type="dxa"/>
            <w:vMerge/>
          </w:tcPr>
          <w:p>
            <w:pPr/>
          </w:p>
        </w:tc>
        <w:tc>
          <w:tcPr>
            <w:tcW w:w="1844" w:type="dxa"/>
          </w:tcPr>
          <w:p>
            <w:pPr>
              <w:pStyle w:val="TableParagraph"/>
              <w:spacing w:line="276" w:lineRule="auto"/>
              <w:ind w:left="134" w:right="134"/>
              <w:jc w:val="center"/>
              <w:rPr>
                <w:sz w:val="28"/>
              </w:rPr>
            </w:pPr>
            <w:r>
              <w:rPr>
                <w:sz w:val="28"/>
              </w:rPr>
              <w:t>Совпадение результатов</w:t>
            </w:r>
          </w:p>
          <w:p>
            <w:pPr>
              <w:pStyle w:val="TableParagraph"/>
              <w:spacing w:before="209"/>
              <w:ind w:left="134" w:right="134"/>
              <w:jc w:val="center"/>
              <w:rPr>
                <w:sz w:val="28"/>
              </w:rPr>
            </w:pPr>
            <w:r>
              <w:rPr>
                <w:sz w:val="28"/>
              </w:rPr>
              <w:t>(n, %)</w:t>
            </w:r>
          </w:p>
        </w:tc>
        <w:tc>
          <w:tcPr>
            <w:tcW w:w="1985" w:type="dxa"/>
          </w:tcPr>
          <w:p>
            <w:pPr>
              <w:pStyle w:val="TableParagraph"/>
              <w:spacing w:line="276" w:lineRule="auto"/>
              <w:ind w:left="108" w:right="107"/>
              <w:jc w:val="center"/>
              <w:rPr>
                <w:sz w:val="28"/>
              </w:rPr>
            </w:pPr>
            <w:r>
              <w:rPr>
                <w:sz w:val="28"/>
              </w:rPr>
              <w:t>Не совпадение результатов</w:t>
            </w:r>
          </w:p>
          <w:p>
            <w:pPr>
              <w:pStyle w:val="TableParagraph"/>
              <w:spacing w:before="209"/>
              <w:ind w:left="106" w:right="107"/>
              <w:jc w:val="center"/>
              <w:rPr>
                <w:sz w:val="28"/>
              </w:rPr>
            </w:pPr>
            <w:r>
              <w:rPr>
                <w:sz w:val="28"/>
              </w:rPr>
              <w:t>(n, %)</w:t>
            </w:r>
          </w:p>
        </w:tc>
        <w:tc>
          <w:tcPr>
            <w:tcW w:w="1700" w:type="dxa"/>
          </w:tcPr>
          <w:p>
            <w:pPr>
              <w:pStyle w:val="TableParagraph"/>
              <w:spacing w:line="276" w:lineRule="auto"/>
              <w:ind w:left="129" w:right="133" w:hanging="1"/>
              <w:jc w:val="center"/>
              <w:rPr>
                <w:sz w:val="28"/>
              </w:rPr>
            </w:pPr>
            <w:r>
              <w:rPr>
                <w:sz w:val="28"/>
              </w:rPr>
              <w:t>Совпадение результатов (n, %)</w:t>
            </w:r>
          </w:p>
        </w:tc>
        <w:tc>
          <w:tcPr>
            <w:tcW w:w="1702" w:type="dxa"/>
          </w:tcPr>
          <w:p>
            <w:pPr>
              <w:pStyle w:val="TableParagraph"/>
              <w:spacing w:line="276" w:lineRule="auto"/>
              <w:ind w:left="283" w:right="286" w:firstLine="4"/>
              <w:jc w:val="center"/>
              <w:rPr>
                <w:sz w:val="28"/>
              </w:rPr>
            </w:pPr>
            <w:r>
              <w:rPr>
                <w:sz w:val="28"/>
              </w:rPr>
              <w:t>Несовпа- дение результа- тов</w:t>
            </w:r>
          </w:p>
          <w:p>
            <w:pPr>
              <w:pStyle w:val="TableParagraph"/>
              <w:spacing w:before="207"/>
              <w:ind w:left="312" w:right="312"/>
              <w:jc w:val="center"/>
              <w:rPr>
                <w:sz w:val="28"/>
              </w:rPr>
            </w:pPr>
            <w:r>
              <w:rPr>
                <w:sz w:val="28"/>
              </w:rPr>
              <w:t>(n, %)</w:t>
            </w:r>
          </w:p>
        </w:tc>
      </w:tr>
      <w:tr>
        <w:trPr>
          <w:trHeight w:val="1721" w:hRule="exact"/>
        </w:trPr>
        <w:tc>
          <w:tcPr>
            <w:tcW w:w="1843" w:type="dxa"/>
          </w:tcPr>
          <w:p>
            <w:pPr>
              <w:pStyle w:val="TableParagraph"/>
              <w:rPr>
                <w:sz w:val="44"/>
              </w:rPr>
            </w:pPr>
          </w:p>
          <w:p>
            <w:pPr>
              <w:pStyle w:val="TableParagraph"/>
              <w:ind w:left="608" w:right="608"/>
              <w:jc w:val="center"/>
              <w:rPr>
                <w:sz w:val="28"/>
              </w:rPr>
            </w:pPr>
            <w:r>
              <w:rPr>
                <w:sz w:val="28"/>
              </w:rPr>
              <w:t>УЗИ</w:t>
            </w:r>
          </w:p>
        </w:tc>
        <w:tc>
          <w:tcPr>
            <w:tcW w:w="1844" w:type="dxa"/>
          </w:tcPr>
          <w:p>
            <w:pPr>
              <w:pStyle w:val="TableParagraph"/>
              <w:spacing w:line="315" w:lineRule="exact"/>
              <w:ind w:left="134" w:right="134"/>
              <w:jc w:val="center"/>
              <w:rPr>
                <w:sz w:val="28"/>
              </w:rPr>
            </w:pPr>
            <w:r>
              <w:rPr>
                <w:sz w:val="28"/>
              </w:rPr>
              <w:t>15</w:t>
            </w:r>
          </w:p>
          <w:p>
            <w:pPr>
              <w:pStyle w:val="TableParagraph"/>
              <w:spacing w:before="249"/>
              <w:ind w:left="134" w:right="133"/>
              <w:jc w:val="center"/>
              <w:rPr>
                <w:sz w:val="28"/>
              </w:rPr>
            </w:pPr>
            <w:r>
              <w:rPr>
                <w:sz w:val="28"/>
              </w:rPr>
              <w:t>(78,9)</w:t>
            </w:r>
          </w:p>
        </w:tc>
        <w:tc>
          <w:tcPr>
            <w:tcW w:w="1985" w:type="dxa"/>
          </w:tcPr>
          <w:p>
            <w:pPr>
              <w:pStyle w:val="TableParagraph"/>
              <w:spacing w:line="315" w:lineRule="exact"/>
              <w:ind w:right="1"/>
              <w:jc w:val="center"/>
              <w:rPr>
                <w:sz w:val="28"/>
              </w:rPr>
            </w:pPr>
            <w:r>
              <w:rPr>
                <w:w w:val="100"/>
                <w:sz w:val="28"/>
              </w:rPr>
              <w:t>4</w:t>
            </w:r>
          </w:p>
          <w:p>
            <w:pPr>
              <w:pStyle w:val="TableParagraph"/>
              <w:spacing w:before="249"/>
              <w:ind w:left="106" w:right="107"/>
              <w:jc w:val="center"/>
              <w:rPr>
                <w:sz w:val="28"/>
              </w:rPr>
            </w:pPr>
            <w:r>
              <w:rPr>
                <w:sz w:val="28"/>
              </w:rPr>
              <w:t>(21,1)</w:t>
            </w:r>
          </w:p>
        </w:tc>
        <w:tc>
          <w:tcPr>
            <w:tcW w:w="1700" w:type="dxa"/>
          </w:tcPr>
          <w:p>
            <w:pPr>
              <w:pStyle w:val="TableParagraph"/>
              <w:spacing w:line="315" w:lineRule="exact"/>
              <w:ind w:left="439" w:right="439"/>
              <w:jc w:val="center"/>
              <w:rPr>
                <w:sz w:val="28"/>
              </w:rPr>
            </w:pPr>
            <w:r>
              <w:rPr>
                <w:sz w:val="28"/>
              </w:rPr>
              <w:t>24</w:t>
            </w:r>
          </w:p>
          <w:p>
            <w:pPr>
              <w:pStyle w:val="TableParagraph"/>
              <w:spacing w:before="249"/>
              <w:ind w:left="439" w:right="441"/>
              <w:jc w:val="center"/>
              <w:rPr>
                <w:sz w:val="28"/>
              </w:rPr>
            </w:pPr>
            <w:r>
              <w:rPr>
                <w:sz w:val="28"/>
              </w:rPr>
              <w:t>(63,2)</w:t>
            </w:r>
          </w:p>
        </w:tc>
        <w:tc>
          <w:tcPr>
            <w:tcW w:w="1702" w:type="dxa"/>
          </w:tcPr>
          <w:p>
            <w:pPr>
              <w:pStyle w:val="TableParagraph"/>
              <w:spacing w:line="315" w:lineRule="exact"/>
              <w:ind w:left="312" w:right="310"/>
              <w:jc w:val="center"/>
              <w:rPr>
                <w:sz w:val="28"/>
              </w:rPr>
            </w:pPr>
            <w:r>
              <w:rPr>
                <w:sz w:val="28"/>
              </w:rPr>
              <w:t>14</w:t>
            </w:r>
          </w:p>
          <w:p>
            <w:pPr>
              <w:pStyle w:val="TableParagraph"/>
              <w:spacing w:before="249"/>
              <w:ind w:left="311" w:right="312"/>
              <w:jc w:val="center"/>
              <w:rPr>
                <w:sz w:val="28"/>
              </w:rPr>
            </w:pPr>
            <w:r>
              <w:rPr>
                <w:sz w:val="28"/>
              </w:rPr>
              <w:t>(36,8)</w:t>
            </w:r>
          </w:p>
        </w:tc>
      </w:tr>
      <w:tr>
        <w:trPr>
          <w:trHeight w:val="1721" w:hRule="exact"/>
        </w:trPr>
        <w:tc>
          <w:tcPr>
            <w:tcW w:w="1843" w:type="dxa"/>
          </w:tcPr>
          <w:p>
            <w:pPr>
              <w:pStyle w:val="TableParagraph"/>
              <w:rPr>
                <w:sz w:val="44"/>
              </w:rPr>
            </w:pPr>
          </w:p>
          <w:p>
            <w:pPr>
              <w:pStyle w:val="TableParagraph"/>
              <w:ind w:left="609" w:right="608"/>
              <w:jc w:val="center"/>
              <w:rPr>
                <w:sz w:val="28"/>
              </w:rPr>
            </w:pPr>
            <w:r>
              <w:rPr>
                <w:sz w:val="28"/>
              </w:rPr>
              <w:t>МРТ</w:t>
            </w:r>
          </w:p>
        </w:tc>
        <w:tc>
          <w:tcPr>
            <w:tcW w:w="1844" w:type="dxa"/>
          </w:tcPr>
          <w:p>
            <w:pPr>
              <w:pStyle w:val="TableParagraph"/>
              <w:spacing w:line="315" w:lineRule="exact"/>
              <w:ind w:left="134" w:right="134"/>
              <w:jc w:val="center"/>
              <w:rPr>
                <w:sz w:val="28"/>
              </w:rPr>
            </w:pPr>
            <w:r>
              <w:rPr>
                <w:sz w:val="28"/>
              </w:rPr>
              <w:t>16</w:t>
            </w:r>
          </w:p>
          <w:p>
            <w:pPr>
              <w:pStyle w:val="TableParagraph"/>
              <w:spacing w:before="249"/>
              <w:ind w:left="134" w:right="133"/>
              <w:jc w:val="center"/>
              <w:rPr>
                <w:sz w:val="28"/>
              </w:rPr>
            </w:pPr>
            <w:r>
              <w:rPr>
                <w:sz w:val="28"/>
              </w:rPr>
              <w:t>(84,2)</w:t>
            </w:r>
          </w:p>
        </w:tc>
        <w:tc>
          <w:tcPr>
            <w:tcW w:w="1985" w:type="dxa"/>
          </w:tcPr>
          <w:p>
            <w:pPr>
              <w:pStyle w:val="TableParagraph"/>
              <w:spacing w:line="315" w:lineRule="exact"/>
              <w:ind w:right="1"/>
              <w:jc w:val="center"/>
              <w:rPr>
                <w:sz w:val="28"/>
              </w:rPr>
            </w:pPr>
            <w:r>
              <w:rPr>
                <w:w w:val="100"/>
                <w:sz w:val="28"/>
              </w:rPr>
              <w:t>3</w:t>
            </w:r>
          </w:p>
          <w:p>
            <w:pPr>
              <w:pStyle w:val="TableParagraph"/>
              <w:spacing w:before="249"/>
              <w:ind w:left="106" w:right="107"/>
              <w:jc w:val="center"/>
              <w:rPr>
                <w:sz w:val="28"/>
              </w:rPr>
            </w:pPr>
            <w:r>
              <w:rPr>
                <w:sz w:val="28"/>
              </w:rPr>
              <w:t>(15,8)</w:t>
            </w:r>
          </w:p>
        </w:tc>
        <w:tc>
          <w:tcPr>
            <w:tcW w:w="1700" w:type="dxa"/>
          </w:tcPr>
          <w:p>
            <w:pPr>
              <w:pStyle w:val="TableParagraph"/>
              <w:spacing w:line="315" w:lineRule="exact"/>
              <w:ind w:left="439" w:right="439"/>
              <w:jc w:val="center"/>
              <w:rPr>
                <w:sz w:val="28"/>
              </w:rPr>
            </w:pPr>
            <w:r>
              <w:rPr>
                <w:sz w:val="28"/>
              </w:rPr>
              <w:t>29</w:t>
            </w:r>
          </w:p>
          <w:p>
            <w:pPr>
              <w:pStyle w:val="TableParagraph"/>
              <w:spacing w:before="249"/>
              <w:ind w:left="439" w:right="441"/>
              <w:jc w:val="center"/>
              <w:rPr>
                <w:sz w:val="28"/>
              </w:rPr>
            </w:pPr>
            <w:r>
              <w:rPr>
                <w:sz w:val="28"/>
              </w:rPr>
              <w:t>(76,3)</w:t>
            </w:r>
          </w:p>
        </w:tc>
        <w:tc>
          <w:tcPr>
            <w:tcW w:w="1702" w:type="dxa"/>
          </w:tcPr>
          <w:p>
            <w:pPr>
              <w:pStyle w:val="TableParagraph"/>
              <w:spacing w:line="315" w:lineRule="exact"/>
              <w:ind w:right="1"/>
              <w:jc w:val="center"/>
              <w:rPr>
                <w:sz w:val="28"/>
              </w:rPr>
            </w:pPr>
            <w:r>
              <w:rPr>
                <w:w w:val="100"/>
                <w:sz w:val="28"/>
              </w:rPr>
              <w:t>9</w:t>
            </w:r>
          </w:p>
          <w:p>
            <w:pPr>
              <w:pStyle w:val="TableParagraph"/>
              <w:spacing w:before="249"/>
              <w:ind w:left="311" w:right="312"/>
              <w:jc w:val="center"/>
              <w:rPr>
                <w:sz w:val="28"/>
              </w:rPr>
            </w:pPr>
            <w:r>
              <w:rPr>
                <w:sz w:val="28"/>
              </w:rPr>
              <w:t>(23,7)</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0" w:lineRule="auto" w:before="208"/>
        <w:ind w:left="122" w:right="127" w:firstLine="208"/>
        <w:jc w:val="both"/>
      </w:pPr>
      <w:r>
        <w:rPr/>
        <w:t>Расчет чувствительности и специфичности УЗИ и МРТ в оценке состояния подвздошных лимфатических узлов представлен в следующей таблице (Табл. 4.12).</w:t>
      </w:r>
    </w:p>
    <w:p>
      <w:pPr>
        <w:spacing w:after="0" w:line="360" w:lineRule="auto"/>
        <w:jc w:val="both"/>
        <w:sectPr>
          <w:headerReference w:type="default" r:id="rId129"/>
          <w:pgSz w:w="11900" w:h="16850"/>
          <w:pgMar w:header="712" w:footer="0" w:top="1020" w:bottom="280" w:left="1580" w:right="1000"/>
          <w:pgNumType w:start="180"/>
        </w:sectPr>
      </w:pPr>
    </w:p>
    <w:p>
      <w:pPr>
        <w:pStyle w:val="BodyText"/>
        <w:rPr>
          <w:sz w:val="20"/>
        </w:rPr>
      </w:pPr>
    </w:p>
    <w:p>
      <w:pPr>
        <w:pStyle w:val="BodyText"/>
        <w:spacing w:before="8"/>
        <w:rPr>
          <w:sz w:val="17"/>
        </w:rPr>
      </w:pPr>
    </w:p>
    <w:p>
      <w:pPr>
        <w:pStyle w:val="BodyText"/>
        <w:spacing w:line="388" w:lineRule="auto" w:before="89" w:after="15"/>
        <w:ind w:left="359" w:right="248" w:firstLine="7271"/>
      </w:pPr>
      <w:r>
        <w:rPr/>
        <w:t>Таблица 4.12 Информативность  данных УЗИ и МРТ в оценке состояния тазовых</w:t>
      </w:r>
      <w:r>
        <w:rPr>
          <w:spacing w:val="57"/>
        </w:rPr>
        <w:t> </w:t>
      </w:r>
      <w:r>
        <w:rPr/>
        <w:t>л/у</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1561"/>
        <w:gridCol w:w="1133"/>
        <w:gridCol w:w="1277"/>
        <w:gridCol w:w="991"/>
        <w:gridCol w:w="1419"/>
        <w:gridCol w:w="850"/>
      </w:tblGrid>
      <w:tr>
        <w:trPr>
          <w:trHeight w:val="578" w:hRule="exact"/>
        </w:trPr>
        <w:tc>
          <w:tcPr>
            <w:tcW w:w="3545" w:type="dxa"/>
            <w:gridSpan w:val="2"/>
            <w:vMerge w:val="restart"/>
          </w:tcPr>
          <w:p>
            <w:pPr>
              <w:pStyle w:val="TableParagraph"/>
              <w:rPr>
                <w:sz w:val="30"/>
              </w:rPr>
            </w:pPr>
          </w:p>
          <w:p>
            <w:pPr>
              <w:pStyle w:val="TableParagraph"/>
              <w:spacing w:before="3"/>
              <w:rPr>
                <w:sz w:val="24"/>
              </w:rPr>
            </w:pPr>
          </w:p>
          <w:p>
            <w:pPr>
              <w:pStyle w:val="TableParagraph"/>
              <w:ind w:left="273"/>
              <w:rPr>
                <w:sz w:val="28"/>
              </w:rPr>
            </w:pPr>
            <w:r>
              <w:rPr>
                <w:sz w:val="28"/>
              </w:rPr>
              <w:t>Оцениваемые параметры</w:t>
            </w:r>
          </w:p>
        </w:tc>
        <w:tc>
          <w:tcPr>
            <w:tcW w:w="4820" w:type="dxa"/>
            <w:gridSpan w:val="4"/>
          </w:tcPr>
          <w:p>
            <w:pPr>
              <w:pStyle w:val="TableParagraph"/>
              <w:spacing w:line="315" w:lineRule="exact"/>
              <w:ind w:left="1145"/>
              <w:rPr>
                <w:sz w:val="28"/>
              </w:rPr>
            </w:pPr>
            <w:r>
              <w:rPr>
                <w:sz w:val="28"/>
              </w:rPr>
              <w:t>Методы диагностики</w:t>
            </w:r>
          </w:p>
        </w:tc>
        <w:tc>
          <w:tcPr>
            <w:tcW w:w="850" w:type="dxa"/>
            <w:vMerge w:val="restart"/>
          </w:tcPr>
          <w:p>
            <w:pPr>
              <w:pStyle w:val="TableParagraph"/>
              <w:rPr>
                <w:sz w:val="30"/>
              </w:rPr>
            </w:pPr>
          </w:p>
          <w:p>
            <w:pPr>
              <w:pStyle w:val="TableParagraph"/>
              <w:spacing w:before="3"/>
              <w:rPr>
                <w:sz w:val="24"/>
              </w:rPr>
            </w:pPr>
          </w:p>
          <w:p>
            <w:pPr>
              <w:pStyle w:val="TableParagraph"/>
              <w:ind w:left="26"/>
              <w:jc w:val="center"/>
              <w:rPr>
                <w:sz w:val="28"/>
              </w:rPr>
            </w:pPr>
            <w:r>
              <w:rPr>
                <w:w w:val="100"/>
                <w:sz w:val="28"/>
              </w:rPr>
              <w:t>P</w:t>
            </w:r>
          </w:p>
        </w:tc>
      </w:tr>
      <w:tr>
        <w:trPr>
          <w:trHeight w:val="1265" w:hRule="exact"/>
        </w:trPr>
        <w:tc>
          <w:tcPr>
            <w:tcW w:w="3545" w:type="dxa"/>
            <w:gridSpan w:val="2"/>
            <w:vMerge/>
          </w:tcPr>
          <w:p>
            <w:pPr/>
          </w:p>
        </w:tc>
        <w:tc>
          <w:tcPr>
            <w:tcW w:w="1133" w:type="dxa"/>
          </w:tcPr>
          <w:p>
            <w:pPr>
              <w:pStyle w:val="TableParagraph"/>
              <w:spacing w:line="424" w:lineRule="auto" w:before="50"/>
              <w:ind w:left="362" w:right="263" w:hanging="63"/>
              <w:rPr>
                <w:sz w:val="28"/>
              </w:rPr>
            </w:pPr>
            <w:r>
              <w:rPr>
                <w:sz w:val="28"/>
              </w:rPr>
              <w:t>УЗИ (%)</w:t>
            </w:r>
          </w:p>
        </w:tc>
        <w:tc>
          <w:tcPr>
            <w:tcW w:w="1277" w:type="dxa"/>
          </w:tcPr>
          <w:p>
            <w:pPr>
              <w:pStyle w:val="TableParagraph"/>
              <w:rPr>
                <w:sz w:val="30"/>
              </w:rPr>
            </w:pPr>
          </w:p>
          <w:p>
            <w:pPr>
              <w:pStyle w:val="TableParagraph"/>
              <w:spacing w:before="219"/>
              <w:ind w:left="156"/>
              <w:rPr>
                <w:sz w:val="28"/>
              </w:rPr>
            </w:pPr>
            <w:r>
              <w:rPr>
                <w:sz w:val="28"/>
              </w:rPr>
              <w:t>(95%CI)</w:t>
            </w:r>
          </w:p>
        </w:tc>
        <w:tc>
          <w:tcPr>
            <w:tcW w:w="991" w:type="dxa"/>
          </w:tcPr>
          <w:p>
            <w:pPr>
              <w:pStyle w:val="TableParagraph"/>
              <w:spacing w:line="424" w:lineRule="auto" w:before="50"/>
              <w:ind w:left="328" w:right="170" w:hanging="113"/>
              <w:rPr>
                <w:sz w:val="28"/>
              </w:rPr>
            </w:pPr>
            <w:r>
              <w:rPr>
                <w:sz w:val="28"/>
              </w:rPr>
              <w:t>МРТ (%)</w:t>
            </w:r>
          </w:p>
        </w:tc>
        <w:tc>
          <w:tcPr>
            <w:tcW w:w="1419" w:type="dxa"/>
          </w:tcPr>
          <w:p>
            <w:pPr>
              <w:pStyle w:val="TableParagraph"/>
              <w:rPr>
                <w:sz w:val="30"/>
              </w:rPr>
            </w:pPr>
          </w:p>
          <w:p>
            <w:pPr>
              <w:pStyle w:val="TableParagraph"/>
              <w:spacing w:before="219"/>
              <w:ind w:left="228"/>
              <w:rPr>
                <w:sz w:val="28"/>
              </w:rPr>
            </w:pPr>
            <w:r>
              <w:rPr>
                <w:sz w:val="28"/>
              </w:rPr>
              <w:t>(95%CI)</w:t>
            </w:r>
          </w:p>
        </w:tc>
        <w:tc>
          <w:tcPr>
            <w:tcW w:w="850" w:type="dxa"/>
            <w:vMerge/>
          </w:tcPr>
          <w:p>
            <w:pPr/>
          </w:p>
        </w:tc>
      </w:tr>
      <w:tr>
        <w:trPr>
          <w:trHeight w:val="951" w:hRule="exact"/>
        </w:trPr>
        <w:tc>
          <w:tcPr>
            <w:tcW w:w="3545" w:type="dxa"/>
            <w:gridSpan w:val="2"/>
          </w:tcPr>
          <w:p>
            <w:pPr>
              <w:pStyle w:val="TableParagraph"/>
              <w:spacing w:before="122"/>
              <w:ind w:left="739"/>
              <w:rPr>
                <w:sz w:val="28"/>
              </w:rPr>
            </w:pPr>
            <w:r>
              <w:rPr>
                <w:sz w:val="28"/>
              </w:rPr>
              <w:t>Чувствительность</w:t>
            </w:r>
          </w:p>
        </w:tc>
        <w:tc>
          <w:tcPr>
            <w:tcW w:w="1133" w:type="dxa"/>
          </w:tcPr>
          <w:p>
            <w:pPr>
              <w:pStyle w:val="TableParagraph"/>
              <w:spacing w:before="122"/>
              <w:ind w:right="75"/>
              <w:jc w:val="right"/>
              <w:rPr>
                <w:sz w:val="28"/>
              </w:rPr>
            </w:pPr>
            <w:r>
              <w:rPr>
                <w:sz w:val="28"/>
              </w:rPr>
              <w:t>77,78%</w:t>
            </w:r>
          </w:p>
        </w:tc>
        <w:tc>
          <w:tcPr>
            <w:tcW w:w="1277" w:type="dxa"/>
          </w:tcPr>
          <w:p>
            <w:pPr>
              <w:pStyle w:val="TableParagraph"/>
              <w:spacing w:line="315" w:lineRule="exact"/>
              <w:ind w:left="209"/>
              <w:rPr>
                <w:sz w:val="28"/>
              </w:rPr>
            </w:pPr>
            <w:r>
              <w:rPr>
                <w:sz w:val="28"/>
              </w:rPr>
              <w:t>51,92%-</w:t>
            </w:r>
          </w:p>
          <w:p>
            <w:pPr>
              <w:pStyle w:val="TableParagraph"/>
              <w:spacing w:before="48"/>
              <w:ind w:left="254"/>
              <w:rPr>
                <w:sz w:val="28"/>
              </w:rPr>
            </w:pPr>
            <w:r>
              <w:rPr>
                <w:sz w:val="28"/>
              </w:rPr>
              <w:t>92,63%</w:t>
            </w:r>
          </w:p>
        </w:tc>
        <w:tc>
          <w:tcPr>
            <w:tcW w:w="991" w:type="dxa"/>
          </w:tcPr>
          <w:p>
            <w:pPr>
              <w:pStyle w:val="TableParagraph"/>
              <w:spacing w:before="122"/>
              <w:jc w:val="right"/>
              <w:rPr>
                <w:sz w:val="28"/>
              </w:rPr>
            </w:pPr>
            <w:r>
              <w:rPr>
                <w:sz w:val="28"/>
              </w:rPr>
              <w:t>83,33%</w:t>
            </w:r>
          </w:p>
        </w:tc>
        <w:tc>
          <w:tcPr>
            <w:tcW w:w="1419" w:type="dxa"/>
          </w:tcPr>
          <w:p>
            <w:pPr>
              <w:pStyle w:val="TableParagraph"/>
              <w:spacing w:line="315" w:lineRule="exact"/>
              <w:ind w:left="278"/>
              <w:rPr>
                <w:sz w:val="28"/>
              </w:rPr>
            </w:pPr>
            <w:r>
              <w:rPr>
                <w:sz w:val="28"/>
              </w:rPr>
              <w:t>57,74%-</w:t>
            </w:r>
          </w:p>
          <w:p>
            <w:pPr>
              <w:pStyle w:val="TableParagraph"/>
              <w:spacing w:before="48"/>
              <w:ind w:left="327"/>
              <w:rPr>
                <w:sz w:val="28"/>
              </w:rPr>
            </w:pPr>
            <w:r>
              <w:rPr>
                <w:sz w:val="28"/>
              </w:rPr>
              <w:t>95,59%</w:t>
            </w:r>
          </w:p>
        </w:tc>
        <w:tc>
          <w:tcPr>
            <w:tcW w:w="850" w:type="dxa"/>
          </w:tcPr>
          <w:p>
            <w:pPr>
              <w:pStyle w:val="TableParagraph"/>
              <w:spacing w:before="122"/>
              <w:ind w:right="39"/>
              <w:jc w:val="right"/>
              <w:rPr>
                <w:sz w:val="28"/>
              </w:rPr>
            </w:pPr>
            <w:r>
              <w:rPr>
                <w:sz w:val="28"/>
              </w:rPr>
              <w:t>p=0,5</w:t>
            </w:r>
          </w:p>
        </w:tc>
      </w:tr>
      <w:tr>
        <w:trPr>
          <w:trHeight w:val="989" w:hRule="exact"/>
        </w:trPr>
        <w:tc>
          <w:tcPr>
            <w:tcW w:w="3545" w:type="dxa"/>
            <w:gridSpan w:val="2"/>
          </w:tcPr>
          <w:p>
            <w:pPr>
              <w:pStyle w:val="TableParagraph"/>
              <w:spacing w:before="141"/>
              <w:ind w:left="873"/>
              <w:rPr>
                <w:sz w:val="28"/>
              </w:rPr>
            </w:pPr>
            <w:r>
              <w:rPr>
                <w:sz w:val="28"/>
              </w:rPr>
              <w:t>Специфичность</w:t>
            </w:r>
          </w:p>
        </w:tc>
        <w:tc>
          <w:tcPr>
            <w:tcW w:w="1133" w:type="dxa"/>
          </w:tcPr>
          <w:p>
            <w:pPr>
              <w:pStyle w:val="TableParagraph"/>
              <w:spacing w:before="141"/>
              <w:ind w:right="75"/>
              <w:jc w:val="right"/>
              <w:rPr>
                <w:sz w:val="28"/>
              </w:rPr>
            </w:pPr>
            <w:r>
              <w:rPr>
                <w:sz w:val="28"/>
              </w:rPr>
              <w:t>63,33%</w:t>
            </w:r>
          </w:p>
        </w:tc>
        <w:tc>
          <w:tcPr>
            <w:tcW w:w="1277" w:type="dxa"/>
          </w:tcPr>
          <w:p>
            <w:pPr>
              <w:pStyle w:val="TableParagraph"/>
              <w:spacing w:before="12"/>
              <w:ind w:left="209"/>
              <w:rPr>
                <w:sz w:val="28"/>
              </w:rPr>
            </w:pPr>
            <w:r>
              <w:rPr>
                <w:sz w:val="28"/>
              </w:rPr>
              <w:t>43,91%-</w:t>
            </w:r>
          </w:p>
          <w:p>
            <w:pPr>
              <w:pStyle w:val="TableParagraph"/>
              <w:spacing w:before="47"/>
              <w:ind w:left="254"/>
              <w:rPr>
                <w:sz w:val="28"/>
              </w:rPr>
            </w:pPr>
            <w:r>
              <w:rPr>
                <w:sz w:val="28"/>
              </w:rPr>
              <w:t>79,46%</w:t>
            </w:r>
          </w:p>
        </w:tc>
        <w:tc>
          <w:tcPr>
            <w:tcW w:w="991" w:type="dxa"/>
          </w:tcPr>
          <w:p>
            <w:pPr>
              <w:pStyle w:val="TableParagraph"/>
              <w:spacing w:before="141"/>
              <w:jc w:val="right"/>
              <w:rPr>
                <w:sz w:val="28"/>
              </w:rPr>
            </w:pPr>
            <w:r>
              <w:rPr>
                <w:sz w:val="28"/>
              </w:rPr>
              <w:t>76,67%</w:t>
            </w:r>
          </w:p>
        </w:tc>
        <w:tc>
          <w:tcPr>
            <w:tcW w:w="1419" w:type="dxa"/>
          </w:tcPr>
          <w:p>
            <w:pPr>
              <w:pStyle w:val="TableParagraph"/>
              <w:spacing w:before="12"/>
              <w:ind w:left="278"/>
              <w:rPr>
                <w:sz w:val="28"/>
              </w:rPr>
            </w:pPr>
            <w:r>
              <w:rPr>
                <w:sz w:val="28"/>
              </w:rPr>
              <w:t>57,30%-</w:t>
            </w:r>
          </w:p>
          <w:p>
            <w:pPr>
              <w:pStyle w:val="TableParagraph"/>
              <w:spacing w:before="47"/>
              <w:ind w:left="327"/>
              <w:rPr>
                <w:sz w:val="28"/>
              </w:rPr>
            </w:pPr>
            <w:r>
              <w:rPr>
                <w:sz w:val="28"/>
              </w:rPr>
              <w:t>89,37%</w:t>
            </w:r>
          </w:p>
        </w:tc>
        <w:tc>
          <w:tcPr>
            <w:tcW w:w="850" w:type="dxa"/>
          </w:tcPr>
          <w:p>
            <w:pPr>
              <w:pStyle w:val="TableParagraph"/>
              <w:spacing w:before="141"/>
              <w:ind w:right="41"/>
              <w:jc w:val="right"/>
              <w:rPr>
                <w:sz w:val="28"/>
              </w:rPr>
            </w:pPr>
            <w:r>
              <w:rPr>
                <w:sz w:val="28"/>
              </w:rPr>
              <w:t>p=0,1</w:t>
            </w:r>
          </w:p>
        </w:tc>
      </w:tr>
      <w:tr>
        <w:trPr>
          <w:trHeight w:val="1176" w:hRule="exact"/>
        </w:trPr>
        <w:tc>
          <w:tcPr>
            <w:tcW w:w="1985" w:type="dxa"/>
            <w:vMerge w:val="restart"/>
          </w:tcPr>
          <w:p>
            <w:pPr>
              <w:pStyle w:val="TableParagraph"/>
              <w:spacing w:line="276" w:lineRule="auto" w:before="38"/>
              <w:ind w:left="180" w:right="162" w:hanging="3"/>
              <w:jc w:val="center"/>
              <w:rPr>
                <w:sz w:val="28"/>
              </w:rPr>
            </w:pPr>
            <w:r>
              <w:rPr>
                <w:sz w:val="28"/>
              </w:rPr>
              <w:t>Для каждого результата исследования вероятность,</w:t>
            </w:r>
          </w:p>
          <w:p>
            <w:pPr>
              <w:pStyle w:val="TableParagraph"/>
              <w:spacing w:before="200"/>
              <w:ind w:left="27" w:right="14"/>
              <w:jc w:val="center"/>
              <w:rPr>
                <w:sz w:val="28"/>
              </w:rPr>
            </w:pPr>
            <w:r>
              <w:rPr>
                <w:sz w:val="28"/>
              </w:rPr>
              <w:t>что он будет</w:t>
            </w:r>
          </w:p>
        </w:tc>
        <w:tc>
          <w:tcPr>
            <w:tcW w:w="1561" w:type="dxa"/>
          </w:tcPr>
          <w:p>
            <w:pPr>
              <w:pStyle w:val="TableParagraph"/>
              <w:spacing w:line="360" w:lineRule="auto"/>
              <w:ind w:left="583" w:right="-12" w:hanging="457"/>
              <w:rPr>
                <w:sz w:val="28"/>
              </w:rPr>
            </w:pPr>
            <w:r>
              <w:rPr>
                <w:spacing w:val="-1"/>
                <w:sz w:val="28"/>
              </w:rPr>
              <w:t>положитель </w:t>
            </w:r>
            <w:r>
              <w:rPr>
                <w:sz w:val="28"/>
              </w:rPr>
              <w:t>ным</w:t>
            </w:r>
          </w:p>
        </w:tc>
        <w:tc>
          <w:tcPr>
            <w:tcW w:w="1133" w:type="dxa"/>
          </w:tcPr>
          <w:p>
            <w:pPr>
              <w:pStyle w:val="TableParagraph"/>
              <w:spacing w:before="235"/>
              <w:ind w:right="75"/>
              <w:jc w:val="right"/>
              <w:rPr>
                <w:sz w:val="28"/>
              </w:rPr>
            </w:pPr>
            <w:r>
              <w:rPr>
                <w:sz w:val="28"/>
              </w:rPr>
              <w:t>52,08%</w:t>
            </w:r>
          </w:p>
        </w:tc>
        <w:tc>
          <w:tcPr>
            <w:tcW w:w="1277" w:type="dxa"/>
          </w:tcPr>
          <w:p>
            <w:pPr>
              <w:pStyle w:val="TableParagraph"/>
              <w:spacing w:before="105"/>
              <w:ind w:left="209"/>
              <w:rPr>
                <w:sz w:val="28"/>
              </w:rPr>
            </w:pPr>
            <w:r>
              <w:rPr>
                <w:sz w:val="28"/>
              </w:rPr>
              <w:t>37,36%-</w:t>
            </w:r>
          </w:p>
          <w:p>
            <w:pPr>
              <w:pStyle w:val="TableParagraph"/>
              <w:spacing w:before="47"/>
              <w:ind w:left="254"/>
              <w:rPr>
                <w:sz w:val="28"/>
              </w:rPr>
            </w:pPr>
            <w:r>
              <w:rPr>
                <w:sz w:val="28"/>
              </w:rPr>
              <w:t>66,48%</w:t>
            </w:r>
          </w:p>
        </w:tc>
        <w:tc>
          <w:tcPr>
            <w:tcW w:w="991" w:type="dxa"/>
          </w:tcPr>
          <w:p>
            <w:pPr>
              <w:pStyle w:val="TableParagraph"/>
              <w:spacing w:before="235"/>
              <w:jc w:val="right"/>
              <w:rPr>
                <w:sz w:val="28"/>
              </w:rPr>
            </w:pPr>
            <w:r>
              <w:rPr>
                <w:sz w:val="28"/>
              </w:rPr>
              <w:t>45,83%</w:t>
            </w:r>
          </w:p>
        </w:tc>
        <w:tc>
          <w:tcPr>
            <w:tcW w:w="1419" w:type="dxa"/>
          </w:tcPr>
          <w:p>
            <w:pPr>
              <w:pStyle w:val="TableParagraph"/>
              <w:spacing w:before="105"/>
              <w:ind w:left="278"/>
              <w:rPr>
                <w:sz w:val="28"/>
              </w:rPr>
            </w:pPr>
            <w:r>
              <w:rPr>
                <w:sz w:val="28"/>
              </w:rPr>
              <w:t>31,64%-</w:t>
            </w:r>
          </w:p>
          <w:p>
            <w:pPr>
              <w:pStyle w:val="TableParagraph"/>
              <w:spacing w:before="47"/>
              <w:ind w:left="327"/>
              <w:rPr>
                <w:sz w:val="28"/>
              </w:rPr>
            </w:pPr>
            <w:r>
              <w:rPr>
                <w:sz w:val="28"/>
              </w:rPr>
              <w:t>60,69%</w:t>
            </w:r>
          </w:p>
        </w:tc>
        <w:tc>
          <w:tcPr>
            <w:tcW w:w="850" w:type="dxa"/>
          </w:tcPr>
          <w:p>
            <w:pPr/>
          </w:p>
        </w:tc>
      </w:tr>
      <w:tr>
        <w:trPr>
          <w:trHeight w:val="1176" w:hRule="exact"/>
        </w:trPr>
        <w:tc>
          <w:tcPr>
            <w:tcW w:w="1985" w:type="dxa"/>
            <w:vMerge/>
          </w:tcPr>
          <w:p>
            <w:pPr/>
          </w:p>
        </w:tc>
        <w:tc>
          <w:tcPr>
            <w:tcW w:w="1561" w:type="dxa"/>
          </w:tcPr>
          <w:p>
            <w:pPr>
              <w:pStyle w:val="TableParagraph"/>
              <w:spacing w:line="360" w:lineRule="auto"/>
              <w:ind w:left="571" w:right="32" w:hanging="413"/>
              <w:rPr>
                <w:sz w:val="28"/>
              </w:rPr>
            </w:pPr>
            <w:r>
              <w:rPr>
                <w:sz w:val="28"/>
              </w:rPr>
              <w:t>отрицатель ным</w:t>
            </w:r>
          </w:p>
        </w:tc>
        <w:tc>
          <w:tcPr>
            <w:tcW w:w="1133" w:type="dxa"/>
          </w:tcPr>
          <w:p>
            <w:pPr>
              <w:pStyle w:val="TableParagraph"/>
              <w:spacing w:before="235"/>
              <w:ind w:right="75"/>
              <w:jc w:val="right"/>
              <w:rPr>
                <w:sz w:val="28"/>
              </w:rPr>
            </w:pPr>
            <w:r>
              <w:rPr>
                <w:sz w:val="28"/>
              </w:rPr>
              <w:t>47,92%</w:t>
            </w:r>
          </w:p>
        </w:tc>
        <w:tc>
          <w:tcPr>
            <w:tcW w:w="1277" w:type="dxa"/>
          </w:tcPr>
          <w:p>
            <w:pPr>
              <w:pStyle w:val="TableParagraph"/>
              <w:spacing w:before="105"/>
              <w:ind w:left="209"/>
              <w:rPr>
                <w:sz w:val="28"/>
              </w:rPr>
            </w:pPr>
            <w:r>
              <w:rPr>
                <w:sz w:val="28"/>
              </w:rPr>
              <w:t>33,52%-</w:t>
            </w:r>
          </w:p>
          <w:p>
            <w:pPr>
              <w:pStyle w:val="TableParagraph"/>
              <w:spacing w:before="47"/>
              <w:ind w:left="254"/>
              <w:rPr>
                <w:sz w:val="28"/>
              </w:rPr>
            </w:pPr>
            <w:r>
              <w:rPr>
                <w:sz w:val="28"/>
              </w:rPr>
              <w:t>62,64%</w:t>
            </w:r>
          </w:p>
        </w:tc>
        <w:tc>
          <w:tcPr>
            <w:tcW w:w="991" w:type="dxa"/>
          </w:tcPr>
          <w:p>
            <w:pPr>
              <w:pStyle w:val="TableParagraph"/>
              <w:spacing w:before="235"/>
              <w:jc w:val="right"/>
              <w:rPr>
                <w:sz w:val="28"/>
              </w:rPr>
            </w:pPr>
            <w:r>
              <w:rPr>
                <w:sz w:val="28"/>
              </w:rPr>
              <w:t>54,17%</w:t>
            </w:r>
          </w:p>
        </w:tc>
        <w:tc>
          <w:tcPr>
            <w:tcW w:w="1419" w:type="dxa"/>
          </w:tcPr>
          <w:p>
            <w:pPr>
              <w:pStyle w:val="TableParagraph"/>
              <w:spacing w:before="105"/>
              <w:ind w:left="278"/>
              <w:rPr>
                <w:sz w:val="28"/>
              </w:rPr>
            </w:pPr>
            <w:r>
              <w:rPr>
                <w:sz w:val="28"/>
              </w:rPr>
              <w:t>39,31%-</w:t>
            </w:r>
          </w:p>
          <w:p>
            <w:pPr>
              <w:pStyle w:val="TableParagraph"/>
              <w:spacing w:before="47"/>
              <w:ind w:left="327"/>
              <w:rPr>
                <w:sz w:val="28"/>
              </w:rPr>
            </w:pPr>
            <w:r>
              <w:rPr>
                <w:sz w:val="28"/>
              </w:rPr>
              <w:t>68,36%</w:t>
            </w:r>
          </w:p>
        </w:tc>
        <w:tc>
          <w:tcPr>
            <w:tcW w:w="850" w:type="dxa"/>
          </w:tcPr>
          <w:p>
            <w:pPr/>
          </w:p>
        </w:tc>
      </w:tr>
      <w:tr>
        <w:trPr>
          <w:trHeight w:val="1320" w:hRule="exact"/>
        </w:trPr>
        <w:tc>
          <w:tcPr>
            <w:tcW w:w="1985" w:type="dxa"/>
            <w:vMerge w:val="restart"/>
          </w:tcPr>
          <w:p>
            <w:pPr>
              <w:pStyle w:val="TableParagraph"/>
              <w:spacing w:line="315" w:lineRule="exact"/>
              <w:ind w:left="39" w:right="13"/>
              <w:jc w:val="center"/>
              <w:rPr>
                <w:sz w:val="28"/>
              </w:rPr>
            </w:pPr>
            <w:r>
              <w:rPr>
                <w:sz w:val="28"/>
              </w:rPr>
              <w:t>(PPV)</w:t>
            </w:r>
          </w:p>
          <w:p>
            <w:pPr>
              <w:pStyle w:val="TableParagraph"/>
              <w:spacing w:line="276" w:lineRule="auto" w:before="249"/>
              <w:ind w:left="55" w:right="30" w:hanging="1"/>
              <w:jc w:val="center"/>
              <w:rPr>
                <w:sz w:val="28"/>
              </w:rPr>
            </w:pPr>
            <w:r>
              <w:rPr>
                <w:sz w:val="28"/>
              </w:rPr>
              <w:t>Для каждого положитель- ного</w:t>
            </w:r>
            <w:r>
              <w:rPr>
                <w:spacing w:val="-7"/>
                <w:sz w:val="28"/>
              </w:rPr>
              <w:t> </w:t>
            </w:r>
            <w:r>
              <w:rPr>
                <w:sz w:val="28"/>
              </w:rPr>
              <w:t>результата исследования вероятность,</w:t>
            </w:r>
          </w:p>
          <w:p>
            <w:pPr>
              <w:pStyle w:val="TableParagraph"/>
              <w:spacing w:before="200"/>
              <w:ind w:left="36" w:right="14"/>
              <w:jc w:val="center"/>
              <w:rPr>
                <w:sz w:val="28"/>
              </w:rPr>
            </w:pPr>
            <w:r>
              <w:rPr>
                <w:sz w:val="28"/>
              </w:rPr>
              <w:t>что он будет</w:t>
            </w:r>
          </w:p>
        </w:tc>
        <w:tc>
          <w:tcPr>
            <w:tcW w:w="1561" w:type="dxa"/>
          </w:tcPr>
          <w:p>
            <w:pPr>
              <w:pStyle w:val="TableParagraph"/>
              <w:spacing w:line="276" w:lineRule="auto"/>
              <w:ind w:left="115" w:right="6" w:hanging="3"/>
              <w:jc w:val="center"/>
              <w:rPr>
                <w:sz w:val="28"/>
              </w:rPr>
            </w:pPr>
            <w:r>
              <w:rPr>
                <w:sz w:val="28"/>
              </w:rPr>
              <w:t>истинно положитель ным</w:t>
            </w:r>
          </w:p>
        </w:tc>
        <w:tc>
          <w:tcPr>
            <w:tcW w:w="1133" w:type="dxa"/>
          </w:tcPr>
          <w:p>
            <w:pPr>
              <w:pStyle w:val="TableParagraph"/>
              <w:spacing w:before="8"/>
              <w:rPr>
                <w:sz w:val="26"/>
              </w:rPr>
            </w:pPr>
          </w:p>
          <w:p>
            <w:pPr>
              <w:pStyle w:val="TableParagraph"/>
              <w:ind w:right="75"/>
              <w:jc w:val="right"/>
              <w:rPr>
                <w:sz w:val="28"/>
              </w:rPr>
            </w:pPr>
            <w:r>
              <w:rPr>
                <w:sz w:val="28"/>
              </w:rPr>
              <w:t>56,00%</w:t>
            </w:r>
          </w:p>
        </w:tc>
        <w:tc>
          <w:tcPr>
            <w:tcW w:w="1277" w:type="dxa"/>
          </w:tcPr>
          <w:p>
            <w:pPr>
              <w:pStyle w:val="TableParagraph"/>
              <w:spacing w:before="177"/>
              <w:ind w:left="173"/>
              <w:rPr>
                <w:sz w:val="28"/>
              </w:rPr>
            </w:pPr>
            <w:r>
              <w:rPr>
                <w:sz w:val="28"/>
              </w:rPr>
              <w:t>35,27% -</w:t>
            </w:r>
          </w:p>
          <w:p>
            <w:pPr>
              <w:pStyle w:val="TableParagraph"/>
              <w:spacing w:before="47"/>
              <w:ind w:left="254"/>
              <w:rPr>
                <w:sz w:val="28"/>
              </w:rPr>
            </w:pPr>
            <w:r>
              <w:rPr>
                <w:sz w:val="28"/>
              </w:rPr>
              <w:t>74,98%</w:t>
            </w:r>
          </w:p>
        </w:tc>
        <w:tc>
          <w:tcPr>
            <w:tcW w:w="991" w:type="dxa"/>
          </w:tcPr>
          <w:p>
            <w:pPr>
              <w:pStyle w:val="TableParagraph"/>
              <w:spacing w:before="8"/>
              <w:rPr>
                <w:sz w:val="26"/>
              </w:rPr>
            </w:pPr>
          </w:p>
          <w:p>
            <w:pPr>
              <w:pStyle w:val="TableParagraph"/>
              <w:jc w:val="right"/>
              <w:rPr>
                <w:sz w:val="28"/>
              </w:rPr>
            </w:pPr>
            <w:r>
              <w:rPr>
                <w:sz w:val="28"/>
              </w:rPr>
              <w:t>68,18%</w:t>
            </w:r>
          </w:p>
        </w:tc>
        <w:tc>
          <w:tcPr>
            <w:tcW w:w="1419" w:type="dxa"/>
          </w:tcPr>
          <w:p>
            <w:pPr>
              <w:pStyle w:val="TableParagraph"/>
              <w:spacing w:before="177"/>
              <w:ind w:left="242"/>
              <w:rPr>
                <w:sz w:val="28"/>
              </w:rPr>
            </w:pPr>
            <w:r>
              <w:rPr>
                <w:sz w:val="28"/>
              </w:rPr>
              <w:t>45,11% -</w:t>
            </w:r>
          </w:p>
          <w:p>
            <w:pPr>
              <w:pStyle w:val="TableParagraph"/>
              <w:spacing w:before="47"/>
              <w:ind w:left="327"/>
              <w:rPr>
                <w:sz w:val="28"/>
              </w:rPr>
            </w:pPr>
            <w:r>
              <w:rPr>
                <w:sz w:val="28"/>
              </w:rPr>
              <w:t>85,26%</w:t>
            </w:r>
          </w:p>
        </w:tc>
        <w:tc>
          <w:tcPr>
            <w:tcW w:w="850" w:type="dxa"/>
          </w:tcPr>
          <w:p>
            <w:pPr/>
          </w:p>
        </w:tc>
      </w:tr>
      <w:tr>
        <w:trPr>
          <w:trHeight w:val="1882" w:hRule="exact"/>
        </w:trPr>
        <w:tc>
          <w:tcPr>
            <w:tcW w:w="1985" w:type="dxa"/>
            <w:vMerge/>
          </w:tcPr>
          <w:p>
            <w:pPr/>
          </w:p>
        </w:tc>
        <w:tc>
          <w:tcPr>
            <w:tcW w:w="1561" w:type="dxa"/>
          </w:tcPr>
          <w:p>
            <w:pPr>
              <w:pStyle w:val="TableParagraph"/>
              <w:spacing w:before="9"/>
              <w:rPr>
                <w:sz w:val="23"/>
              </w:rPr>
            </w:pPr>
          </w:p>
          <w:p>
            <w:pPr>
              <w:pStyle w:val="TableParagraph"/>
              <w:spacing w:line="276" w:lineRule="auto"/>
              <w:ind w:left="115" w:right="6"/>
              <w:jc w:val="center"/>
              <w:rPr>
                <w:sz w:val="28"/>
              </w:rPr>
            </w:pPr>
            <w:r>
              <w:rPr>
                <w:sz w:val="28"/>
              </w:rPr>
              <w:t>ложно положитель ным</w:t>
            </w:r>
          </w:p>
        </w:tc>
        <w:tc>
          <w:tcPr>
            <w:tcW w:w="1133" w:type="dxa"/>
          </w:tcPr>
          <w:p>
            <w:pPr>
              <w:pStyle w:val="TableParagraph"/>
              <w:rPr>
                <w:sz w:val="30"/>
              </w:rPr>
            </w:pPr>
          </w:p>
          <w:p>
            <w:pPr>
              <w:pStyle w:val="TableParagraph"/>
              <w:spacing w:before="243"/>
              <w:ind w:right="75"/>
              <w:jc w:val="right"/>
              <w:rPr>
                <w:sz w:val="28"/>
              </w:rPr>
            </w:pPr>
            <w:r>
              <w:rPr>
                <w:sz w:val="28"/>
              </w:rPr>
              <w:t>44,00%</w:t>
            </w:r>
          </w:p>
        </w:tc>
        <w:tc>
          <w:tcPr>
            <w:tcW w:w="1277" w:type="dxa"/>
          </w:tcPr>
          <w:p>
            <w:pPr>
              <w:pStyle w:val="TableParagraph"/>
              <w:spacing w:before="10"/>
              <w:rPr>
                <w:sz w:val="39"/>
              </w:rPr>
            </w:pPr>
          </w:p>
          <w:p>
            <w:pPr>
              <w:pStyle w:val="TableParagraph"/>
              <w:ind w:left="173"/>
              <w:rPr>
                <w:sz w:val="28"/>
              </w:rPr>
            </w:pPr>
            <w:r>
              <w:rPr>
                <w:sz w:val="28"/>
              </w:rPr>
              <w:t>25,02% -</w:t>
            </w:r>
          </w:p>
          <w:p>
            <w:pPr>
              <w:pStyle w:val="TableParagraph"/>
              <w:spacing w:before="47"/>
              <w:ind w:left="254"/>
              <w:rPr>
                <w:sz w:val="28"/>
              </w:rPr>
            </w:pPr>
            <w:r>
              <w:rPr>
                <w:sz w:val="28"/>
              </w:rPr>
              <w:t>64,73%</w:t>
            </w:r>
          </w:p>
        </w:tc>
        <w:tc>
          <w:tcPr>
            <w:tcW w:w="991" w:type="dxa"/>
          </w:tcPr>
          <w:p>
            <w:pPr>
              <w:pStyle w:val="TableParagraph"/>
              <w:rPr>
                <w:sz w:val="30"/>
              </w:rPr>
            </w:pPr>
          </w:p>
          <w:p>
            <w:pPr>
              <w:pStyle w:val="TableParagraph"/>
              <w:spacing w:before="243"/>
              <w:jc w:val="right"/>
              <w:rPr>
                <w:sz w:val="28"/>
              </w:rPr>
            </w:pPr>
            <w:r>
              <w:rPr>
                <w:sz w:val="28"/>
              </w:rPr>
              <w:t>31,82%</w:t>
            </w:r>
          </w:p>
        </w:tc>
        <w:tc>
          <w:tcPr>
            <w:tcW w:w="1419" w:type="dxa"/>
          </w:tcPr>
          <w:p>
            <w:pPr>
              <w:pStyle w:val="TableParagraph"/>
              <w:spacing w:before="10"/>
              <w:rPr>
                <w:sz w:val="39"/>
              </w:rPr>
            </w:pPr>
          </w:p>
          <w:p>
            <w:pPr>
              <w:pStyle w:val="TableParagraph"/>
              <w:ind w:left="242"/>
              <w:rPr>
                <w:sz w:val="28"/>
              </w:rPr>
            </w:pPr>
            <w:r>
              <w:rPr>
                <w:sz w:val="28"/>
              </w:rPr>
              <w:t>14,73% -</w:t>
            </w:r>
          </w:p>
          <w:p>
            <w:pPr>
              <w:pStyle w:val="TableParagraph"/>
              <w:spacing w:before="47"/>
              <w:ind w:left="327"/>
              <w:rPr>
                <w:sz w:val="28"/>
              </w:rPr>
            </w:pPr>
            <w:r>
              <w:rPr>
                <w:sz w:val="28"/>
              </w:rPr>
              <w:t>54,88%</w:t>
            </w:r>
          </w:p>
        </w:tc>
        <w:tc>
          <w:tcPr>
            <w:tcW w:w="850" w:type="dxa"/>
          </w:tcPr>
          <w:p>
            <w:pPr/>
          </w:p>
        </w:tc>
      </w:tr>
      <w:tr>
        <w:trPr>
          <w:trHeight w:val="1320" w:hRule="exact"/>
        </w:trPr>
        <w:tc>
          <w:tcPr>
            <w:tcW w:w="1985" w:type="dxa"/>
            <w:vMerge w:val="restart"/>
          </w:tcPr>
          <w:p>
            <w:pPr>
              <w:pStyle w:val="TableParagraph"/>
              <w:spacing w:line="315" w:lineRule="exact"/>
              <w:ind w:left="37" w:right="14"/>
              <w:jc w:val="center"/>
              <w:rPr>
                <w:sz w:val="28"/>
              </w:rPr>
            </w:pPr>
            <w:r>
              <w:rPr>
                <w:sz w:val="28"/>
              </w:rPr>
              <w:t>(NPV)</w:t>
            </w:r>
          </w:p>
          <w:p>
            <w:pPr>
              <w:pStyle w:val="TableParagraph"/>
              <w:spacing w:line="276" w:lineRule="auto" w:before="249"/>
              <w:ind w:left="38" w:right="14"/>
              <w:jc w:val="center"/>
              <w:rPr>
                <w:sz w:val="28"/>
              </w:rPr>
            </w:pPr>
            <w:r>
              <w:rPr>
                <w:sz w:val="28"/>
              </w:rPr>
              <w:t>Для каждого отрицательного результата вероятность того, что он будет</w:t>
            </w:r>
          </w:p>
        </w:tc>
        <w:tc>
          <w:tcPr>
            <w:tcW w:w="1561" w:type="dxa"/>
          </w:tcPr>
          <w:p>
            <w:pPr>
              <w:pStyle w:val="TableParagraph"/>
              <w:spacing w:line="276" w:lineRule="auto"/>
              <w:ind w:left="158" w:right="48" w:hanging="5"/>
              <w:jc w:val="center"/>
              <w:rPr>
                <w:sz w:val="28"/>
              </w:rPr>
            </w:pPr>
            <w:r>
              <w:rPr>
                <w:sz w:val="28"/>
              </w:rPr>
              <w:t>истинно отрицатель ным</w:t>
            </w:r>
          </w:p>
        </w:tc>
        <w:tc>
          <w:tcPr>
            <w:tcW w:w="1133" w:type="dxa"/>
          </w:tcPr>
          <w:p>
            <w:pPr>
              <w:pStyle w:val="TableParagraph"/>
              <w:spacing w:before="8"/>
              <w:rPr>
                <w:sz w:val="26"/>
              </w:rPr>
            </w:pPr>
          </w:p>
          <w:p>
            <w:pPr>
              <w:pStyle w:val="TableParagraph"/>
              <w:ind w:right="75"/>
              <w:jc w:val="right"/>
              <w:rPr>
                <w:sz w:val="28"/>
              </w:rPr>
            </w:pPr>
            <w:r>
              <w:rPr>
                <w:sz w:val="28"/>
              </w:rPr>
              <w:t>82,61%</w:t>
            </w:r>
          </w:p>
        </w:tc>
        <w:tc>
          <w:tcPr>
            <w:tcW w:w="1277" w:type="dxa"/>
          </w:tcPr>
          <w:p>
            <w:pPr>
              <w:pStyle w:val="TableParagraph"/>
              <w:spacing w:before="177"/>
              <w:ind w:left="173"/>
              <w:rPr>
                <w:sz w:val="28"/>
              </w:rPr>
            </w:pPr>
            <w:r>
              <w:rPr>
                <w:sz w:val="28"/>
              </w:rPr>
              <w:t>60,45% -</w:t>
            </w:r>
          </w:p>
          <w:p>
            <w:pPr>
              <w:pStyle w:val="TableParagraph"/>
              <w:spacing w:before="49"/>
              <w:ind w:left="254"/>
              <w:rPr>
                <w:sz w:val="28"/>
              </w:rPr>
            </w:pPr>
            <w:r>
              <w:rPr>
                <w:sz w:val="28"/>
              </w:rPr>
              <w:t>94,28%</w:t>
            </w:r>
          </w:p>
        </w:tc>
        <w:tc>
          <w:tcPr>
            <w:tcW w:w="991" w:type="dxa"/>
          </w:tcPr>
          <w:p>
            <w:pPr>
              <w:pStyle w:val="TableParagraph"/>
              <w:spacing w:before="8"/>
              <w:rPr>
                <w:sz w:val="26"/>
              </w:rPr>
            </w:pPr>
          </w:p>
          <w:p>
            <w:pPr>
              <w:pStyle w:val="TableParagraph"/>
              <w:jc w:val="right"/>
              <w:rPr>
                <w:sz w:val="28"/>
              </w:rPr>
            </w:pPr>
            <w:r>
              <w:rPr>
                <w:sz w:val="28"/>
              </w:rPr>
              <w:t>88,46%</w:t>
            </w:r>
          </w:p>
        </w:tc>
        <w:tc>
          <w:tcPr>
            <w:tcW w:w="1419" w:type="dxa"/>
          </w:tcPr>
          <w:p>
            <w:pPr>
              <w:pStyle w:val="TableParagraph"/>
              <w:spacing w:before="177"/>
              <w:ind w:left="242"/>
              <w:rPr>
                <w:sz w:val="28"/>
              </w:rPr>
            </w:pPr>
            <w:r>
              <w:rPr>
                <w:sz w:val="28"/>
              </w:rPr>
              <w:t>68,72% -</w:t>
            </w:r>
          </w:p>
          <w:p>
            <w:pPr>
              <w:pStyle w:val="TableParagraph"/>
              <w:spacing w:before="49"/>
              <w:ind w:left="327"/>
              <w:rPr>
                <w:sz w:val="28"/>
              </w:rPr>
            </w:pPr>
            <w:r>
              <w:rPr>
                <w:sz w:val="28"/>
              </w:rPr>
              <w:t>96,97%</w:t>
            </w:r>
          </w:p>
        </w:tc>
        <w:tc>
          <w:tcPr>
            <w:tcW w:w="850" w:type="dxa"/>
          </w:tcPr>
          <w:p>
            <w:pPr/>
          </w:p>
        </w:tc>
      </w:tr>
      <w:tr>
        <w:trPr>
          <w:trHeight w:val="1683" w:hRule="exact"/>
        </w:trPr>
        <w:tc>
          <w:tcPr>
            <w:tcW w:w="1985" w:type="dxa"/>
            <w:vMerge/>
          </w:tcPr>
          <w:p>
            <w:pPr/>
          </w:p>
        </w:tc>
        <w:tc>
          <w:tcPr>
            <w:tcW w:w="1561" w:type="dxa"/>
          </w:tcPr>
          <w:p>
            <w:pPr>
              <w:pStyle w:val="TableParagraph"/>
              <w:spacing w:line="276" w:lineRule="auto" w:before="173"/>
              <w:ind w:left="158" w:right="48" w:hanging="2"/>
              <w:jc w:val="center"/>
              <w:rPr>
                <w:sz w:val="28"/>
              </w:rPr>
            </w:pPr>
            <w:r>
              <w:rPr>
                <w:sz w:val="28"/>
              </w:rPr>
              <w:t>ложно отрицатель ным</w:t>
            </w:r>
          </w:p>
        </w:tc>
        <w:tc>
          <w:tcPr>
            <w:tcW w:w="1133" w:type="dxa"/>
          </w:tcPr>
          <w:p>
            <w:pPr>
              <w:pStyle w:val="TableParagraph"/>
              <w:spacing w:before="4"/>
              <w:rPr>
                <w:sz w:val="42"/>
              </w:rPr>
            </w:pPr>
          </w:p>
          <w:p>
            <w:pPr>
              <w:pStyle w:val="TableParagraph"/>
              <w:ind w:right="75"/>
              <w:jc w:val="right"/>
              <w:rPr>
                <w:sz w:val="28"/>
              </w:rPr>
            </w:pPr>
            <w:r>
              <w:rPr>
                <w:sz w:val="28"/>
              </w:rPr>
              <w:t>17,39%</w:t>
            </w:r>
          </w:p>
        </w:tc>
        <w:tc>
          <w:tcPr>
            <w:tcW w:w="1277" w:type="dxa"/>
          </w:tcPr>
          <w:p>
            <w:pPr>
              <w:pStyle w:val="TableParagraph"/>
              <w:spacing w:before="3"/>
              <w:rPr>
                <w:sz w:val="31"/>
              </w:rPr>
            </w:pPr>
          </w:p>
          <w:p>
            <w:pPr>
              <w:pStyle w:val="TableParagraph"/>
              <w:ind w:left="242"/>
              <w:rPr>
                <w:sz w:val="28"/>
              </w:rPr>
            </w:pPr>
            <w:r>
              <w:rPr>
                <w:sz w:val="28"/>
              </w:rPr>
              <w:t>5,72% -</w:t>
            </w:r>
          </w:p>
          <w:p>
            <w:pPr>
              <w:pStyle w:val="TableParagraph"/>
              <w:spacing w:before="47"/>
              <w:ind w:left="254"/>
              <w:rPr>
                <w:sz w:val="28"/>
              </w:rPr>
            </w:pPr>
            <w:r>
              <w:rPr>
                <w:sz w:val="28"/>
              </w:rPr>
              <w:t>39,55%</w:t>
            </w:r>
          </w:p>
        </w:tc>
        <w:tc>
          <w:tcPr>
            <w:tcW w:w="991" w:type="dxa"/>
          </w:tcPr>
          <w:p>
            <w:pPr>
              <w:pStyle w:val="TableParagraph"/>
              <w:spacing w:before="4"/>
              <w:rPr>
                <w:sz w:val="42"/>
              </w:rPr>
            </w:pPr>
          </w:p>
          <w:p>
            <w:pPr>
              <w:pStyle w:val="TableParagraph"/>
              <w:jc w:val="right"/>
              <w:rPr>
                <w:sz w:val="28"/>
              </w:rPr>
            </w:pPr>
            <w:r>
              <w:rPr>
                <w:sz w:val="28"/>
              </w:rPr>
              <w:t>11,54%</w:t>
            </w:r>
          </w:p>
        </w:tc>
        <w:tc>
          <w:tcPr>
            <w:tcW w:w="1419" w:type="dxa"/>
          </w:tcPr>
          <w:p>
            <w:pPr>
              <w:pStyle w:val="TableParagraph"/>
              <w:spacing w:before="3"/>
              <w:rPr>
                <w:sz w:val="31"/>
              </w:rPr>
            </w:pPr>
          </w:p>
          <w:p>
            <w:pPr>
              <w:pStyle w:val="TableParagraph"/>
              <w:ind w:left="315"/>
              <w:rPr>
                <w:sz w:val="28"/>
              </w:rPr>
            </w:pPr>
            <w:r>
              <w:rPr>
                <w:sz w:val="28"/>
              </w:rPr>
              <w:t>3,03% -</w:t>
            </w:r>
          </w:p>
          <w:p>
            <w:pPr>
              <w:pStyle w:val="TableParagraph"/>
              <w:spacing w:before="47"/>
              <w:ind w:left="327"/>
              <w:rPr>
                <w:sz w:val="28"/>
              </w:rPr>
            </w:pPr>
            <w:r>
              <w:rPr>
                <w:sz w:val="28"/>
              </w:rPr>
              <w:t>31,28%</w:t>
            </w:r>
          </w:p>
        </w:tc>
        <w:tc>
          <w:tcPr>
            <w:tcW w:w="850" w:type="dxa"/>
          </w:tcPr>
          <w:p>
            <w:pPr/>
          </w:p>
        </w:tc>
      </w:tr>
    </w:tbl>
    <w:p>
      <w:pPr>
        <w:spacing w:after="0"/>
        <w:sectPr>
          <w:pgSz w:w="11900" w:h="16850"/>
          <w:pgMar w:header="712" w:footer="0" w:top="1020" w:bottom="280" w:left="1580" w:right="860"/>
        </w:sectPr>
      </w:pPr>
    </w:p>
    <w:p>
      <w:pPr>
        <w:pStyle w:val="BodyText"/>
        <w:rPr>
          <w:sz w:val="20"/>
        </w:rPr>
      </w:pPr>
    </w:p>
    <w:p>
      <w:pPr>
        <w:pStyle w:val="BodyText"/>
        <w:rPr>
          <w:sz w:val="20"/>
        </w:rPr>
      </w:pPr>
    </w:p>
    <w:p>
      <w:pPr>
        <w:pStyle w:val="BodyText"/>
        <w:spacing w:line="360" w:lineRule="auto" w:before="224"/>
        <w:ind w:left="102" w:right="103"/>
        <w:jc w:val="both"/>
      </w:pPr>
      <w:r>
        <w:rPr/>
        <w:t>Специфичность МРТ (76,7%) оказалась выше значения специфичности УЗИ (63,3%), хотя различие оказалось статистически недостоверным (р=0,14). Чувствительность обоих методов оказалась сопоставимой и достаточно высокой (77,8 и 83,3% соответственно). И все же, высокая частота ложноотрицательных заключений обоих методов исследования не позволяют слепо им доверять.</w:t>
      </w:r>
    </w:p>
    <w:p>
      <w:pPr>
        <w:pStyle w:val="BodyText"/>
        <w:tabs>
          <w:tab w:pos="4790" w:val="left" w:leader="none"/>
        </w:tabs>
        <w:spacing w:line="360" w:lineRule="auto" w:before="205"/>
        <w:ind w:left="102" w:right="102" w:firstLine="347"/>
        <w:jc w:val="both"/>
      </w:pPr>
      <w:r>
        <w:rPr/>
        <w:t>Мы также сопоставили результаты УЗИ и МРТ с результатами хирургического стадирования в оценке состояния парааортальных лимфатических узлов. При оценке информативности УЗИ только в 1  случае получено ложноотрицательное заключение, а в остальных данные УЗИ совпали с результатами гистологического исследования операционного    </w:t>
      </w:r>
      <w:r>
        <w:rPr>
          <w:spacing w:val="41"/>
        </w:rPr>
        <w:t> </w:t>
      </w:r>
      <w:r>
        <w:rPr/>
        <w:t>материала.</w:t>
        <w:tab/>
        <w:t>Как      уже    </w:t>
      </w:r>
      <w:r>
        <w:rPr>
          <w:spacing w:val="19"/>
        </w:rPr>
        <w:t> </w:t>
      </w:r>
      <w:r>
        <w:rPr/>
        <w:t>упоминалось    </w:t>
      </w:r>
      <w:r>
        <w:rPr>
          <w:spacing w:val="40"/>
        </w:rPr>
        <w:t> </w:t>
      </w:r>
      <w:r>
        <w:rPr/>
        <w:t>выше,</w:t>
      </w:r>
      <w:r>
        <w:rPr>
          <w:w w:val="100"/>
        </w:rPr>
        <w:t> </w:t>
      </w:r>
      <w:r>
        <w:rPr/>
        <w:t>ложноотрицательный результат был обусловлен обнаружением микрометастаза опухоли в одном из удаленных  лимфатических</w:t>
      </w:r>
      <w:r>
        <w:rPr>
          <w:spacing w:val="-24"/>
        </w:rPr>
        <w:t> </w:t>
      </w:r>
      <w:r>
        <w:rPr/>
        <w:t>узлов.</w:t>
      </w:r>
    </w:p>
    <w:p>
      <w:pPr>
        <w:pStyle w:val="BodyText"/>
        <w:spacing w:line="360" w:lineRule="auto" w:before="206"/>
        <w:ind w:left="102" w:right="100" w:firstLine="347"/>
        <w:jc w:val="both"/>
      </w:pPr>
      <w:r>
        <w:rPr/>
        <w:t>Приблизительно такой же оказалась информативность МРТ – исследования парааортальных лимфатических  узлов.  Зафиксирован только один ложноотрицательный результат, у той же пациентки с микрометастазами в подвздошных и парааортальных  лимфатических узлах. В остальных 16 случаях речь шла о</w:t>
      </w:r>
      <w:r>
        <w:rPr>
          <w:spacing w:val="-23"/>
        </w:rPr>
        <w:t> </w:t>
      </w:r>
      <w:r>
        <w:rPr/>
        <w:t>гипердиагностике.</w:t>
      </w:r>
    </w:p>
    <w:p>
      <w:pPr>
        <w:pStyle w:val="BodyText"/>
        <w:spacing w:line="360" w:lineRule="auto" w:before="204"/>
        <w:ind w:left="102" w:right="106" w:firstLine="417"/>
        <w:jc w:val="both"/>
      </w:pPr>
      <w:r>
        <w:rPr/>
        <w:t>Значения чувствительности и специфичности УЗИ и МРТ в оценке состояния парааортальных лимфатических узлов представлены в следующей таблице (Табл. 4.13).</w:t>
      </w:r>
    </w:p>
    <w:p>
      <w:pPr>
        <w:spacing w:after="0" w:line="360" w:lineRule="auto"/>
        <w:jc w:val="both"/>
        <w:sectPr>
          <w:pgSz w:w="11900" w:h="16850"/>
          <w:pgMar w:header="712" w:footer="0" w:top="1020" w:bottom="280" w:left="1600" w:right="1020"/>
        </w:sectPr>
      </w:pPr>
    </w:p>
    <w:p>
      <w:pPr>
        <w:pStyle w:val="BodyText"/>
        <w:rPr>
          <w:sz w:val="20"/>
        </w:rPr>
      </w:pPr>
    </w:p>
    <w:p>
      <w:pPr>
        <w:pStyle w:val="BodyText"/>
        <w:spacing w:before="8"/>
        <w:rPr>
          <w:sz w:val="17"/>
        </w:rPr>
      </w:pPr>
    </w:p>
    <w:p>
      <w:pPr>
        <w:pStyle w:val="BodyText"/>
        <w:tabs>
          <w:tab w:pos="4224" w:val="left" w:leader="none"/>
        </w:tabs>
        <w:spacing w:line="388" w:lineRule="auto" w:before="89" w:after="15"/>
        <w:ind w:left="282" w:right="121" w:firstLine="7350"/>
      </w:pPr>
      <w:r>
        <w:rPr/>
        <w:t>Таблица 4.13 Информативность  УЗИ</w:t>
      </w:r>
      <w:r>
        <w:rPr>
          <w:spacing w:val="-5"/>
        </w:rPr>
        <w:t> </w:t>
      </w:r>
      <w:r>
        <w:rPr/>
        <w:t>и</w:t>
      </w:r>
      <w:r>
        <w:rPr>
          <w:spacing w:val="1"/>
        </w:rPr>
        <w:t> </w:t>
      </w:r>
      <w:r>
        <w:rPr/>
        <w:t>МРТ</w:t>
        <w:tab/>
        <w:t>в оценке состояния парааортальных</w:t>
      </w:r>
      <w:r>
        <w:rPr>
          <w:spacing w:val="61"/>
        </w:rPr>
        <w:t> </w:t>
      </w:r>
      <w:r>
        <w:rPr/>
        <w:t>л/у</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1419"/>
        <w:gridCol w:w="1133"/>
        <w:gridCol w:w="1419"/>
        <w:gridCol w:w="991"/>
        <w:gridCol w:w="1277"/>
        <w:gridCol w:w="850"/>
      </w:tblGrid>
      <w:tr>
        <w:trPr>
          <w:trHeight w:val="578" w:hRule="exact"/>
        </w:trPr>
        <w:tc>
          <w:tcPr>
            <w:tcW w:w="3404" w:type="dxa"/>
            <w:gridSpan w:val="2"/>
            <w:vMerge w:val="restart"/>
          </w:tcPr>
          <w:p>
            <w:pPr>
              <w:pStyle w:val="TableParagraph"/>
              <w:spacing w:before="2"/>
              <w:rPr>
                <w:sz w:val="38"/>
              </w:rPr>
            </w:pPr>
          </w:p>
          <w:p>
            <w:pPr>
              <w:pStyle w:val="TableParagraph"/>
              <w:spacing w:line="276" w:lineRule="auto"/>
              <w:ind w:left="1060" w:right="742" w:hanging="75"/>
              <w:rPr>
                <w:sz w:val="28"/>
              </w:rPr>
            </w:pPr>
            <w:r>
              <w:rPr>
                <w:sz w:val="28"/>
              </w:rPr>
              <w:t>Оцениваемые параметры</w:t>
            </w:r>
          </w:p>
        </w:tc>
        <w:tc>
          <w:tcPr>
            <w:tcW w:w="4820" w:type="dxa"/>
            <w:gridSpan w:val="4"/>
          </w:tcPr>
          <w:p>
            <w:pPr>
              <w:pStyle w:val="TableParagraph"/>
              <w:spacing w:line="315" w:lineRule="exact"/>
              <w:ind w:left="1144"/>
              <w:rPr>
                <w:sz w:val="28"/>
              </w:rPr>
            </w:pPr>
            <w:r>
              <w:rPr>
                <w:sz w:val="28"/>
              </w:rPr>
              <w:t>Методы диагностики</w:t>
            </w:r>
          </w:p>
        </w:tc>
        <w:tc>
          <w:tcPr>
            <w:tcW w:w="850" w:type="dxa"/>
            <w:vMerge w:val="restart"/>
          </w:tcPr>
          <w:p>
            <w:pPr>
              <w:pStyle w:val="TableParagraph"/>
              <w:rPr>
                <w:sz w:val="30"/>
              </w:rPr>
            </w:pPr>
          </w:p>
          <w:p>
            <w:pPr>
              <w:pStyle w:val="TableParagraph"/>
              <w:spacing w:before="3"/>
              <w:rPr>
                <w:sz w:val="24"/>
              </w:rPr>
            </w:pPr>
          </w:p>
          <w:p>
            <w:pPr>
              <w:pStyle w:val="TableParagraph"/>
              <w:ind w:left="26"/>
              <w:jc w:val="center"/>
              <w:rPr>
                <w:sz w:val="28"/>
              </w:rPr>
            </w:pPr>
            <w:r>
              <w:rPr>
                <w:w w:val="100"/>
                <w:sz w:val="28"/>
              </w:rPr>
              <w:t>P</w:t>
            </w:r>
          </w:p>
        </w:tc>
      </w:tr>
      <w:tr>
        <w:trPr>
          <w:trHeight w:val="1265" w:hRule="exact"/>
        </w:trPr>
        <w:tc>
          <w:tcPr>
            <w:tcW w:w="3404" w:type="dxa"/>
            <w:gridSpan w:val="2"/>
            <w:vMerge/>
          </w:tcPr>
          <w:p>
            <w:pPr/>
          </w:p>
        </w:tc>
        <w:tc>
          <w:tcPr>
            <w:tcW w:w="1133" w:type="dxa"/>
          </w:tcPr>
          <w:p>
            <w:pPr>
              <w:pStyle w:val="TableParagraph"/>
              <w:spacing w:line="424" w:lineRule="auto" w:before="50"/>
              <w:ind w:left="362" w:right="263" w:hanging="63"/>
              <w:rPr>
                <w:sz w:val="28"/>
              </w:rPr>
            </w:pPr>
            <w:r>
              <w:rPr>
                <w:sz w:val="28"/>
              </w:rPr>
              <w:t>УЗИ (%)</w:t>
            </w:r>
          </w:p>
        </w:tc>
        <w:tc>
          <w:tcPr>
            <w:tcW w:w="1419" w:type="dxa"/>
          </w:tcPr>
          <w:p>
            <w:pPr>
              <w:pStyle w:val="TableParagraph"/>
              <w:rPr>
                <w:sz w:val="30"/>
              </w:rPr>
            </w:pPr>
          </w:p>
          <w:p>
            <w:pPr>
              <w:pStyle w:val="TableParagraph"/>
              <w:spacing w:before="219"/>
              <w:ind w:left="228"/>
              <w:rPr>
                <w:sz w:val="28"/>
              </w:rPr>
            </w:pPr>
            <w:r>
              <w:rPr>
                <w:sz w:val="28"/>
              </w:rPr>
              <w:t>(95%CI)</w:t>
            </w:r>
          </w:p>
        </w:tc>
        <w:tc>
          <w:tcPr>
            <w:tcW w:w="991" w:type="dxa"/>
          </w:tcPr>
          <w:p>
            <w:pPr>
              <w:pStyle w:val="TableParagraph"/>
              <w:spacing w:line="424" w:lineRule="auto" w:before="50"/>
              <w:ind w:left="328" w:right="170" w:hanging="113"/>
              <w:rPr>
                <w:sz w:val="28"/>
              </w:rPr>
            </w:pPr>
            <w:r>
              <w:rPr>
                <w:sz w:val="28"/>
              </w:rPr>
              <w:t>МРТ (%)</w:t>
            </w:r>
          </w:p>
        </w:tc>
        <w:tc>
          <w:tcPr>
            <w:tcW w:w="1277" w:type="dxa"/>
          </w:tcPr>
          <w:p>
            <w:pPr>
              <w:pStyle w:val="TableParagraph"/>
              <w:rPr>
                <w:sz w:val="30"/>
              </w:rPr>
            </w:pPr>
          </w:p>
          <w:p>
            <w:pPr>
              <w:pStyle w:val="TableParagraph"/>
              <w:spacing w:before="219"/>
              <w:ind w:left="156"/>
              <w:rPr>
                <w:sz w:val="28"/>
              </w:rPr>
            </w:pPr>
            <w:r>
              <w:rPr>
                <w:sz w:val="28"/>
              </w:rPr>
              <w:t>(95%CI)</w:t>
            </w:r>
          </w:p>
        </w:tc>
        <w:tc>
          <w:tcPr>
            <w:tcW w:w="850" w:type="dxa"/>
            <w:vMerge/>
          </w:tcPr>
          <w:p>
            <w:pPr/>
          </w:p>
        </w:tc>
      </w:tr>
      <w:tr>
        <w:trPr>
          <w:trHeight w:val="951" w:hRule="exact"/>
        </w:trPr>
        <w:tc>
          <w:tcPr>
            <w:tcW w:w="3404" w:type="dxa"/>
            <w:gridSpan w:val="2"/>
          </w:tcPr>
          <w:p>
            <w:pPr>
              <w:pStyle w:val="TableParagraph"/>
              <w:spacing w:before="122"/>
              <w:ind w:left="667"/>
              <w:rPr>
                <w:sz w:val="28"/>
              </w:rPr>
            </w:pPr>
            <w:r>
              <w:rPr>
                <w:sz w:val="28"/>
              </w:rPr>
              <w:t>Чувствительность</w:t>
            </w:r>
          </w:p>
        </w:tc>
        <w:tc>
          <w:tcPr>
            <w:tcW w:w="1133" w:type="dxa"/>
          </w:tcPr>
          <w:p>
            <w:pPr>
              <w:pStyle w:val="TableParagraph"/>
              <w:spacing w:before="122"/>
              <w:ind w:left="160" w:right="58"/>
              <w:jc w:val="center"/>
              <w:rPr>
                <w:sz w:val="28"/>
              </w:rPr>
            </w:pPr>
            <w:r>
              <w:rPr>
                <w:sz w:val="28"/>
              </w:rPr>
              <w:t>83,33%</w:t>
            </w:r>
          </w:p>
        </w:tc>
        <w:tc>
          <w:tcPr>
            <w:tcW w:w="1419" w:type="dxa"/>
          </w:tcPr>
          <w:p>
            <w:pPr>
              <w:pStyle w:val="TableParagraph"/>
              <w:spacing w:line="315" w:lineRule="exact"/>
              <w:ind w:left="278"/>
              <w:rPr>
                <w:sz w:val="28"/>
              </w:rPr>
            </w:pPr>
            <w:r>
              <w:rPr>
                <w:sz w:val="28"/>
              </w:rPr>
              <w:t>21,94%-</w:t>
            </w:r>
          </w:p>
          <w:p>
            <w:pPr>
              <w:pStyle w:val="TableParagraph"/>
              <w:spacing w:before="48"/>
              <w:ind w:left="326"/>
              <w:rPr>
                <w:sz w:val="28"/>
              </w:rPr>
            </w:pPr>
            <w:r>
              <w:rPr>
                <w:sz w:val="28"/>
              </w:rPr>
              <w:t>98,68%</w:t>
            </w:r>
          </w:p>
        </w:tc>
        <w:tc>
          <w:tcPr>
            <w:tcW w:w="991" w:type="dxa"/>
          </w:tcPr>
          <w:p>
            <w:pPr>
              <w:pStyle w:val="TableParagraph"/>
              <w:spacing w:before="122"/>
              <w:ind w:left="109"/>
              <w:jc w:val="center"/>
              <w:rPr>
                <w:sz w:val="28"/>
              </w:rPr>
            </w:pPr>
            <w:r>
              <w:rPr>
                <w:sz w:val="28"/>
              </w:rPr>
              <w:t>83,33%</w:t>
            </w:r>
          </w:p>
        </w:tc>
        <w:tc>
          <w:tcPr>
            <w:tcW w:w="1277" w:type="dxa"/>
          </w:tcPr>
          <w:p>
            <w:pPr>
              <w:pStyle w:val="TableParagraph"/>
              <w:spacing w:line="315" w:lineRule="exact"/>
              <w:ind w:left="208"/>
              <w:rPr>
                <w:sz w:val="28"/>
              </w:rPr>
            </w:pPr>
            <w:r>
              <w:rPr>
                <w:sz w:val="28"/>
              </w:rPr>
              <w:t>21,94%-</w:t>
            </w:r>
          </w:p>
          <w:p>
            <w:pPr>
              <w:pStyle w:val="TableParagraph"/>
              <w:spacing w:before="48"/>
              <w:ind w:left="254"/>
              <w:rPr>
                <w:sz w:val="28"/>
              </w:rPr>
            </w:pPr>
            <w:r>
              <w:rPr>
                <w:sz w:val="28"/>
              </w:rPr>
              <w:t>98,68%</w:t>
            </w:r>
          </w:p>
        </w:tc>
        <w:tc>
          <w:tcPr>
            <w:tcW w:w="850" w:type="dxa"/>
          </w:tcPr>
          <w:p>
            <w:pPr>
              <w:pStyle w:val="TableParagraph"/>
              <w:spacing w:before="122"/>
              <w:ind w:left="254"/>
              <w:rPr>
                <w:sz w:val="28"/>
              </w:rPr>
            </w:pPr>
            <w:r>
              <w:rPr>
                <w:sz w:val="28"/>
              </w:rPr>
              <w:t>p=1</w:t>
            </w:r>
          </w:p>
        </w:tc>
      </w:tr>
      <w:tr>
        <w:trPr>
          <w:trHeight w:val="950" w:hRule="exact"/>
        </w:trPr>
        <w:tc>
          <w:tcPr>
            <w:tcW w:w="3404" w:type="dxa"/>
            <w:gridSpan w:val="2"/>
          </w:tcPr>
          <w:p>
            <w:pPr>
              <w:pStyle w:val="TableParagraph"/>
              <w:spacing w:before="122"/>
              <w:ind w:left="801"/>
              <w:rPr>
                <w:sz w:val="28"/>
              </w:rPr>
            </w:pPr>
            <w:r>
              <w:rPr>
                <w:sz w:val="28"/>
              </w:rPr>
              <w:t>Специфичность</w:t>
            </w:r>
          </w:p>
        </w:tc>
        <w:tc>
          <w:tcPr>
            <w:tcW w:w="1133" w:type="dxa"/>
          </w:tcPr>
          <w:p>
            <w:pPr>
              <w:pStyle w:val="TableParagraph"/>
              <w:spacing w:before="122"/>
              <w:ind w:left="160" w:right="57"/>
              <w:jc w:val="center"/>
              <w:rPr>
                <w:sz w:val="28"/>
              </w:rPr>
            </w:pPr>
            <w:r>
              <w:rPr>
                <w:sz w:val="28"/>
              </w:rPr>
              <w:t>100%</w:t>
            </w:r>
          </w:p>
        </w:tc>
        <w:tc>
          <w:tcPr>
            <w:tcW w:w="1419" w:type="dxa"/>
          </w:tcPr>
          <w:p>
            <w:pPr>
              <w:pStyle w:val="TableParagraph"/>
              <w:spacing w:line="315" w:lineRule="exact"/>
              <w:ind w:left="223" w:right="115"/>
              <w:jc w:val="center"/>
              <w:rPr>
                <w:sz w:val="28"/>
              </w:rPr>
            </w:pPr>
            <w:r>
              <w:rPr>
                <w:sz w:val="28"/>
              </w:rPr>
              <w:t>90,00%-</w:t>
            </w:r>
          </w:p>
          <w:p>
            <w:pPr>
              <w:pStyle w:val="TableParagraph"/>
              <w:spacing w:before="47"/>
              <w:ind w:left="223" w:right="112"/>
              <w:jc w:val="center"/>
              <w:rPr>
                <w:sz w:val="28"/>
              </w:rPr>
            </w:pPr>
            <w:r>
              <w:rPr>
                <w:sz w:val="28"/>
              </w:rPr>
              <w:t>100%</w:t>
            </w:r>
          </w:p>
        </w:tc>
        <w:tc>
          <w:tcPr>
            <w:tcW w:w="991" w:type="dxa"/>
          </w:tcPr>
          <w:p>
            <w:pPr>
              <w:pStyle w:val="TableParagraph"/>
              <w:spacing w:before="122"/>
              <w:ind w:left="109"/>
              <w:jc w:val="center"/>
              <w:rPr>
                <w:sz w:val="28"/>
              </w:rPr>
            </w:pPr>
            <w:r>
              <w:rPr>
                <w:sz w:val="28"/>
              </w:rPr>
              <w:t>72,73%</w:t>
            </w:r>
          </w:p>
        </w:tc>
        <w:tc>
          <w:tcPr>
            <w:tcW w:w="1277" w:type="dxa"/>
          </w:tcPr>
          <w:p>
            <w:pPr>
              <w:pStyle w:val="TableParagraph"/>
              <w:spacing w:line="315" w:lineRule="exact"/>
              <w:ind w:left="208"/>
              <w:rPr>
                <w:sz w:val="28"/>
              </w:rPr>
            </w:pPr>
            <w:r>
              <w:rPr>
                <w:sz w:val="28"/>
              </w:rPr>
              <w:t>56,96%-</w:t>
            </w:r>
          </w:p>
          <w:p>
            <w:pPr>
              <w:pStyle w:val="TableParagraph"/>
              <w:spacing w:before="47"/>
              <w:ind w:left="254"/>
              <w:rPr>
                <w:sz w:val="28"/>
              </w:rPr>
            </w:pPr>
            <w:r>
              <w:rPr>
                <w:sz w:val="28"/>
              </w:rPr>
              <w:t>84,54%</w:t>
            </w:r>
          </w:p>
        </w:tc>
        <w:tc>
          <w:tcPr>
            <w:tcW w:w="850" w:type="dxa"/>
          </w:tcPr>
          <w:p>
            <w:pPr/>
          </w:p>
        </w:tc>
      </w:tr>
      <w:tr>
        <w:trPr>
          <w:trHeight w:val="1176" w:hRule="exact"/>
        </w:trPr>
        <w:tc>
          <w:tcPr>
            <w:tcW w:w="1985" w:type="dxa"/>
            <w:vMerge w:val="restart"/>
          </w:tcPr>
          <w:p>
            <w:pPr>
              <w:pStyle w:val="TableParagraph"/>
              <w:spacing w:line="276" w:lineRule="auto" w:before="38"/>
              <w:ind w:left="180" w:right="162" w:hanging="3"/>
              <w:jc w:val="center"/>
              <w:rPr>
                <w:sz w:val="28"/>
              </w:rPr>
            </w:pPr>
            <w:r>
              <w:rPr>
                <w:sz w:val="28"/>
              </w:rPr>
              <w:t>Для каждого результата исследования вероятность,</w:t>
            </w:r>
          </w:p>
          <w:p>
            <w:pPr>
              <w:pStyle w:val="TableParagraph"/>
              <w:spacing w:before="200"/>
              <w:ind w:left="27" w:right="14"/>
              <w:jc w:val="center"/>
              <w:rPr>
                <w:sz w:val="28"/>
              </w:rPr>
            </w:pPr>
            <w:r>
              <w:rPr>
                <w:sz w:val="28"/>
              </w:rPr>
              <w:t>что он будет</w:t>
            </w:r>
          </w:p>
        </w:tc>
        <w:tc>
          <w:tcPr>
            <w:tcW w:w="1419" w:type="dxa"/>
          </w:tcPr>
          <w:p>
            <w:pPr>
              <w:pStyle w:val="TableParagraph"/>
              <w:spacing w:line="360" w:lineRule="auto"/>
              <w:ind w:left="255" w:right="90" w:hanging="15"/>
              <w:rPr>
                <w:sz w:val="28"/>
              </w:rPr>
            </w:pPr>
            <w:r>
              <w:rPr>
                <w:sz w:val="28"/>
              </w:rPr>
              <w:t>Положи- тельным</w:t>
            </w:r>
          </w:p>
        </w:tc>
        <w:tc>
          <w:tcPr>
            <w:tcW w:w="1133" w:type="dxa"/>
          </w:tcPr>
          <w:p>
            <w:pPr>
              <w:pStyle w:val="TableParagraph"/>
              <w:spacing w:before="235"/>
              <w:ind w:left="160" w:right="54"/>
              <w:jc w:val="center"/>
              <w:rPr>
                <w:sz w:val="28"/>
              </w:rPr>
            </w:pPr>
            <w:r>
              <w:rPr>
                <w:sz w:val="28"/>
              </w:rPr>
              <w:t>6,25%</w:t>
            </w:r>
          </w:p>
        </w:tc>
        <w:tc>
          <w:tcPr>
            <w:tcW w:w="1419" w:type="dxa"/>
          </w:tcPr>
          <w:p>
            <w:pPr>
              <w:pStyle w:val="TableParagraph"/>
              <w:spacing w:line="315" w:lineRule="exact"/>
              <w:ind w:left="350"/>
              <w:rPr>
                <w:sz w:val="28"/>
              </w:rPr>
            </w:pPr>
            <w:r>
              <w:rPr>
                <w:sz w:val="28"/>
              </w:rPr>
              <w:t>1,63%-</w:t>
            </w:r>
          </w:p>
          <w:p>
            <w:pPr>
              <w:pStyle w:val="TableParagraph"/>
              <w:spacing w:before="160"/>
              <w:ind w:left="326"/>
              <w:rPr>
                <w:sz w:val="28"/>
              </w:rPr>
            </w:pPr>
            <w:r>
              <w:rPr>
                <w:sz w:val="28"/>
              </w:rPr>
              <w:t>18,21%</w:t>
            </w:r>
          </w:p>
        </w:tc>
        <w:tc>
          <w:tcPr>
            <w:tcW w:w="991" w:type="dxa"/>
          </w:tcPr>
          <w:p>
            <w:pPr>
              <w:pStyle w:val="TableParagraph"/>
              <w:spacing w:before="235"/>
              <w:ind w:left="109"/>
              <w:jc w:val="center"/>
              <w:rPr>
                <w:sz w:val="28"/>
              </w:rPr>
            </w:pPr>
            <w:r>
              <w:rPr>
                <w:sz w:val="28"/>
              </w:rPr>
              <w:t>31,25%</w:t>
            </w:r>
          </w:p>
        </w:tc>
        <w:tc>
          <w:tcPr>
            <w:tcW w:w="1277" w:type="dxa"/>
          </w:tcPr>
          <w:p>
            <w:pPr>
              <w:pStyle w:val="TableParagraph"/>
              <w:spacing w:before="105"/>
              <w:ind w:left="208"/>
              <w:rPr>
                <w:sz w:val="28"/>
              </w:rPr>
            </w:pPr>
            <w:r>
              <w:rPr>
                <w:sz w:val="28"/>
              </w:rPr>
              <w:t>19,09%-</w:t>
            </w:r>
          </w:p>
          <w:p>
            <w:pPr>
              <w:pStyle w:val="TableParagraph"/>
              <w:spacing w:before="47"/>
              <w:ind w:left="254"/>
              <w:rPr>
                <w:sz w:val="28"/>
              </w:rPr>
            </w:pPr>
            <w:r>
              <w:rPr>
                <w:sz w:val="28"/>
              </w:rPr>
              <w:t>46,40%</w:t>
            </w:r>
          </w:p>
        </w:tc>
        <w:tc>
          <w:tcPr>
            <w:tcW w:w="850" w:type="dxa"/>
          </w:tcPr>
          <w:p>
            <w:pPr/>
          </w:p>
        </w:tc>
      </w:tr>
      <w:tr>
        <w:trPr>
          <w:trHeight w:val="1176" w:hRule="exact"/>
        </w:trPr>
        <w:tc>
          <w:tcPr>
            <w:tcW w:w="1985" w:type="dxa"/>
            <w:vMerge/>
          </w:tcPr>
          <w:p>
            <w:pPr/>
          </w:p>
        </w:tc>
        <w:tc>
          <w:tcPr>
            <w:tcW w:w="1419" w:type="dxa"/>
          </w:tcPr>
          <w:p>
            <w:pPr>
              <w:pStyle w:val="TableParagraph"/>
              <w:spacing w:line="360" w:lineRule="auto"/>
              <w:ind w:left="243" w:right="117" w:firstLine="24"/>
              <w:rPr>
                <w:sz w:val="28"/>
              </w:rPr>
            </w:pPr>
            <w:r>
              <w:rPr>
                <w:sz w:val="28"/>
              </w:rPr>
              <w:t>Отрица- тельным</w:t>
            </w:r>
          </w:p>
        </w:tc>
        <w:tc>
          <w:tcPr>
            <w:tcW w:w="1133" w:type="dxa"/>
          </w:tcPr>
          <w:p>
            <w:pPr>
              <w:pStyle w:val="TableParagraph"/>
              <w:spacing w:before="235"/>
              <w:ind w:left="160" w:right="58"/>
              <w:jc w:val="center"/>
              <w:rPr>
                <w:sz w:val="28"/>
              </w:rPr>
            </w:pPr>
            <w:r>
              <w:rPr>
                <w:sz w:val="28"/>
              </w:rPr>
              <w:t>93,75%</w:t>
            </w:r>
          </w:p>
        </w:tc>
        <w:tc>
          <w:tcPr>
            <w:tcW w:w="1419" w:type="dxa"/>
          </w:tcPr>
          <w:p>
            <w:pPr>
              <w:pStyle w:val="TableParagraph"/>
              <w:spacing w:before="105"/>
              <w:ind w:left="278"/>
              <w:rPr>
                <w:sz w:val="28"/>
              </w:rPr>
            </w:pPr>
            <w:r>
              <w:rPr>
                <w:sz w:val="28"/>
              </w:rPr>
              <w:t>81,79%-</w:t>
            </w:r>
          </w:p>
          <w:p>
            <w:pPr>
              <w:pStyle w:val="TableParagraph"/>
              <w:spacing w:before="47"/>
              <w:ind w:left="326"/>
              <w:rPr>
                <w:sz w:val="28"/>
              </w:rPr>
            </w:pPr>
            <w:r>
              <w:rPr>
                <w:sz w:val="28"/>
              </w:rPr>
              <w:t>98,37%</w:t>
            </w:r>
          </w:p>
        </w:tc>
        <w:tc>
          <w:tcPr>
            <w:tcW w:w="991" w:type="dxa"/>
          </w:tcPr>
          <w:p>
            <w:pPr>
              <w:pStyle w:val="TableParagraph"/>
              <w:spacing w:before="235"/>
              <w:ind w:left="109"/>
              <w:jc w:val="center"/>
              <w:rPr>
                <w:sz w:val="28"/>
              </w:rPr>
            </w:pPr>
            <w:r>
              <w:rPr>
                <w:sz w:val="28"/>
              </w:rPr>
              <w:t>68,75%</w:t>
            </w:r>
          </w:p>
        </w:tc>
        <w:tc>
          <w:tcPr>
            <w:tcW w:w="1277" w:type="dxa"/>
          </w:tcPr>
          <w:p>
            <w:pPr>
              <w:pStyle w:val="TableParagraph"/>
              <w:spacing w:before="105"/>
              <w:ind w:left="208"/>
              <w:rPr>
                <w:sz w:val="28"/>
              </w:rPr>
            </w:pPr>
            <w:r>
              <w:rPr>
                <w:sz w:val="28"/>
              </w:rPr>
              <w:t>53,60%-</w:t>
            </w:r>
          </w:p>
          <w:p>
            <w:pPr>
              <w:pStyle w:val="TableParagraph"/>
              <w:spacing w:before="47"/>
              <w:ind w:left="254"/>
              <w:rPr>
                <w:sz w:val="28"/>
              </w:rPr>
            </w:pPr>
            <w:r>
              <w:rPr>
                <w:sz w:val="28"/>
              </w:rPr>
              <w:t>80,91%</w:t>
            </w:r>
          </w:p>
        </w:tc>
        <w:tc>
          <w:tcPr>
            <w:tcW w:w="850" w:type="dxa"/>
          </w:tcPr>
          <w:p>
            <w:pPr/>
          </w:p>
        </w:tc>
      </w:tr>
      <w:tr>
        <w:trPr>
          <w:trHeight w:val="1320" w:hRule="exact"/>
        </w:trPr>
        <w:tc>
          <w:tcPr>
            <w:tcW w:w="1985" w:type="dxa"/>
            <w:vMerge w:val="restart"/>
          </w:tcPr>
          <w:p>
            <w:pPr>
              <w:pStyle w:val="TableParagraph"/>
              <w:spacing w:line="315" w:lineRule="exact"/>
              <w:ind w:left="39" w:right="13"/>
              <w:jc w:val="center"/>
              <w:rPr>
                <w:sz w:val="28"/>
              </w:rPr>
            </w:pPr>
            <w:r>
              <w:rPr>
                <w:sz w:val="28"/>
              </w:rPr>
              <w:t>(PPV)</w:t>
            </w:r>
          </w:p>
          <w:p>
            <w:pPr>
              <w:pStyle w:val="TableParagraph"/>
              <w:spacing w:line="276" w:lineRule="auto" w:before="249"/>
              <w:ind w:left="83" w:right="57" w:hanging="3"/>
              <w:jc w:val="center"/>
              <w:rPr>
                <w:sz w:val="28"/>
              </w:rPr>
            </w:pPr>
            <w:r>
              <w:rPr>
                <w:sz w:val="28"/>
              </w:rPr>
              <w:t>Для каждого положительног о результата исследования вероятность,</w:t>
            </w:r>
          </w:p>
          <w:p>
            <w:pPr>
              <w:pStyle w:val="TableParagraph"/>
              <w:spacing w:before="200"/>
              <w:ind w:left="37" w:right="14"/>
              <w:jc w:val="center"/>
              <w:rPr>
                <w:sz w:val="28"/>
              </w:rPr>
            </w:pPr>
            <w:r>
              <w:rPr>
                <w:sz w:val="28"/>
              </w:rPr>
              <w:t>что он будет</w:t>
            </w:r>
          </w:p>
        </w:tc>
        <w:tc>
          <w:tcPr>
            <w:tcW w:w="1419" w:type="dxa"/>
          </w:tcPr>
          <w:p>
            <w:pPr>
              <w:pStyle w:val="TableParagraph"/>
              <w:spacing w:line="276" w:lineRule="auto"/>
              <w:ind w:left="243" w:right="133" w:firstLine="19"/>
              <w:jc w:val="both"/>
              <w:rPr>
                <w:sz w:val="28"/>
              </w:rPr>
            </w:pPr>
            <w:r>
              <w:rPr>
                <w:sz w:val="28"/>
              </w:rPr>
              <w:t>истинно положи- тельным</w:t>
            </w:r>
          </w:p>
        </w:tc>
        <w:tc>
          <w:tcPr>
            <w:tcW w:w="1133" w:type="dxa"/>
          </w:tcPr>
          <w:p>
            <w:pPr>
              <w:pStyle w:val="TableParagraph"/>
              <w:spacing w:before="8"/>
              <w:rPr>
                <w:sz w:val="26"/>
              </w:rPr>
            </w:pPr>
          </w:p>
          <w:p>
            <w:pPr>
              <w:pStyle w:val="TableParagraph"/>
              <w:ind w:left="160" w:right="57"/>
              <w:jc w:val="center"/>
              <w:rPr>
                <w:sz w:val="28"/>
              </w:rPr>
            </w:pPr>
            <w:r>
              <w:rPr>
                <w:sz w:val="28"/>
              </w:rPr>
              <w:t>100%</w:t>
            </w:r>
          </w:p>
        </w:tc>
        <w:tc>
          <w:tcPr>
            <w:tcW w:w="1419" w:type="dxa"/>
          </w:tcPr>
          <w:p>
            <w:pPr>
              <w:pStyle w:val="TableParagraph"/>
              <w:spacing w:before="177"/>
              <w:ind w:left="223" w:right="118"/>
              <w:jc w:val="center"/>
              <w:rPr>
                <w:sz w:val="28"/>
              </w:rPr>
            </w:pPr>
            <w:r>
              <w:rPr>
                <w:sz w:val="28"/>
              </w:rPr>
              <w:t>31,00% -</w:t>
            </w:r>
          </w:p>
          <w:p>
            <w:pPr>
              <w:pStyle w:val="TableParagraph"/>
              <w:spacing w:before="47"/>
              <w:ind w:left="223" w:right="112"/>
              <w:jc w:val="center"/>
              <w:rPr>
                <w:sz w:val="28"/>
              </w:rPr>
            </w:pPr>
            <w:r>
              <w:rPr>
                <w:sz w:val="28"/>
              </w:rPr>
              <w:t>100%</w:t>
            </w:r>
          </w:p>
        </w:tc>
        <w:tc>
          <w:tcPr>
            <w:tcW w:w="991" w:type="dxa"/>
          </w:tcPr>
          <w:p>
            <w:pPr>
              <w:pStyle w:val="TableParagraph"/>
              <w:spacing w:before="8"/>
              <w:rPr>
                <w:sz w:val="26"/>
              </w:rPr>
            </w:pPr>
          </w:p>
          <w:p>
            <w:pPr>
              <w:pStyle w:val="TableParagraph"/>
              <w:ind w:left="109"/>
              <w:jc w:val="center"/>
              <w:rPr>
                <w:sz w:val="28"/>
              </w:rPr>
            </w:pPr>
            <w:r>
              <w:rPr>
                <w:sz w:val="28"/>
              </w:rPr>
              <w:t>20,00%</w:t>
            </w:r>
          </w:p>
        </w:tc>
        <w:tc>
          <w:tcPr>
            <w:tcW w:w="1277" w:type="dxa"/>
          </w:tcPr>
          <w:p>
            <w:pPr>
              <w:pStyle w:val="TableParagraph"/>
              <w:spacing w:before="177"/>
              <w:ind w:left="242"/>
              <w:rPr>
                <w:sz w:val="28"/>
              </w:rPr>
            </w:pPr>
            <w:r>
              <w:rPr>
                <w:sz w:val="28"/>
              </w:rPr>
              <w:t>5,31% -</w:t>
            </w:r>
          </w:p>
          <w:p>
            <w:pPr>
              <w:pStyle w:val="TableParagraph"/>
              <w:spacing w:before="47"/>
              <w:ind w:left="254"/>
              <w:rPr>
                <w:sz w:val="28"/>
              </w:rPr>
            </w:pPr>
            <w:r>
              <w:rPr>
                <w:sz w:val="28"/>
              </w:rPr>
              <w:t>48,63%</w:t>
            </w:r>
          </w:p>
        </w:tc>
        <w:tc>
          <w:tcPr>
            <w:tcW w:w="850" w:type="dxa"/>
          </w:tcPr>
          <w:p>
            <w:pPr/>
          </w:p>
        </w:tc>
      </w:tr>
      <w:tr>
        <w:trPr>
          <w:trHeight w:val="1882" w:hRule="exact"/>
        </w:trPr>
        <w:tc>
          <w:tcPr>
            <w:tcW w:w="1985" w:type="dxa"/>
            <w:vMerge/>
          </w:tcPr>
          <w:p>
            <w:pPr/>
          </w:p>
        </w:tc>
        <w:tc>
          <w:tcPr>
            <w:tcW w:w="1419" w:type="dxa"/>
          </w:tcPr>
          <w:p>
            <w:pPr>
              <w:pStyle w:val="TableParagraph"/>
              <w:spacing w:before="9"/>
              <w:rPr>
                <w:sz w:val="23"/>
              </w:rPr>
            </w:pPr>
          </w:p>
          <w:p>
            <w:pPr>
              <w:pStyle w:val="TableParagraph"/>
              <w:spacing w:line="276" w:lineRule="auto"/>
              <w:ind w:left="240" w:right="120" w:firstLine="134"/>
              <w:rPr>
                <w:sz w:val="28"/>
              </w:rPr>
            </w:pPr>
            <w:r>
              <w:rPr>
                <w:sz w:val="28"/>
              </w:rPr>
              <w:t>ложно положи- тельным</w:t>
            </w:r>
          </w:p>
        </w:tc>
        <w:tc>
          <w:tcPr>
            <w:tcW w:w="1133" w:type="dxa"/>
          </w:tcPr>
          <w:p>
            <w:pPr>
              <w:pStyle w:val="TableParagraph"/>
              <w:rPr>
                <w:sz w:val="30"/>
              </w:rPr>
            </w:pPr>
          </w:p>
          <w:p>
            <w:pPr>
              <w:pStyle w:val="TableParagraph"/>
              <w:spacing w:before="243"/>
              <w:ind w:left="160" w:right="57"/>
              <w:jc w:val="center"/>
              <w:rPr>
                <w:sz w:val="28"/>
              </w:rPr>
            </w:pPr>
            <w:r>
              <w:rPr>
                <w:sz w:val="28"/>
              </w:rPr>
              <w:t>0%</w:t>
            </w:r>
          </w:p>
        </w:tc>
        <w:tc>
          <w:tcPr>
            <w:tcW w:w="1419" w:type="dxa"/>
          </w:tcPr>
          <w:p>
            <w:pPr>
              <w:pStyle w:val="TableParagraph"/>
              <w:spacing w:before="10"/>
              <w:rPr>
                <w:sz w:val="39"/>
              </w:rPr>
            </w:pPr>
          </w:p>
          <w:p>
            <w:pPr>
              <w:pStyle w:val="TableParagraph"/>
              <w:ind w:left="223" w:right="115"/>
              <w:jc w:val="center"/>
              <w:rPr>
                <w:sz w:val="28"/>
              </w:rPr>
            </w:pPr>
            <w:r>
              <w:rPr>
                <w:sz w:val="28"/>
              </w:rPr>
              <w:t>0% -</w:t>
            </w:r>
          </w:p>
          <w:p>
            <w:pPr>
              <w:pStyle w:val="TableParagraph"/>
              <w:spacing w:before="47"/>
              <w:ind w:left="223" w:right="113"/>
              <w:jc w:val="center"/>
              <w:rPr>
                <w:sz w:val="28"/>
              </w:rPr>
            </w:pPr>
            <w:r>
              <w:rPr>
                <w:sz w:val="28"/>
              </w:rPr>
              <w:t>69,00%</w:t>
            </w:r>
          </w:p>
        </w:tc>
        <w:tc>
          <w:tcPr>
            <w:tcW w:w="991" w:type="dxa"/>
          </w:tcPr>
          <w:p>
            <w:pPr>
              <w:pStyle w:val="TableParagraph"/>
              <w:rPr>
                <w:sz w:val="30"/>
              </w:rPr>
            </w:pPr>
          </w:p>
          <w:p>
            <w:pPr>
              <w:pStyle w:val="TableParagraph"/>
              <w:spacing w:before="243"/>
              <w:ind w:left="109"/>
              <w:jc w:val="center"/>
              <w:rPr>
                <w:sz w:val="28"/>
              </w:rPr>
            </w:pPr>
            <w:r>
              <w:rPr>
                <w:sz w:val="28"/>
              </w:rPr>
              <w:t>80,00%</w:t>
            </w:r>
          </w:p>
        </w:tc>
        <w:tc>
          <w:tcPr>
            <w:tcW w:w="1277" w:type="dxa"/>
          </w:tcPr>
          <w:p>
            <w:pPr>
              <w:pStyle w:val="TableParagraph"/>
              <w:spacing w:before="10"/>
              <w:rPr>
                <w:sz w:val="39"/>
              </w:rPr>
            </w:pPr>
          </w:p>
          <w:p>
            <w:pPr>
              <w:pStyle w:val="TableParagraph"/>
              <w:ind w:left="172"/>
              <w:rPr>
                <w:sz w:val="28"/>
              </w:rPr>
            </w:pPr>
            <w:r>
              <w:rPr>
                <w:sz w:val="28"/>
              </w:rPr>
              <w:t>51,37% -</w:t>
            </w:r>
          </w:p>
          <w:p>
            <w:pPr>
              <w:pStyle w:val="TableParagraph"/>
              <w:spacing w:before="47"/>
              <w:ind w:left="254"/>
              <w:rPr>
                <w:sz w:val="28"/>
              </w:rPr>
            </w:pPr>
            <w:r>
              <w:rPr>
                <w:sz w:val="28"/>
              </w:rPr>
              <w:t>94,68%</w:t>
            </w:r>
          </w:p>
        </w:tc>
        <w:tc>
          <w:tcPr>
            <w:tcW w:w="850" w:type="dxa"/>
          </w:tcPr>
          <w:p>
            <w:pPr/>
          </w:p>
        </w:tc>
      </w:tr>
      <w:tr>
        <w:trPr>
          <w:trHeight w:val="1320" w:hRule="exact"/>
        </w:trPr>
        <w:tc>
          <w:tcPr>
            <w:tcW w:w="1985" w:type="dxa"/>
            <w:vMerge w:val="restart"/>
          </w:tcPr>
          <w:p>
            <w:pPr>
              <w:pStyle w:val="TableParagraph"/>
              <w:spacing w:line="315" w:lineRule="exact"/>
              <w:ind w:left="37" w:right="14"/>
              <w:jc w:val="center"/>
              <w:rPr>
                <w:sz w:val="28"/>
              </w:rPr>
            </w:pPr>
            <w:r>
              <w:rPr>
                <w:sz w:val="28"/>
              </w:rPr>
              <w:t>(NPV)</w:t>
            </w:r>
          </w:p>
          <w:p>
            <w:pPr>
              <w:pStyle w:val="TableParagraph"/>
              <w:spacing w:line="276" w:lineRule="auto" w:before="249"/>
              <w:ind w:left="38" w:right="14"/>
              <w:jc w:val="center"/>
              <w:rPr>
                <w:sz w:val="28"/>
              </w:rPr>
            </w:pPr>
            <w:r>
              <w:rPr>
                <w:sz w:val="28"/>
              </w:rPr>
              <w:t>Для каждого отрицательного результата вероятность того, что он будет</w:t>
            </w:r>
          </w:p>
        </w:tc>
        <w:tc>
          <w:tcPr>
            <w:tcW w:w="1419" w:type="dxa"/>
          </w:tcPr>
          <w:p>
            <w:pPr>
              <w:pStyle w:val="TableParagraph"/>
              <w:spacing w:line="276" w:lineRule="auto"/>
              <w:ind w:left="240" w:right="135" w:firstLine="21"/>
              <w:jc w:val="both"/>
              <w:rPr>
                <w:sz w:val="28"/>
              </w:rPr>
            </w:pPr>
            <w:r>
              <w:rPr>
                <w:sz w:val="28"/>
              </w:rPr>
              <w:t>истинно отрица- тельным</w:t>
            </w:r>
          </w:p>
        </w:tc>
        <w:tc>
          <w:tcPr>
            <w:tcW w:w="1133" w:type="dxa"/>
          </w:tcPr>
          <w:p>
            <w:pPr>
              <w:pStyle w:val="TableParagraph"/>
              <w:spacing w:before="8"/>
              <w:rPr>
                <w:sz w:val="26"/>
              </w:rPr>
            </w:pPr>
          </w:p>
          <w:p>
            <w:pPr>
              <w:pStyle w:val="TableParagraph"/>
              <w:ind w:left="160" w:right="58"/>
              <w:jc w:val="center"/>
              <w:rPr>
                <w:sz w:val="28"/>
              </w:rPr>
            </w:pPr>
            <w:r>
              <w:rPr>
                <w:sz w:val="28"/>
              </w:rPr>
              <w:t>97,78%</w:t>
            </w:r>
          </w:p>
        </w:tc>
        <w:tc>
          <w:tcPr>
            <w:tcW w:w="1419" w:type="dxa"/>
          </w:tcPr>
          <w:p>
            <w:pPr>
              <w:pStyle w:val="TableParagraph"/>
              <w:spacing w:before="177"/>
              <w:ind w:left="242"/>
              <w:rPr>
                <w:sz w:val="28"/>
              </w:rPr>
            </w:pPr>
            <w:r>
              <w:rPr>
                <w:sz w:val="28"/>
              </w:rPr>
              <w:t>86,77% -</w:t>
            </w:r>
          </w:p>
          <w:p>
            <w:pPr>
              <w:pStyle w:val="TableParagraph"/>
              <w:spacing w:before="47"/>
              <w:ind w:left="326"/>
              <w:rPr>
                <w:sz w:val="28"/>
              </w:rPr>
            </w:pPr>
            <w:r>
              <w:rPr>
                <w:sz w:val="28"/>
              </w:rPr>
              <w:t>99,88%</w:t>
            </w:r>
          </w:p>
        </w:tc>
        <w:tc>
          <w:tcPr>
            <w:tcW w:w="991" w:type="dxa"/>
          </w:tcPr>
          <w:p>
            <w:pPr>
              <w:pStyle w:val="TableParagraph"/>
              <w:spacing w:before="8"/>
              <w:rPr>
                <w:sz w:val="26"/>
              </w:rPr>
            </w:pPr>
          </w:p>
          <w:p>
            <w:pPr>
              <w:pStyle w:val="TableParagraph"/>
              <w:ind w:left="109"/>
              <w:jc w:val="center"/>
              <w:rPr>
                <w:sz w:val="28"/>
              </w:rPr>
            </w:pPr>
            <w:r>
              <w:rPr>
                <w:sz w:val="28"/>
              </w:rPr>
              <w:t>96,97%</w:t>
            </w:r>
          </w:p>
        </w:tc>
        <w:tc>
          <w:tcPr>
            <w:tcW w:w="1277" w:type="dxa"/>
          </w:tcPr>
          <w:p>
            <w:pPr>
              <w:pStyle w:val="TableParagraph"/>
              <w:spacing w:before="177"/>
              <w:ind w:left="172"/>
              <w:rPr>
                <w:sz w:val="28"/>
              </w:rPr>
            </w:pPr>
            <w:r>
              <w:rPr>
                <w:sz w:val="28"/>
              </w:rPr>
              <w:t>82,49% -</w:t>
            </w:r>
          </w:p>
          <w:p>
            <w:pPr>
              <w:pStyle w:val="TableParagraph"/>
              <w:spacing w:before="47"/>
              <w:ind w:left="254"/>
              <w:rPr>
                <w:sz w:val="28"/>
              </w:rPr>
            </w:pPr>
            <w:r>
              <w:rPr>
                <w:sz w:val="28"/>
              </w:rPr>
              <w:t>99,84%</w:t>
            </w:r>
          </w:p>
        </w:tc>
        <w:tc>
          <w:tcPr>
            <w:tcW w:w="850" w:type="dxa"/>
          </w:tcPr>
          <w:p>
            <w:pPr/>
          </w:p>
        </w:tc>
      </w:tr>
      <w:tr>
        <w:trPr>
          <w:trHeight w:val="1683" w:hRule="exact"/>
        </w:trPr>
        <w:tc>
          <w:tcPr>
            <w:tcW w:w="1985" w:type="dxa"/>
            <w:vMerge/>
          </w:tcPr>
          <w:p>
            <w:pPr/>
          </w:p>
        </w:tc>
        <w:tc>
          <w:tcPr>
            <w:tcW w:w="1419" w:type="dxa"/>
          </w:tcPr>
          <w:p>
            <w:pPr>
              <w:pStyle w:val="TableParagraph"/>
              <w:spacing w:line="276" w:lineRule="auto" w:before="173"/>
              <w:ind w:left="242" w:right="133" w:hanging="4"/>
              <w:jc w:val="center"/>
              <w:rPr>
                <w:sz w:val="28"/>
              </w:rPr>
            </w:pPr>
            <w:r>
              <w:rPr>
                <w:sz w:val="28"/>
              </w:rPr>
              <w:t>ложно отрица- тельным</w:t>
            </w:r>
          </w:p>
        </w:tc>
        <w:tc>
          <w:tcPr>
            <w:tcW w:w="1133" w:type="dxa"/>
          </w:tcPr>
          <w:p>
            <w:pPr>
              <w:pStyle w:val="TableParagraph"/>
              <w:spacing w:before="4"/>
              <w:rPr>
                <w:sz w:val="42"/>
              </w:rPr>
            </w:pPr>
          </w:p>
          <w:p>
            <w:pPr>
              <w:pStyle w:val="TableParagraph"/>
              <w:ind w:left="160" w:right="54"/>
              <w:jc w:val="center"/>
              <w:rPr>
                <w:sz w:val="28"/>
              </w:rPr>
            </w:pPr>
            <w:r>
              <w:rPr>
                <w:sz w:val="28"/>
              </w:rPr>
              <w:t>2,22%</w:t>
            </w:r>
          </w:p>
        </w:tc>
        <w:tc>
          <w:tcPr>
            <w:tcW w:w="1419" w:type="dxa"/>
          </w:tcPr>
          <w:p>
            <w:pPr>
              <w:pStyle w:val="TableParagraph"/>
              <w:spacing w:before="3"/>
              <w:rPr>
                <w:sz w:val="31"/>
              </w:rPr>
            </w:pPr>
          </w:p>
          <w:p>
            <w:pPr>
              <w:pStyle w:val="TableParagraph"/>
              <w:ind w:left="314"/>
              <w:rPr>
                <w:sz w:val="28"/>
              </w:rPr>
            </w:pPr>
            <w:r>
              <w:rPr>
                <w:sz w:val="28"/>
              </w:rPr>
              <w:t>0,11% -</w:t>
            </w:r>
          </w:p>
          <w:p>
            <w:pPr>
              <w:pStyle w:val="TableParagraph"/>
              <w:spacing w:before="47"/>
              <w:ind w:left="326"/>
              <w:rPr>
                <w:sz w:val="28"/>
              </w:rPr>
            </w:pPr>
            <w:r>
              <w:rPr>
                <w:sz w:val="28"/>
              </w:rPr>
              <w:t>13,23%</w:t>
            </w:r>
          </w:p>
        </w:tc>
        <w:tc>
          <w:tcPr>
            <w:tcW w:w="991" w:type="dxa"/>
          </w:tcPr>
          <w:p>
            <w:pPr>
              <w:pStyle w:val="TableParagraph"/>
              <w:spacing w:before="4"/>
              <w:rPr>
                <w:sz w:val="42"/>
              </w:rPr>
            </w:pPr>
          </w:p>
          <w:p>
            <w:pPr>
              <w:pStyle w:val="TableParagraph"/>
              <w:ind w:left="108"/>
              <w:jc w:val="center"/>
              <w:rPr>
                <w:sz w:val="28"/>
              </w:rPr>
            </w:pPr>
            <w:r>
              <w:rPr>
                <w:sz w:val="28"/>
              </w:rPr>
              <w:t>3,03%</w:t>
            </w:r>
          </w:p>
        </w:tc>
        <w:tc>
          <w:tcPr>
            <w:tcW w:w="1277" w:type="dxa"/>
          </w:tcPr>
          <w:p>
            <w:pPr>
              <w:pStyle w:val="TableParagraph"/>
              <w:spacing w:before="3"/>
              <w:rPr>
                <w:sz w:val="31"/>
              </w:rPr>
            </w:pPr>
          </w:p>
          <w:p>
            <w:pPr>
              <w:pStyle w:val="TableParagraph"/>
              <w:ind w:left="242"/>
              <w:rPr>
                <w:sz w:val="28"/>
              </w:rPr>
            </w:pPr>
            <w:r>
              <w:rPr>
                <w:sz w:val="28"/>
              </w:rPr>
              <w:t>0,16% -</w:t>
            </w:r>
          </w:p>
          <w:p>
            <w:pPr>
              <w:pStyle w:val="TableParagraph"/>
              <w:spacing w:before="47"/>
              <w:ind w:left="254"/>
              <w:rPr>
                <w:sz w:val="28"/>
              </w:rPr>
            </w:pPr>
            <w:r>
              <w:rPr>
                <w:sz w:val="28"/>
              </w:rPr>
              <w:t>17,51%</w:t>
            </w:r>
          </w:p>
        </w:tc>
        <w:tc>
          <w:tcPr>
            <w:tcW w:w="850" w:type="dxa"/>
          </w:tcPr>
          <w:p>
            <w:pPr/>
          </w:p>
        </w:tc>
      </w:tr>
    </w:tbl>
    <w:p>
      <w:pPr>
        <w:spacing w:after="0"/>
        <w:sectPr>
          <w:pgSz w:w="11900" w:h="16850"/>
          <w:pgMar w:header="712" w:footer="0" w:top="1020" w:bottom="280" w:left="1580" w:right="1000"/>
        </w:sectPr>
      </w:pPr>
    </w:p>
    <w:p>
      <w:pPr>
        <w:pStyle w:val="BodyText"/>
        <w:rPr>
          <w:sz w:val="20"/>
        </w:rPr>
      </w:pPr>
    </w:p>
    <w:p>
      <w:pPr>
        <w:pStyle w:val="BodyText"/>
        <w:rPr>
          <w:sz w:val="20"/>
        </w:rPr>
      </w:pPr>
    </w:p>
    <w:p>
      <w:pPr>
        <w:pStyle w:val="BodyText"/>
        <w:spacing w:line="360" w:lineRule="auto" w:before="224"/>
        <w:ind w:left="222" w:right="206"/>
      </w:pPr>
      <w:r>
        <w:rPr/>
        <w:t>По результатам выполненных диагностических лапароскопий в 24 случаях (42,1%) больные подверглись  рестадированию (Табл. 4.14).</w:t>
      </w:r>
    </w:p>
    <w:p>
      <w:pPr>
        <w:pStyle w:val="BodyText"/>
        <w:rPr>
          <w:sz w:val="30"/>
        </w:rPr>
      </w:pPr>
    </w:p>
    <w:p>
      <w:pPr>
        <w:pStyle w:val="BodyText"/>
        <w:rPr>
          <w:sz w:val="30"/>
        </w:rPr>
      </w:pPr>
    </w:p>
    <w:p>
      <w:pPr>
        <w:pStyle w:val="BodyText"/>
        <w:tabs>
          <w:tab w:pos="4082" w:val="left" w:leader="none"/>
        </w:tabs>
        <w:spacing w:line="508" w:lineRule="auto" w:before="198"/>
        <w:ind w:left="495" w:right="221" w:firstLine="7237"/>
      </w:pPr>
      <w:r>
        <w:rPr/>
        <w:t>Таблица 4.14 Изменение  стадий</w:t>
      </w:r>
      <w:r>
        <w:rPr>
          <w:spacing w:val="-4"/>
        </w:rPr>
        <w:t> </w:t>
      </w:r>
      <w:r>
        <w:rPr/>
        <w:t>(FIGO)</w:t>
      </w:r>
      <w:r>
        <w:rPr>
          <w:spacing w:val="-1"/>
        </w:rPr>
        <w:t> </w:t>
      </w:r>
      <w:r>
        <w:rPr/>
        <w:t>в</w:t>
        <w:tab/>
        <w:t>результате хирургического</w:t>
      </w:r>
      <w:r>
        <w:rPr>
          <w:spacing w:val="-13"/>
        </w:rPr>
        <w:t> </w:t>
      </w:r>
      <w:r>
        <w:rPr/>
        <w:t>стадирования</w:t>
      </w:r>
    </w:p>
    <w:p>
      <w:pPr>
        <w:pStyle w:val="BodyText"/>
        <w:rPr>
          <w:sz w:val="20"/>
        </w:rPr>
      </w:pPr>
    </w:p>
    <w:p>
      <w:pPr>
        <w:pStyle w:val="BodyText"/>
        <w:rPr>
          <w:sz w:val="20"/>
        </w:rPr>
      </w:pPr>
    </w:p>
    <w:p>
      <w:pPr>
        <w:pStyle w:val="BodyText"/>
        <w:spacing w:before="1"/>
        <w:rPr>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9"/>
        <w:gridCol w:w="6481"/>
      </w:tblGrid>
      <w:tr>
        <w:trPr>
          <w:trHeight w:val="746" w:hRule="exact"/>
        </w:trPr>
        <w:tc>
          <w:tcPr>
            <w:tcW w:w="2809" w:type="dxa"/>
          </w:tcPr>
          <w:p>
            <w:pPr>
              <w:pStyle w:val="TableParagraph"/>
              <w:spacing w:line="315" w:lineRule="exact"/>
              <w:ind w:left="281" w:right="281"/>
              <w:jc w:val="center"/>
              <w:rPr>
                <w:sz w:val="28"/>
              </w:rPr>
            </w:pPr>
            <w:r>
              <w:rPr>
                <w:sz w:val="28"/>
              </w:rPr>
              <w:t>Изменение стадии</w:t>
            </w:r>
          </w:p>
        </w:tc>
        <w:tc>
          <w:tcPr>
            <w:tcW w:w="6481" w:type="dxa"/>
          </w:tcPr>
          <w:p>
            <w:pPr>
              <w:pStyle w:val="TableParagraph"/>
              <w:spacing w:before="19"/>
              <w:ind w:left="1"/>
              <w:jc w:val="center"/>
              <w:rPr>
                <w:sz w:val="28"/>
              </w:rPr>
            </w:pPr>
            <w:r>
              <w:rPr>
                <w:w w:val="100"/>
                <w:sz w:val="28"/>
              </w:rPr>
              <w:t>n</w:t>
            </w:r>
          </w:p>
        </w:tc>
      </w:tr>
      <w:tr>
        <w:trPr>
          <w:trHeight w:val="694" w:hRule="exact"/>
        </w:trPr>
        <w:tc>
          <w:tcPr>
            <w:tcW w:w="2809" w:type="dxa"/>
          </w:tcPr>
          <w:p>
            <w:pPr>
              <w:pStyle w:val="TableParagraph"/>
              <w:spacing w:line="315" w:lineRule="exact"/>
              <w:ind w:left="281" w:right="278"/>
              <w:jc w:val="center"/>
              <w:rPr>
                <w:sz w:val="28"/>
              </w:rPr>
            </w:pPr>
            <w:r>
              <w:rPr>
                <w:sz w:val="28"/>
              </w:rPr>
              <w:t>IIB → IIIB</w:t>
            </w:r>
          </w:p>
        </w:tc>
        <w:tc>
          <w:tcPr>
            <w:tcW w:w="6481" w:type="dxa"/>
          </w:tcPr>
          <w:p>
            <w:pPr>
              <w:pStyle w:val="TableParagraph"/>
              <w:spacing w:line="315" w:lineRule="exact"/>
              <w:ind w:left="1"/>
              <w:jc w:val="center"/>
              <w:rPr>
                <w:sz w:val="28"/>
              </w:rPr>
            </w:pPr>
            <w:r>
              <w:rPr>
                <w:w w:val="100"/>
                <w:sz w:val="28"/>
              </w:rPr>
              <w:t>1</w:t>
            </w:r>
          </w:p>
        </w:tc>
      </w:tr>
      <w:tr>
        <w:trPr>
          <w:trHeight w:val="694" w:hRule="exact"/>
        </w:trPr>
        <w:tc>
          <w:tcPr>
            <w:tcW w:w="2809" w:type="dxa"/>
          </w:tcPr>
          <w:p>
            <w:pPr>
              <w:pStyle w:val="TableParagraph"/>
              <w:spacing w:line="315" w:lineRule="exact"/>
              <w:ind w:left="281" w:right="277"/>
              <w:jc w:val="center"/>
              <w:rPr>
                <w:sz w:val="28"/>
              </w:rPr>
            </w:pPr>
            <w:r>
              <w:rPr>
                <w:sz w:val="28"/>
              </w:rPr>
              <w:t>IIB → IVB</w:t>
            </w:r>
          </w:p>
        </w:tc>
        <w:tc>
          <w:tcPr>
            <w:tcW w:w="6481" w:type="dxa"/>
          </w:tcPr>
          <w:p>
            <w:pPr>
              <w:pStyle w:val="TableParagraph"/>
              <w:spacing w:line="315" w:lineRule="exact"/>
              <w:ind w:left="1"/>
              <w:jc w:val="center"/>
              <w:rPr>
                <w:sz w:val="28"/>
              </w:rPr>
            </w:pPr>
            <w:r>
              <w:rPr>
                <w:w w:val="100"/>
                <w:sz w:val="28"/>
              </w:rPr>
              <w:t>1</w:t>
            </w:r>
          </w:p>
        </w:tc>
      </w:tr>
      <w:tr>
        <w:trPr>
          <w:trHeight w:val="692" w:hRule="exact"/>
        </w:trPr>
        <w:tc>
          <w:tcPr>
            <w:tcW w:w="2809" w:type="dxa"/>
          </w:tcPr>
          <w:p>
            <w:pPr>
              <w:pStyle w:val="TableParagraph"/>
              <w:spacing w:line="315" w:lineRule="exact"/>
              <w:ind w:left="281" w:right="280"/>
              <w:jc w:val="center"/>
              <w:rPr>
                <w:sz w:val="28"/>
              </w:rPr>
            </w:pPr>
            <w:r>
              <w:rPr>
                <w:sz w:val="28"/>
              </w:rPr>
              <w:t>IIIB → IB</w:t>
            </w:r>
          </w:p>
        </w:tc>
        <w:tc>
          <w:tcPr>
            <w:tcW w:w="6481" w:type="dxa"/>
          </w:tcPr>
          <w:p>
            <w:pPr>
              <w:pStyle w:val="TableParagraph"/>
              <w:spacing w:line="315" w:lineRule="exact"/>
              <w:ind w:left="1"/>
              <w:jc w:val="center"/>
              <w:rPr>
                <w:sz w:val="28"/>
              </w:rPr>
            </w:pPr>
            <w:r>
              <w:rPr>
                <w:w w:val="100"/>
                <w:sz w:val="28"/>
              </w:rPr>
              <w:t>3</w:t>
            </w:r>
          </w:p>
        </w:tc>
      </w:tr>
      <w:tr>
        <w:trPr>
          <w:trHeight w:val="694" w:hRule="exact"/>
        </w:trPr>
        <w:tc>
          <w:tcPr>
            <w:tcW w:w="2809" w:type="dxa"/>
          </w:tcPr>
          <w:p>
            <w:pPr>
              <w:pStyle w:val="TableParagraph"/>
              <w:spacing w:line="315" w:lineRule="exact"/>
              <w:ind w:left="281" w:right="277"/>
              <w:jc w:val="center"/>
              <w:rPr>
                <w:sz w:val="28"/>
              </w:rPr>
            </w:pPr>
            <w:r>
              <w:rPr>
                <w:sz w:val="28"/>
              </w:rPr>
              <w:t>IIIB → IIA</w:t>
            </w:r>
          </w:p>
        </w:tc>
        <w:tc>
          <w:tcPr>
            <w:tcW w:w="6481" w:type="dxa"/>
          </w:tcPr>
          <w:p>
            <w:pPr>
              <w:pStyle w:val="TableParagraph"/>
              <w:spacing w:line="315" w:lineRule="exact"/>
              <w:ind w:left="1"/>
              <w:jc w:val="center"/>
              <w:rPr>
                <w:sz w:val="28"/>
              </w:rPr>
            </w:pPr>
            <w:r>
              <w:rPr>
                <w:w w:val="100"/>
                <w:sz w:val="28"/>
              </w:rPr>
              <w:t>2</w:t>
            </w:r>
          </w:p>
        </w:tc>
      </w:tr>
      <w:tr>
        <w:trPr>
          <w:trHeight w:val="694" w:hRule="exact"/>
        </w:trPr>
        <w:tc>
          <w:tcPr>
            <w:tcW w:w="2809" w:type="dxa"/>
          </w:tcPr>
          <w:p>
            <w:pPr>
              <w:pStyle w:val="TableParagraph"/>
              <w:spacing w:line="315" w:lineRule="exact"/>
              <w:ind w:left="281" w:right="278"/>
              <w:jc w:val="center"/>
              <w:rPr>
                <w:sz w:val="28"/>
              </w:rPr>
            </w:pPr>
            <w:r>
              <w:rPr>
                <w:sz w:val="28"/>
              </w:rPr>
              <w:t>IIIB → IIB</w:t>
            </w:r>
          </w:p>
        </w:tc>
        <w:tc>
          <w:tcPr>
            <w:tcW w:w="6481" w:type="dxa"/>
          </w:tcPr>
          <w:p>
            <w:pPr>
              <w:pStyle w:val="TableParagraph"/>
              <w:spacing w:line="315" w:lineRule="exact"/>
              <w:ind w:left="1"/>
              <w:jc w:val="center"/>
              <w:rPr>
                <w:sz w:val="28"/>
              </w:rPr>
            </w:pPr>
            <w:r>
              <w:rPr>
                <w:w w:val="100"/>
                <w:sz w:val="28"/>
              </w:rPr>
              <w:t>3</w:t>
            </w:r>
          </w:p>
        </w:tc>
      </w:tr>
      <w:tr>
        <w:trPr>
          <w:trHeight w:val="691" w:hRule="exact"/>
        </w:trPr>
        <w:tc>
          <w:tcPr>
            <w:tcW w:w="2809" w:type="dxa"/>
          </w:tcPr>
          <w:p>
            <w:pPr>
              <w:pStyle w:val="TableParagraph"/>
              <w:spacing w:line="315" w:lineRule="exact"/>
              <w:ind w:left="281" w:right="280"/>
              <w:jc w:val="center"/>
              <w:rPr>
                <w:sz w:val="28"/>
              </w:rPr>
            </w:pPr>
            <w:r>
              <w:rPr>
                <w:sz w:val="28"/>
              </w:rPr>
              <w:t>IIIB → IVB</w:t>
            </w:r>
          </w:p>
        </w:tc>
        <w:tc>
          <w:tcPr>
            <w:tcW w:w="6481" w:type="dxa"/>
          </w:tcPr>
          <w:p>
            <w:pPr>
              <w:pStyle w:val="TableParagraph"/>
              <w:spacing w:line="315" w:lineRule="exact"/>
              <w:ind w:left="1"/>
              <w:jc w:val="center"/>
              <w:rPr>
                <w:sz w:val="28"/>
              </w:rPr>
            </w:pPr>
            <w:r>
              <w:rPr>
                <w:w w:val="100"/>
                <w:sz w:val="28"/>
              </w:rPr>
              <w:t>2</w:t>
            </w:r>
          </w:p>
        </w:tc>
      </w:tr>
      <w:tr>
        <w:trPr>
          <w:trHeight w:val="694" w:hRule="exact"/>
        </w:trPr>
        <w:tc>
          <w:tcPr>
            <w:tcW w:w="2809" w:type="dxa"/>
          </w:tcPr>
          <w:p>
            <w:pPr>
              <w:pStyle w:val="TableParagraph"/>
              <w:spacing w:line="317" w:lineRule="exact"/>
              <w:ind w:left="281" w:right="278"/>
              <w:jc w:val="center"/>
              <w:rPr>
                <w:sz w:val="28"/>
              </w:rPr>
            </w:pPr>
            <w:r>
              <w:rPr>
                <w:sz w:val="28"/>
              </w:rPr>
              <w:t>IVB → IIB</w:t>
            </w:r>
          </w:p>
        </w:tc>
        <w:tc>
          <w:tcPr>
            <w:tcW w:w="6481" w:type="dxa"/>
          </w:tcPr>
          <w:p>
            <w:pPr>
              <w:pStyle w:val="TableParagraph"/>
              <w:spacing w:line="317" w:lineRule="exact"/>
              <w:ind w:left="1"/>
              <w:jc w:val="center"/>
              <w:rPr>
                <w:sz w:val="28"/>
              </w:rPr>
            </w:pPr>
            <w:r>
              <w:rPr>
                <w:w w:val="100"/>
                <w:sz w:val="28"/>
              </w:rPr>
              <w:t>4</w:t>
            </w:r>
          </w:p>
        </w:tc>
      </w:tr>
      <w:tr>
        <w:trPr>
          <w:trHeight w:val="694" w:hRule="exact"/>
        </w:trPr>
        <w:tc>
          <w:tcPr>
            <w:tcW w:w="2809" w:type="dxa"/>
          </w:tcPr>
          <w:p>
            <w:pPr>
              <w:pStyle w:val="TableParagraph"/>
              <w:spacing w:line="315" w:lineRule="exact"/>
              <w:ind w:left="281" w:right="280"/>
              <w:jc w:val="center"/>
              <w:rPr>
                <w:sz w:val="28"/>
              </w:rPr>
            </w:pPr>
            <w:r>
              <w:rPr>
                <w:sz w:val="28"/>
              </w:rPr>
              <w:t>IVB → IIIB</w:t>
            </w:r>
          </w:p>
        </w:tc>
        <w:tc>
          <w:tcPr>
            <w:tcW w:w="6481" w:type="dxa"/>
          </w:tcPr>
          <w:p>
            <w:pPr>
              <w:pStyle w:val="TableParagraph"/>
              <w:spacing w:line="315" w:lineRule="exact"/>
              <w:ind w:left="1"/>
              <w:jc w:val="center"/>
              <w:rPr>
                <w:sz w:val="28"/>
              </w:rPr>
            </w:pPr>
            <w:r>
              <w:rPr>
                <w:w w:val="100"/>
                <w:sz w:val="28"/>
              </w:rPr>
              <w:t>8</w:t>
            </w:r>
          </w:p>
        </w:tc>
      </w:tr>
      <w:tr>
        <w:trPr>
          <w:trHeight w:val="694" w:hRule="exact"/>
        </w:trPr>
        <w:tc>
          <w:tcPr>
            <w:tcW w:w="2809" w:type="dxa"/>
          </w:tcPr>
          <w:p>
            <w:pPr>
              <w:pStyle w:val="TableParagraph"/>
              <w:spacing w:line="315" w:lineRule="exact"/>
              <w:ind w:left="281" w:right="280"/>
              <w:jc w:val="center"/>
              <w:rPr>
                <w:i/>
                <w:sz w:val="28"/>
              </w:rPr>
            </w:pPr>
            <w:r>
              <w:rPr>
                <w:i/>
                <w:sz w:val="28"/>
              </w:rPr>
              <w:t>Всего:</w:t>
            </w:r>
          </w:p>
        </w:tc>
        <w:tc>
          <w:tcPr>
            <w:tcW w:w="6481" w:type="dxa"/>
          </w:tcPr>
          <w:p>
            <w:pPr>
              <w:pStyle w:val="TableParagraph"/>
              <w:spacing w:line="315" w:lineRule="exact"/>
              <w:ind w:left="2621" w:right="2620"/>
              <w:jc w:val="center"/>
              <w:rPr>
                <w:sz w:val="28"/>
              </w:rPr>
            </w:pPr>
            <w:r>
              <w:rPr>
                <w:sz w:val="28"/>
              </w:rPr>
              <w:t>24 (100%)</w:t>
            </w:r>
          </w:p>
        </w:tc>
      </w:tr>
    </w:tbl>
    <w:p>
      <w:pPr>
        <w:pStyle w:val="BodyText"/>
        <w:rPr>
          <w:sz w:val="20"/>
        </w:rPr>
      </w:pPr>
    </w:p>
    <w:p>
      <w:pPr>
        <w:pStyle w:val="BodyText"/>
        <w:rPr>
          <w:sz w:val="20"/>
        </w:rPr>
      </w:pPr>
    </w:p>
    <w:p>
      <w:pPr>
        <w:pStyle w:val="BodyText"/>
        <w:rPr>
          <w:sz w:val="20"/>
        </w:rPr>
      </w:pPr>
    </w:p>
    <w:p>
      <w:pPr>
        <w:pStyle w:val="BodyText"/>
        <w:spacing w:line="360" w:lineRule="auto" w:before="263"/>
        <w:ind w:left="222" w:right="218" w:firstLine="139"/>
        <w:jc w:val="both"/>
      </w:pPr>
      <w:r>
        <w:rPr/>
        <w:t>Изменение IIIB стадии на IV и IV стадии на IIB и IIIB привели к изменению плана дальнейшего лечения. Если в первом случае результат хирургического стадирования привёл к расширению полей облучения с</w:t>
      </w:r>
    </w:p>
    <w:p>
      <w:pPr>
        <w:spacing w:after="0" w:line="360" w:lineRule="auto"/>
        <w:jc w:val="both"/>
        <w:sectPr>
          <w:pgSz w:w="11900" w:h="16850"/>
          <w:pgMar w:header="712" w:footer="0" w:top="1020" w:bottom="280" w:left="1480" w:right="900"/>
        </w:sectPr>
      </w:pPr>
    </w:p>
    <w:p>
      <w:pPr>
        <w:pStyle w:val="BodyText"/>
        <w:rPr>
          <w:sz w:val="20"/>
        </w:rPr>
      </w:pPr>
    </w:p>
    <w:p>
      <w:pPr>
        <w:pStyle w:val="BodyText"/>
        <w:rPr>
          <w:sz w:val="20"/>
        </w:rPr>
      </w:pPr>
    </w:p>
    <w:p>
      <w:pPr>
        <w:pStyle w:val="BodyText"/>
        <w:spacing w:before="4"/>
        <w:rPr>
          <w:sz w:val="18"/>
        </w:rPr>
      </w:pPr>
    </w:p>
    <w:p>
      <w:pPr>
        <w:pStyle w:val="BodyText"/>
        <w:spacing w:line="362" w:lineRule="auto" w:before="89"/>
        <w:ind w:left="102"/>
      </w:pPr>
      <w:r>
        <w:rPr/>
        <w:t>захватом парааортальной области, то во втором, напротив, позволил больным избежать неоправданно агрессивного лучевого воздействия.</w:t>
      </w:r>
    </w:p>
    <w:p>
      <w:pPr>
        <w:pStyle w:val="BodyText"/>
        <w:spacing w:line="360" w:lineRule="auto" w:before="203"/>
        <w:ind w:left="102" w:right="105" w:firstLine="417"/>
        <w:jc w:val="both"/>
      </w:pPr>
      <w:r>
        <w:rPr/>
        <w:t>В дальнейшем 36 (63,2%) больных после курса неоадъювантной химиолучевой терапии были прооперированы в объеме радикальной пангистерэктомии с последующим завершением дистанционного лучевого лечения. 21 (36,8%) пациенткам проведен курс сочетанной лучевой терапии.</w:t>
      </w:r>
    </w:p>
    <w:p>
      <w:pPr>
        <w:pStyle w:val="BodyText"/>
        <w:rPr>
          <w:sz w:val="30"/>
        </w:rPr>
      </w:pPr>
    </w:p>
    <w:p>
      <w:pPr>
        <w:pStyle w:val="BodyText"/>
        <w:rPr>
          <w:sz w:val="30"/>
        </w:rPr>
      </w:pPr>
    </w:p>
    <w:p>
      <w:pPr>
        <w:pStyle w:val="BodyText"/>
        <w:spacing w:before="198"/>
        <w:ind w:left="1866"/>
      </w:pPr>
      <w:r>
        <w:rPr/>
        <w:t>Ближайшие и отдаленные результаты лечения</w:t>
      </w:r>
    </w:p>
    <w:p>
      <w:pPr>
        <w:pStyle w:val="BodyText"/>
        <w:rPr>
          <w:sz w:val="30"/>
        </w:rPr>
      </w:pPr>
    </w:p>
    <w:p>
      <w:pPr>
        <w:pStyle w:val="BodyText"/>
        <w:rPr>
          <w:sz w:val="30"/>
        </w:rPr>
      </w:pPr>
    </w:p>
    <w:p>
      <w:pPr>
        <w:pStyle w:val="BodyText"/>
        <w:spacing w:before="8"/>
        <w:rPr>
          <w:sz w:val="30"/>
        </w:rPr>
      </w:pPr>
    </w:p>
    <w:p>
      <w:pPr>
        <w:pStyle w:val="BodyText"/>
        <w:spacing w:line="360" w:lineRule="auto"/>
        <w:ind w:left="102" w:right="100" w:firstLine="278"/>
        <w:jc w:val="both"/>
      </w:pPr>
      <w:r>
        <w:rPr/>
        <w:t>Больные, вошедшие в этот раздел исследования прослежены в течение 3 и более лет. Мы не ставили перед собой задачу сопоставить достигнутые отдаленные результаты лечения с ретроспективной группой больных  раком шейки матки. Как было показано выше, ошибки клинического стадирования выявлены в половине всех случаев. В особенности это может касаться пациенток, подвергавшихся только сочетанной лучевой</w:t>
      </w:r>
      <w:r>
        <w:rPr>
          <w:spacing w:val="-18"/>
        </w:rPr>
        <w:t> </w:t>
      </w:r>
      <w:r>
        <w:rPr/>
        <w:t>терапии.</w:t>
      </w:r>
    </w:p>
    <w:p>
      <w:pPr>
        <w:pStyle w:val="BodyText"/>
        <w:spacing w:line="360" w:lineRule="auto" w:before="206"/>
        <w:ind w:left="102" w:right="104" w:firstLine="487"/>
        <w:jc w:val="both"/>
      </w:pPr>
      <w:r>
        <w:rPr/>
        <w:t>У двух больных отмечено прогрессирование опухоли на фоне проводимого комбинированного лечения. В 2 случаях развились ранние (через 4 и 5 месяцев после завершения комбинированного лечения) рецидивы заболевания. Обе пациентки живы, продолжают лечение. Еще у одной пациентки на третьем году наблюдения выявлен метастаз в подвздошной кости.</w:t>
      </w:r>
    </w:p>
    <w:p>
      <w:pPr>
        <w:pStyle w:val="BodyText"/>
        <w:spacing w:line="360" w:lineRule="auto" w:before="206"/>
        <w:ind w:left="102" w:right="99" w:firstLine="347"/>
        <w:jc w:val="both"/>
      </w:pPr>
      <w:r>
        <w:rPr/>
        <w:t>Зафиксировано 3 случая (5,3%) летальных исходов: 2 – в связи с прогрессированием основного заболевания у пациенток с IVB стадией, 1 – по причине интеркуррентного заболевания.</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6" w:firstLine="69"/>
        <w:jc w:val="both"/>
      </w:pPr>
      <w:r>
        <w:rPr/>
        <w:t>В результате примененной нами индивидуальной лечебной тактики, получены достаточно высокие результаты безрецидивной и общей выживаемости.  (Рис. 4.11).</w:t>
      </w:r>
    </w:p>
    <w:p>
      <w:pPr>
        <w:pStyle w:val="BodyText"/>
        <w:spacing w:before="207"/>
        <w:ind w:right="100"/>
        <w:jc w:val="right"/>
      </w:pPr>
      <w:r>
        <w:rPr/>
        <w:t>Рисунок 4.11</w:t>
      </w:r>
    </w:p>
    <w:p>
      <w:pPr>
        <w:pStyle w:val="BodyText"/>
        <w:spacing w:before="3"/>
        <w:rPr>
          <w:sz w:val="31"/>
        </w:rPr>
      </w:pPr>
    </w:p>
    <w:p>
      <w:pPr>
        <w:pStyle w:val="BodyText"/>
        <w:ind w:left="102"/>
        <w:jc w:val="both"/>
      </w:pPr>
      <w:r>
        <w:rPr/>
        <w:t>3-летняя общая и безрецидивная выживаемость</w:t>
      </w:r>
    </w:p>
    <w:p>
      <w:pPr>
        <w:pStyle w:val="BodyText"/>
        <w:rPr>
          <w:sz w:val="20"/>
        </w:rPr>
      </w:pPr>
    </w:p>
    <w:p>
      <w:pPr>
        <w:pStyle w:val="BodyText"/>
        <w:rPr>
          <w:sz w:val="20"/>
        </w:rPr>
      </w:pPr>
    </w:p>
    <w:p>
      <w:pPr>
        <w:pStyle w:val="BodyText"/>
        <w:spacing w:before="8"/>
        <w:rPr>
          <w:sz w:val="27"/>
        </w:rPr>
      </w:pPr>
    </w:p>
    <w:p>
      <w:pPr>
        <w:spacing w:after="0"/>
        <w:rPr>
          <w:sz w:val="27"/>
        </w:rPr>
        <w:sectPr>
          <w:pgSz w:w="11900" w:h="16850"/>
          <w:pgMar w:header="712" w:footer="0" w:top="1020" w:bottom="280" w:left="1600" w:right="1020"/>
        </w:sectPr>
      </w:pPr>
    </w:p>
    <w:p>
      <w:pPr>
        <w:spacing w:before="90"/>
        <w:ind w:left="0" w:right="0" w:firstLine="0"/>
        <w:jc w:val="right"/>
        <w:rPr>
          <w:sz w:val="24"/>
        </w:rPr>
      </w:pPr>
      <w:r>
        <w:rPr>
          <w:sz w:val="24"/>
        </w:rPr>
        <w:t>100</w:t>
      </w:r>
    </w:p>
    <w:p>
      <w:pPr>
        <w:spacing w:before="180"/>
        <w:ind w:left="0" w:right="0" w:firstLine="0"/>
        <w:jc w:val="right"/>
        <w:rPr>
          <w:sz w:val="24"/>
        </w:rPr>
      </w:pPr>
      <w:r>
        <w:rPr>
          <w:sz w:val="24"/>
        </w:rPr>
        <w:t>98</w:t>
      </w:r>
    </w:p>
    <w:p>
      <w:pPr>
        <w:spacing w:before="179"/>
        <w:ind w:left="0" w:right="0" w:firstLine="0"/>
        <w:jc w:val="right"/>
        <w:rPr>
          <w:sz w:val="24"/>
        </w:rPr>
      </w:pPr>
      <w:r>
        <w:rPr>
          <w:sz w:val="24"/>
        </w:rPr>
        <w:t>96</w:t>
      </w:r>
    </w:p>
    <w:p>
      <w:pPr>
        <w:spacing w:before="179"/>
        <w:ind w:left="0" w:right="0" w:firstLine="0"/>
        <w:jc w:val="right"/>
        <w:rPr>
          <w:sz w:val="24"/>
        </w:rPr>
      </w:pPr>
      <w:r>
        <w:rPr>
          <w:sz w:val="24"/>
        </w:rPr>
        <w:t>94</w:t>
      </w:r>
    </w:p>
    <w:p>
      <w:pPr>
        <w:spacing w:before="179"/>
        <w:ind w:left="0" w:right="0" w:firstLine="0"/>
        <w:jc w:val="right"/>
        <w:rPr>
          <w:sz w:val="24"/>
        </w:rPr>
      </w:pPr>
      <w:r>
        <w:rPr>
          <w:sz w:val="24"/>
        </w:rPr>
        <w:t>92</w:t>
      </w:r>
    </w:p>
    <w:p>
      <w:pPr>
        <w:spacing w:before="180"/>
        <w:ind w:left="0" w:right="0" w:firstLine="0"/>
        <w:jc w:val="right"/>
        <w:rPr>
          <w:sz w:val="24"/>
        </w:rPr>
      </w:pPr>
      <w:r>
        <w:rPr>
          <w:sz w:val="24"/>
        </w:rPr>
        <w:t>90</w:t>
      </w:r>
    </w:p>
    <w:p>
      <w:pPr>
        <w:spacing w:before="179"/>
        <w:ind w:left="0" w:right="0" w:firstLine="0"/>
        <w:jc w:val="right"/>
        <w:rPr>
          <w:sz w:val="24"/>
        </w:rPr>
      </w:pPr>
      <w:r>
        <w:rPr>
          <w:sz w:val="24"/>
        </w:rPr>
        <w:t>88</w:t>
      </w:r>
    </w:p>
    <w:p>
      <w:pPr>
        <w:spacing w:before="179"/>
        <w:ind w:left="0" w:right="0" w:firstLine="0"/>
        <w:jc w:val="right"/>
        <w:rPr>
          <w:sz w:val="24"/>
        </w:rPr>
      </w:pPr>
      <w:r>
        <w:rPr>
          <w:sz w:val="24"/>
        </w:rPr>
        <w:t>86</w:t>
      </w:r>
    </w:p>
    <w:p>
      <w:pPr>
        <w:spacing w:before="179"/>
        <w:ind w:left="0" w:right="0" w:firstLine="0"/>
        <w:jc w:val="right"/>
        <w:rPr>
          <w:sz w:val="24"/>
        </w:rPr>
      </w:pPr>
      <w:r>
        <w:rPr>
          <w:sz w:val="24"/>
        </w:rPr>
        <w:t>84</w:t>
      </w:r>
    </w:p>
    <w:p>
      <w:pPr>
        <w:spacing w:before="179"/>
        <w:ind w:left="0" w:right="0" w:firstLine="0"/>
        <w:jc w:val="right"/>
        <w:rPr>
          <w:sz w:val="24"/>
        </w:rPr>
      </w:pPr>
      <w:r>
        <w:rPr>
          <w:sz w:val="24"/>
        </w:rPr>
        <w:t>82</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5"/>
        </w:rPr>
      </w:pPr>
    </w:p>
    <w:p>
      <w:pPr>
        <w:tabs>
          <w:tab w:pos="1699" w:val="left" w:leader="none"/>
          <w:tab w:pos="2963" w:val="left" w:leader="none"/>
          <w:tab w:pos="4226" w:val="left" w:leader="none"/>
        </w:tabs>
        <w:spacing w:before="1"/>
        <w:ind w:left="496" w:right="0" w:firstLine="0"/>
        <w:jc w:val="left"/>
        <w:rPr>
          <w:sz w:val="24"/>
        </w:rPr>
      </w:pPr>
      <w:r>
        <w:rPr/>
        <w:pict>
          <v:group style="position:absolute;margin-left:131.274994pt;margin-top:-212.616882pt;width:256.8500pt;height:209.2pt;mso-position-horizontal-relative:page;mso-position-vertical-relative:paragraph;z-index:4552" coordorigin="2625,-4252" coordsize="5137,4184">
            <v:shape style="position:absolute;left:2700;top:-4242;width:5052;height:3646" coordorigin="2700,-4242" coordsize="5052,3646" path="m2700,-597l7752,-597m2700,-1053l7752,-1053m2700,-1509l7752,-1509m2700,-1965l7752,-1965m2700,-2421l7752,-2421m2700,-2877l7752,-2877m2700,-3333l7752,-3333m2700,-3789l7752,-3789m2700,-4242l7752,-4242e" filled="false" stroked="true" strokeweight=".24pt" strokecolor="#7e7e7e">
              <v:path arrowok="t"/>
              <v:stroke dashstyle="solid"/>
            </v:shape>
            <v:rect style="position:absolute;left:2700;top:-4242;width:5052;height:4102" filled="false" stroked="true" strokeweight=".96pt" strokecolor="#d9d9d9">
              <v:stroke dashstyle="solid"/>
            </v:rect>
            <v:line style="position:absolute" from="2700,-4242" to="2700,-71" stroked="true" strokeweight=".24pt" strokecolor="#000000">
              <v:stroke dashstyle="solid"/>
            </v:line>
            <v:shape style="position:absolute;left:2628;top:-4242;width:5124;height:4172" coordorigin="2628,-4242" coordsize="5124,4172" path="m2628,-141l2700,-141m2628,-597l2700,-597m2628,-1053l2700,-1053m2628,-1509l2700,-1509m2628,-1965l2700,-1965m2628,-2421l2700,-2421m2628,-2877l2700,-2877m2628,-3333l2700,-3333m2628,-3789l2700,-3789m2628,-4242l2700,-4242m2700,-141l7752,-141m3962,-141l3962,-71m5225,-141l5225,-71m6490,-141l6490,-71m7752,-141l7752,-71e" filled="false" stroked="true" strokeweight=".24pt" strokecolor="#000000">
              <v:path arrowok="t"/>
              <v:stroke dashstyle="solid"/>
            </v:shape>
            <v:shape style="position:absolute;left:3331;top:-3333;width:3790;height:1824" coordorigin="3331,-3333" coordsize="3790,1824" path="m3331,-3333l4594,-1965,5858,-1965,7121,-1509e" filled="false" stroked="true" strokeweight=".96pt" strokecolor="#000080">
              <v:path arrowok="t"/>
              <v:stroke dashstyle="solid"/>
            </v:shape>
            <v:shape style="position:absolute;left:3290;top:-3372;width:80;height:80" coordorigin="3290,-3372" coordsize="80,80" path="m3330,-3372l3290,-3332,3330,-3292,3370,-3332,3330,-3372xe" filled="true" fillcolor="#000080" stroked="false">
              <v:path arrowok="t"/>
              <v:fill type="solid"/>
            </v:shape>
            <v:shape style="position:absolute;left:3290;top:-3372;width:80;height:80" coordorigin="3290,-3372" coordsize="80,80" path="m3330,-3292l3290,-3332,3330,-3372,3370,-3332,3330,-3292xe" filled="false" stroked="true" strokeweight=".75pt" strokecolor="#000080">
              <v:path arrowok="t"/>
              <v:stroke dashstyle="solid"/>
            </v:shape>
            <v:shape style="position:absolute;left:4553;top:-2005;width:80;height:80" coordorigin="4553,-2005" coordsize="80,80" path="m4593,-2005l4553,-1965,4593,-1925,4633,-1965,4593,-2005xe" filled="true" fillcolor="#000080" stroked="false">
              <v:path arrowok="t"/>
              <v:fill type="solid"/>
            </v:shape>
            <v:shape style="position:absolute;left:4553;top:-2005;width:80;height:80" coordorigin="4553,-2005" coordsize="80,80" path="m4593,-1925l4553,-1965,4593,-2005,4633,-1965,4593,-1925xe" filled="false" stroked="true" strokeweight=".75pt" strokecolor="#000080">
              <v:path arrowok="t"/>
              <v:stroke dashstyle="solid"/>
            </v:shape>
            <v:shape style="position:absolute;left:5816;top:-2005;width:80;height:80" coordorigin="5816,-2005" coordsize="80,80" path="m5856,-2005l5816,-1965,5856,-1925,5896,-1965,5856,-2005xe" filled="true" fillcolor="#000080" stroked="false">
              <v:path arrowok="t"/>
              <v:fill type="solid"/>
            </v:shape>
            <v:shape style="position:absolute;left:5816;top:-2005;width:80;height:80" coordorigin="5816,-2005" coordsize="80,80" path="m5856,-1925l5816,-1965,5856,-2005,5896,-1965,5856,-1925xe" filled="false" stroked="true" strokeweight=".75pt" strokecolor="#000080">
              <v:path arrowok="t"/>
              <v:stroke dashstyle="solid"/>
            </v:shape>
            <v:shape style="position:absolute;left:7080;top:-1549;width:80;height:80" coordorigin="7080,-1549" coordsize="80,80" path="m7120,-1549l7080,-1509,7120,-1469,7160,-1509,7120,-1549xe" filled="true" fillcolor="#000080" stroked="false">
              <v:path arrowok="t"/>
              <v:fill type="solid"/>
            </v:shape>
            <v:shape style="position:absolute;left:7080;top:-1549;width:80;height:80" coordorigin="7080,-1549" coordsize="80,80" path="m7120,-1469l7080,-1509,7120,-1549,7160,-1509,7120,-1469xe" filled="false" stroked="true" strokeweight=".75pt" strokecolor="#000080">
              <v:path arrowok="t"/>
              <v:stroke dashstyle="solid"/>
            </v:shape>
            <v:shape style="position:absolute;left:3331;top:-3789;width:3790;height:456" coordorigin="3331,-3789" coordsize="3790,456" path="m3331,-3789l4594,-3333,5858,-3333,7121,-3333e" filled="false" stroked="true" strokeweight=".96pt" strokecolor="#ff00ff">
              <v:path arrowok="t"/>
              <v:stroke dashstyle="solid"/>
            </v:shape>
            <v:line style="position:absolute" from="3290,-3788" to="3370,-3788" stroked="true" strokeweight="4pt" strokecolor="#ff00ff">
              <v:stroke dashstyle="solid"/>
            </v:line>
            <v:rect style="position:absolute;left:3290;top:-3828;width:80;height:80" filled="false" stroked="true" strokeweight=".75pt" strokecolor="#ff00ff">
              <v:stroke dashstyle="solid"/>
            </v:rect>
            <v:line style="position:absolute" from="4553,-3332" to="4633,-3332" stroked="true" strokeweight="4pt" strokecolor="#ff00ff">
              <v:stroke dashstyle="solid"/>
            </v:line>
            <v:rect style="position:absolute;left:4553;top:-3372;width:80;height:80" filled="false" stroked="true" strokeweight=".75pt" strokecolor="#ff00ff">
              <v:stroke dashstyle="solid"/>
            </v:rect>
            <v:line style="position:absolute" from="5816,-3332" to="5896,-3332" stroked="true" strokeweight="4pt" strokecolor="#ff00ff">
              <v:stroke dashstyle="solid"/>
            </v:line>
            <v:rect style="position:absolute;left:5816;top:-3372;width:80;height:80" filled="false" stroked="true" strokeweight=".75pt" strokecolor="#ff00ff">
              <v:stroke dashstyle="solid"/>
            </v:rect>
            <v:line style="position:absolute" from="7080,-3332" to="7160,-3332" stroked="true" strokeweight="4pt" strokecolor="#ff00ff">
              <v:stroke dashstyle="solid"/>
            </v:line>
            <v:rect style="position:absolute;left:7080;top:-3372;width:80;height:80" filled="false" stroked="true" strokeweight=".75pt" strokecolor="#ff00ff">
              <v:stroke dashstyle="solid"/>
            </v:rect>
            <w10:wrap type="none"/>
          </v:group>
        </w:pict>
      </w:r>
      <w:r>
        <w:rPr>
          <w:sz w:val="24"/>
        </w:rPr>
        <w:t>6</w:t>
      </w:r>
      <w:r>
        <w:rPr>
          <w:spacing w:val="-4"/>
          <w:sz w:val="24"/>
        </w:rPr>
        <w:t> </w:t>
      </w:r>
      <w:r>
        <w:rPr>
          <w:sz w:val="24"/>
        </w:rPr>
        <w:t>мес.</w:t>
        <w:tab/>
        <w:t>12</w:t>
      </w:r>
      <w:r>
        <w:rPr>
          <w:spacing w:val="-4"/>
          <w:sz w:val="24"/>
        </w:rPr>
        <w:t> </w:t>
      </w:r>
      <w:r>
        <w:rPr>
          <w:sz w:val="24"/>
        </w:rPr>
        <w:t>мес.</w:t>
        <w:tab/>
        <w:t>24</w:t>
      </w:r>
      <w:r>
        <w:rPr>
          <w:spacing w:val="-4"/>
          <w:sz w:val="24"/>
        </w:rPr>
        <w:t> </w:t>
      </w:r>
      <w:r>
        <w:rPr>
          <w:sz w:val="24"/>
        </w:rPr>
        <w:t>мес.</w:t>
        <w:tab/>
        <w:t>36</w:t>
      </w:r>
      <w:r>
        <w:rPr>
          <w:spacing w:val="-6"/>
          <w:sz w:val="24"/>
        </w:rPr>
        <w:t> </w:t>
      </w:r>
      <w:r>
        <w:rPr>
          <w:sz w:val="24"/>
        </w:rPr>
        <w:t>мес.</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spacing w:before="199"/>
        <w:ind w:left="533" w:right="733" w:firstLine="0"/>
        <w:jc w:val="left"/>
        <w:rPr>
          <w:sz w:val="22"/>
        </w:rPr>
      </w:pPr>
      <w:r>
        <w:rPr>
          <w:sz w:val="22"/>
        </w:rPr>
        <w:t>Безрецидивная выживаемость</w:t>
      </w:r>
    </w:p>
    <w:p>
      <w:pPr>
        <w:pStyle w:val="BodyText"/>
        <w:rPr>
          <w:sz w:val="24"/>
        </w:rPr>
      </w:pPr>
    </w:p>
    <w:p>
      <w:pPr>
        <w:pStyle w:val="BodyText"/>
        <w:spacing w:before="10"/>
        <w:rPr>
          <w:sz w:val="34"/>
        </w:rPr>
      </w:pPr>
    </w:p>
    <w:p>
      <w:pPr>
        <w:spacing w:before="0"/>
        <w:ind w:left="533" w:right="774" w:firstLine="0"/>
        <w:jc w:val="left"/>
        <w:rPr>
          <w:sz w:val="22"/>
        </w:rPr>
      </w:pPr>
      <w:r>
        <w:rPr/>
        <w:pict>
          <v:group style="position:absolute;margin-left:414.339996pt;margin-top:-55.155464pt;width:20.2pt;height:4.75pt;mso-position-horizontal-relative:page;mso-position-vertical-relative:paragraph;z-index:4576" coordorigin="8287,-1103" coordsize="404,95">
            <v:line style="position:absolute" from="8297,-1056" to="8681,-1056" stroked="true" strokeweight=".96pt" strokecolor="#000080">
              <v:stroke dashstyle="solid"/>
            </v:line>
            <v:shape style="position:absolute;left:8449;top:-1096;width:80;height:80" coordorigin="8449,-1096" coordsize="80,80" path="m8489,-1096l8449,-1056,8489,-1016,8528,-1056,8489,-1096xe" filled="true" fillcolor="#000080" stroked="false">
              <v:path arrowok="t"/>
              <v:fill type="solid"/>
            </v:shape>
            <v:shape style="position:absolute;left:8449;top:-1096;width:80;height:80" coordorigin="8449,-1096" coordsize="80,80" path="m8489,-1016l8449,-1056,8489,-1096,8528,-1056,8489,-1016e" filled="false" stroked="true" strokeweight=".72pt" strokecolor="#000080">
              <v:path arrowok="t"/>
              <v:stroke dashstyle="solid"/>
            </v:shape>
            <w10:wrap type="none"/>
          </v:group>
        </w:pict>
      </w:r>
      <w:r>
        <w:rPr/>
        <w:pict>
          <v:group style="position:absolute;margin-left:414.339996pt;margin-top:3.944537pt;width:20.2pt;height:4.75pt;mso-position-horizontal-relative:page;mso-position-vertical-relative:paragraph;z-index:4600" coordorigin="8287,79" coordsize="404,95">
            <v:line style="position:absolute" from="8297,125" to="8681,125" stroked="true" strokeweight=".96pt" strokecolor="#ff00ff">
              <v:stroke dashstyle="solid"/>
            </v:line>
            <v:line style="position:absolute" from="8448,126" to="8530,126" stroked="true" strokeweight="3.96pt" strokecolor="#ff00ff">
              <v:stroke dashstyle="solid"/>
            </v:line>
            <v:rect style="position:absolute;left:8448;top:86;width:82;height:79" filled="false" stroked="true" strokeweight=".72pt" strokecolor="#ff00ff">
              <v:stroke dashstyle="solid"/>
            </v:rect>
            <w10:wrap type="none"/>
          </v:group>
        </w:pict>
      </w:r>
      <w:r>
        <w:rPr>
          <w:sz w:val="22"/>
        </w:rPr>
        <w:t>Общая выживаемость</w:t>
      </w:r>
    </w:p>
    <w:p>
      <w:pPr>
        <w:spacing w:after="0"/>
        <w:jc w:val="left"/>
        <w:rPr>
          <w:sz w:val="22"/>
        </w:rPr>
        <w:sectPr>
          <w:type w:val="continuous"/>
          <w:pgSz w:w="11900" w:h="16850"/>
          <w:pgMar w:top="1020" w:bottom="280" w:left="1600" w:right="1020"/>
          <w:cols w:num="3" w:equalWidth="0">
            <w:col w:w="895" w:space="40"/>
            <w:col w:w="4947" w:space="707"/>
            <w:col w:w="269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60" w:lineRule="auto" w:before="89"/>
        <w:ind w:left="102" w:right="101"/>
        <w:jc w:val="both"/>
      </w:pPr>
      <w:r>
        <w:rPr/>
        <w:t>Описанные выше результаты позволили нам предложить следующий алгоритм комбинированного лечения больных местно-распространенным РШМ.</w:t>
      </w:r>
    </w:p>
    <w:p>
      <w:pPr>
        <w:pStyle w:val="BodyText"/>
        <w:spacing w:line="360" w:lineRule="auto" w:before="204"/>
        <w:ind w:left="102" w:right="108" w:firstLine="278"/>
        <w:jc w:val="both"/>
      </w:pPr>
      <w:r>
        <w:rPr/>
        <w:t>Предлагаемый нами дополнительный диагностический этап направлен на повышение выживаемости, снижение риска развития рецидивов (Рис. 4.12).</w:t>
      </w:r>
    </w:p>
    <w:p>
      <w:pPr>
        <w:spacing w:after="0" w:line="360" w:lineRule="auto"/>
        <w:jc w:val="both"/>
        <w:sectPr>
          <w:type w:val="continuous"/>
          <w:pgSz w:w="11900" w:h="16850"/>
          <w:pgMar w:top="1020" w:bottom="280" w:left="1600" w:right="1020"/>
        </w:sectPr>
      </w:pPr>
    </w:p>
    <w:p>
      <w:pPr>
        <w:pStyle w:val="BodyText"/>
        <w:rPr>
          <w:sz w:val="20"/>
        </w:rPr>
      </w:pPr>
      <w:r>
        <w:rPr/>
        <w:pict>
          <v:shape style="position:absolute;margin-left:325.049988pt;margin-top:319.149963pt;width:6pt;height:24.75pt;mso-position-horizontal-relative:page;mso-position-vertical-relative:page;z-index:-337240" coordorigin="6501,6383" coordsize="120,495" path="m6551,6758l6501,6758,6561,6878,6606,6788,6555,6788,6551,6784,6551,6758xm6567,6383l6555,6383,6551,6387,6551,6784,6555,6788,6567,6788,6571,6784,6571,6387,6567,6383xm6621,6758l6571,6758,6571,6784,6567,6788,6606,6788,6621,6758xe" filled="true" fillcolor="#000000" stroked="false">
            <v:path arrowok="t"/>
            <v:fill type="solid"/>
            <w10:wrap type="none"/>
          </v:shape>
        </w:pict>
      </w:r>
      <w:r>
        <w:rPr/>
        <w:pict>
          <v:shape style="position:absolute;margin-left:325.049988pt;margin-top:409.149963pt;width:6pt;height:22.85pt;mso-position-horizontal-relative:page;mso-position-vertical-relative:page;z-index:-337216" coordorigin="6501,8183" coordsize="120,457" path="m6551,8520l6501,8520,6561,8640,6606,8550,6555,8550,6551,8546,6551,8520xm6567,8183l6555,8183,6551,8187,6551,8546,6555,8550,6567,8550,6571,8546,6571,8187,6567,8183xm6621,8520l6571,8520,6571,8546,6567,8550,6606,8550,6621,8520xe" filled="true" fillcolor="#000000" stroked="false">
            <v:path arrowok="t"/>
            <v:fill type="solid"/>
            <w10:wrap type="none"/>
          </v:shape>
        </w:pict>
      </w:r>
    </w:p>
    <w:p>
      <w:pPr>
        <w:pStyle w:val="BodyText"/>
        <w:rPr>
          <w:sz w:val="20"/>
        </w:rPr>
      </w:pPr>
    </w:p>
    <w:p>
      <w:pPr>
        <w:pStyle w:val="BodyText"/>
        <w:spacing w:line="520" w:lineRule="atLeast" w:before="26"/>
        <w:ind w:left="955" w:right="85" w:firstLine="6584"/>
      </w:pPr>
      <w:r>
        <w:rPr/>
        <w:t>Рисунок 4.12 Планирование комбинированного лечения больных местно-</w:t>
      </w:r>
    </w:p>
    <w:p>
      <w:pPr>
        <w:pStyle w:val="BodyText"/>
        <w:spacing w:line="322" w:lineRule="exact"/>
        <w:ind w:left="2218"/>
      </w:pPr>
      <w:r>
        <w:rPr/>
        <w:pict>
          <v:shape style="position:absolute;margin-left:325.089996pt;margin-top:83.661697pt;width:6pt;height:23.05pt;mso-position-horizontal-relative:page;mso-position-vertical-relative:paragraph;z-index:-337264" coordorigin="6502,1673" coordsize="120,461" path="m6552,2014l6502,2014,6562,2134,6607,2044,6556,2044,6552,2040,6552,2014xm6572,2014l6552,2014,6552,2040,6556,2044,6567,2044,6572,2040,6572,2014xm6622,2014l6572,2014,6572,2040,6567,2044,6607,2044,6622,2014xm6566,1673l6555,1673,6551,1678,6552,2014,6572,2014,6571,1683,6571,1678,6566,1673xe" filled="true" fillcolor="#000000" stroked="false">
            <v:path arrowok="t"/>
            <v:fill type="solid"/>
            <w10:wrap type="none"/>
          </v:shape>
        </w:pict>
      </w:r>
      <w:r>
        <w:rPr/>
        <w:t>распространенным раком шейки матки</w:t>
      </w:r>
    </w:p>
    <w:p>
      <w:pPr>
        <w:pStyle w:val="BodyText"/>
        <w:rPr>
          <w:sz w:val="20"/>
        </w:rPr>
      </w:pPr>
    </w:p>
    <w:p>
      <w:pPr>
        <w:pStyle w:val="BodyText"/>
        <w:spacing w:before="6"/>
        <w:rPr>
          <w:sz w:val="20"/>
        </w:rPr>
      </w:pPr>
      <w:r>
        <w:rPr/>
        <w:pict>
          <v:shape style="position:absolute;margin-left:202.050003pt;margin-top:14.175961pt;width:252pt;height:42.4pt;mso-position-horizontal-relative:page;mso-position-vertical-relative:paragraph;z-index:4624;mso-wrap-distance-left:0;mso-wrap-distance-right:0" type="#_x0000_t202" filled="false" stroked="true" strokeweight=".75pt" strokecolor="#000000">
            <v:textbox inset="0,0,0,0">
              <w:txbxContent>
                <w:p>
                  <w:pPr>
                    <w:pStyle w:val="BodyText"/>
                    <w:spacing w:before="66"/>
                    <w:ind w:left="145"/>
                  </w:pPr>
                  <w:r>
                    <w:rPr/>
                    <w:t>Клиническое</w:t>
                  </w:r>
                  <w:r>
                    <w:rPr>
                      <w:spacing w:val="61"/>
                    </w:rPr>
                    <w:t> </w:t>
                  </w:r>
                  <w:r>
                    <w:rPr/>
                    <w:t>обследование</w:t>
                  </w:r>
                </w:p>
              </w:txbxContent>
            </v:textbox>
            <v:stroke dashstyle="solid"/>
            <w10:wrap type="topAndBottom"/>
          </v:shape>
        </w:pict>
      </w:r>
    </w:p>
    <w:p>
      <w:pPr>
        <w:pStyle w:val="BodyText"/>
        <w:rPr>
          <w:sz w:val="20"/>
        </w:rPr>
      </w:pPr>
    </w:p>
    <w:p>
      <w:pPr>
        <w:pStyle w:val="BodyText"/>
        <w:spacing w:before="7"/>
        <w:rPr>
          <w:sz w:val="19"/>
        </w:rPr>
      </w:pPr>
      <w:r>
        <w:rPr/>
        <w:pict>
          <v:shape style="position:absolute;margin-left:202.050003pt;margin-top:13.650976pt;width:252pt;height:81pt;mso-position-horizontal-relative:page;mso-position-vertical-relative:paragraph;z-index:4648;mso-wrap-distance-left:0;mso-wrap-distance-right:0" type="#_x0000_t202" filled="false" stroked="true" strokeweight=".75pt" strokecolor="#000000">
            <v:textbox inset="0,0,0,0">
              <w:txbxContent>
                <w:p>
                  <w:pPr>
                    <w:pStyle w:val="BodyText"/>
                    <w:spacing w:before="66"/>
                    <w:ind w:left="826" w:right="823"/>
                    <w:jc w:val="center"/>
                  </w:pPr>
                  <w:r>
                    <w:rPr/>
                    <w:t>РШМ T3NxMx.</w:t>
                  </w:r>
                </w:p>
                <w:p>
                  <w:pPr>
                    <w:pStyle w:val="BodyText"/>
                    <w:spacing w:line="276" w:lineRule="auto" w:before="249"/>
                    <w:ind w:left="826" w:right="826"/>
                    <w:jc w:val="center"/>
                  </w:pPr>
                  <w:r>
                    <w:rPr/>
                    <w:t>Тазовая или парааортальная лимфаденопатия.</w:t>
                  </w:r>
                </w:p>
              </w:txbxContent>
            </v:textbox>
            <v:stroke dashstyle="solid"/>
            <w10:wrap type="topAndBottom"/>
          </v:shape>
        </w:pict>
      </w:r>
    </w:p>
    <w:p>
      <w:pPr>
        <w:pStyle w:val="BodyText"/>
        <w:rPr>
          <w:sz w:val="20"/>
        </w:rPr>
      </w:pPr>
    </w:p>
    <w:p>
      <w:pPr>
        <w:pStyle w:val="BodyText"/>
        <w:spacing w:before="7"/>
        <w:rPr>
          <w:sz w:val="19"/>
        </w:rPr>
      </w:pPr>
      <w:r>
        <w:rPr/>
        <w:pict>
          <v:shape style="position:absolute;margin-left:220.050003pt;margin-top:13.650976pt;width:210.8pt;height:63pt;mso-position-horizontal-relative:page;mso-position-vertical-relative:paragraph;z-index:4672;mso-wrap-distance-left:0;mso-wrap-distance-right:0" type="#_x0000_t202" filled="false" stroked="true" strokeweight=".75pt" strokecolor="#000000">
            <v:textbox inset="0,0,0,0">
              <w:txbxContent>
                <w:p>
                  <w:pPr>
                    <w:spacing w:before="71"/>
                    <w:ind w:left="215" w:right="216" w:firstLine="0"/>
                    <w:jc w:val="center"/>
                    <w:rPr>
                      <w:b/>
                      <w:sz w:val="28"/>
                    </w:rPr>
                  </w:pPr>
                  <w:r>
                    <w:rPr>
                      <w:b/>
                      <w:sz w:val="28"/>
                    </w:rPr>
                    <w:t>Хирургическое стадирование</w:t>
                  </w:r>
                </w:p>
                <w:p>
                  <w:pPr>
                    <w:pStyle w:val="BodyText"/>
                    <w:spacing w:before="42"/>
                    <w:ind w:left="215" w:right="216"/>
                    <w:jc w:val="center"/>
                  </w:pPr>
                  <w:r>
                    <w:rPr/>
                    <w:t>(лапароскопия парааортальная</w:t>
                  </w:r>
                </w:p>
                <w:p>
                  <w:pPr>
                    <w:pStyle w:val="BodyText"/>
                    <w:spacing w:before="49"/>
                    <w:ind w:left="215" w:right="215"/>
                    <w:jc w:val="center"/>
                  </w:pPr>
                  <w:r>
                    <w:rPr/>
                    <w:t>+/- подвздошная</w:t>
                  </w:r>
                </w:p>
              </w:txbxContent>
            </v:textbox>
            <v:stroke dashstyle="solid"/>
            <w10:wrap type="topAndBottom"/>
          </v:shape>
        </w:pict>
      </w:r>
    </w:p>
    <w:p>
      <w:pPr>
        <w:pStyle w:val="BodyText"/>
        <w:rPr>
          <w:sz w:val="20"/>
        </w:rPr>
      </w:pPr>
    </w:p>
    <w:p>
      <w:pPr>
        <w:pStyle w:val="BodyText"/>
        <w:rPr>
          <w:sz w:val="20"/>
        </w:rPr>
      </w:pPr>
    </w:p>
    <w:p>
      <w:pPr>
        <w:pStyle w:val="BodyText"/>
        <w:spacing w:before="3"/>
        <w:rPr>
          <w:sz w:val="15"/>
        </w:rPr>
      </w:pPr>
      <w:r>
        <w:rPr/>
        <w:pict>
          <v:shape style="position:absolute;margin-left:202.050003pt;margin-top:11.151953pt;width:264.4pt;height:63pt;mso-position-horizontal-relative:page;mso-position-vertical-relative:paragraph;z-index:4696;mso-wrap-distance-left:0;mso-wrap-distance-right:0" type="#_x0000_t202" filled="false" stroked="true" strokeweight=".75pt" strokecolor="#000000">
            <v:textbox inset="0,0,0,0">
              <w:txbxContent>
                <w:p>
                  <w:pPr>
                    <w:pStyle w:val="BodyText"/>
                    <w:spacing w:line="276" w:lineRule="auto" w:before="66"/>
                    <w:ind w:left="234" w:right="231"/>
                    <w:jc w:val="center"/>
                  </w:pPr>
                  <w:r>
                    <w:rPr/>
                    <w:t>Неоадьювантное химиолучевое лечение (Дистанционное облучение малого таза (30Гр) + еженедельное введение</w:t>
                  </w:r>
                </w:p>
              </w:txbxContent>
            </v:textbox>
            <v:stroke dashstyle="solid"/>
            <w10:wrap type="topAndBottom"/>
          </v:shape>
        </w:pict>
      </w:r>
      <w:r>
        <w:rPr/>
        <w:pict>
          <v:shape style="position:absolute;margin-left:193.050003pt;margin-top:82.611954pt;width:117.95pt;height:24pt;mso-position-horizontal-relative:page;mso-position-vertical-relative:paragraph;z-index:4720;mso-wrap-distance-left:0;mso-wrap-distance-right:0" coordorigin="3861,1652" coordsize="2359,480" path="m3968,2013l3861,2094,3990,2131,3982,2087,3956,2087,3951,2083,3949,2072,3952,2067,3977,2063,3968,2013xm3977,2063l3952,2067,3949,2072,3951,2083,3956,2087,3981,2082,3977,2063xm3981,2082l3956,2087,3982,2087,3981,2082xm6213,1652l3977,2063,3981,2082,6216,1672,6220,1667,6218,1656,6213,1652xe" filled="true" fillcolor="#000000" stroked="false">
            <v:path arrowok="t"/>
            <v:fill type="solid"/>
            <w10:wrap type="topAndBottom"/>
          </v:shape>
        </w:pict>
      </w:r>
      <w:r>
        <w:rPr/>
        <w:pict>
          <v:shape style="position:absolute;margin-left:345.51001pt;margin-top:82.611954pt;width:112.3pt;height:23.9pt;mso-position-horizontal-relative:page;mso-position-vertical-relative:paragraph;z-index:4744;mso-wrap-distance-left:0;mso-wrap-distance-right:0" coordorigin="6910,1652" coordsize="2246,478" path="m9036,2081l9027,2130,9156,2094,9146,2086,9061,2086,9056,2085,9036,2081xm9040,2061l9036,2081,9056,2085,9061,2086,9067,2082,9069,2072,9065,2066,9040,2061xm9050,2012l9040,2061,9065,2066,9069,2072,9067,2082,9061,2086,9146,2086,9050,2012xm6917,1652l6912,1656,6910,1667,6914,1672,6919,1673,9036,2081,9040,2061,6917,1652xe" filled="true" fillcolor="#000000" stroked="false">
            <v:path arrowok="t"/>
            <v:fill type="solid"/>
            <w10:wrap type="topAndBottom"/>
          </v:shape>
        </w:pict>
      </w:r>
    </w:p>
    <w:p>
      <w:pPr>
        <w:pStyle w:val="BodyText"/>
        <w:spacing w:before="1"/>
        <w:rPr>
          <w:sz w:val="8"/>
        </w:rPr>
      </w:pPr>
    </w:p>
    <w:p>
      <w:pPr>
        <w:pStyle w:val="BodyText"/>
        <w:rPr>
          <w:sz w:val="20"/>
        </w:rPr>
      </w:pPr>
    </w:p>
    <w:p>
      <w:pPr>
        <w:pStyle w:val="BodyText"/>
        <w:spacing w:before="10"/>
        <w:rPr>
          <w:sz w:val="10"/>
        </w:rPr>
      </w:pPr>
      <w:r>
        <w:rPr/>
        <w:pict>
          <v:shape style="position:absolute;margin-left:157.050003pt;margin-top:8.630977pt;width:136.950pt;height:45pt;mso-position-horizontal-relative:page;mso-position-vertical-relative:paragraph;z-index:4768;mso-wrap-distance-left:0;mso-wrap-distance-right:0" type="#_x0000_t202" filled="false" stroked="true" strokeweight=".75pt" strokecolor="#000000">
            <v:textbox inset="0,0,0,0">
              <w:txbxContent>
                <w:p>
                  <w:pPr>
                    <w:pStyle w:val="BodyText"/>
                    <w:spacing w:line="276" w:lineRule="auto" w:before="67"/>
                    <w:ind w:left="147" w:firstLine="629"/>
                  </w:pPr>
                  <w:r>
                    <w:rPr/>
                    <w:t>Операция Вертгейма – Мейгса</w:t>
                  </w:r>
                </w:p>
              </w:txbxContent>
            </v:textbox>
            <v:stroke dashstyle="solid"/>
            <w10:wrap type="topAndBottom"/>
          </v:shape>
        </w:pict>
      </w:r>
      <w:r>
        <w:rPr/>
        <w:pict>
          <v:shape style="position:absolute;margin-left:373.049988pt;margin-top:8.630977pt;width:138.9pt;height:45pt;mso-position-horizontal-relative:page;mso-position-vertical-relative:paragraph;z-index:4792;mso-wrap-distance-left:0;mso-wrap-distance-right:0" type="#_x0000_t202" filled="false" stroked="true" strokeweight=".75pt" strokecolor="#000000">
            <v:textbox inset="0,0,0,0">
              <w:txbxContent>
                <w:p>
                  <w:pPr>
                    <w:pStyle w:val="BodyText"/>
                    <w:spacing w:line="276" w:lineRule="auto" w:before="67"/>
                    <w:ind w:left="913" w:right="181" w:hanging="728"/>
                  </w:pPr>
                  <w:r>
                    <w:rPr/>
                    <w:t>Сочетанная лучевая терапия</w:t>
                  </w:r>
                </w:p>
              </w:txbxContent>
            </v:textbox>
            <v:stroke dashstyle="solid"/>
            <w10:wrap type="topAndBottom"/>
          </v:shape>
        </w:pict>
      </w:r>
      <w:r>
        <w:rPr/>
        <w:pict>
          <v:line style="position:absolute;mso-position-horizontal-relative:page;mso-position-vertical-relative:paragraph;z-index:4816;mso-wrap-distance-left:0;mso-wrap-distance-right:0" from="229.050003pt,71.630974pt" to="229.050003pt,84.680974pt" stroked="true" strokeweight=".75pt" strokecolor="#000000">
            <v:stroke dashstyle="solid"/>
            <w10:wrap type="topAndBottom"/>
          </v:line>
        </w:pict>
      </w:r>
      <w:r>
        <w:rPr/>
        <w:pict>
          <v:line style="position:absolute;mso-position-horizontal-relative:page;mso-position-vertical-relative:paragraph;z-index:4840;mso-wrap-distance-left:0;mso-wrap-distance-right:0" from="454.049988pt,71.630974pt" to="454.049988pt,84.680974pt" stroked="true" strokeweight=".75pt" strokecolor="#000000">
            <v:stroke dashstyle="solid"/>
            <w10:wrap type="topAndBottom"/>
          </v:line>
        </w:pict>
      </w:r>
    </w:p>
    <w:p>
      <w:pPr>
        <w:pStyle w:val="BodyText"/>
        <w:rPr>
          <w:sz w:val="24"/>
        </w:rPr>
      </w:pPr>
    </w:p>
    <w:p>
      <w:pPr>
        <w:pStyle w:val="BodyText"/>
        <w:rPr>
          <w:sz w:val="20"/>
        </w:rPr>
      </w:pPr>
    </w:p>
    <w:p>
      <w:pPr>
        <w:pStyle w:val="BodyText"/>
        <w:spacing w:before="7"/>
        <w:rPr>
          <w:sz w:val="12"/>
        </w:rPr>
      </w:pPr>
      <w:r>
        <w:rPr/>
        <w:pict>
          <v:shape style="position:absolute;margin-left:148.050003pt;margin-top:18.625977pt;width:136.950pt;height:47.45pt;mso-position-horizontal-relative:page;mso-position-vertical-relative:paragraph;z-index:4864;mso-wrap-distance-left:0;mso-wrap-distance-right:0" type="#_x0000_t202" filled="false" stroked="true" strokeweight=".75pt" strokecolor="#000000">
            <v:textbox inset="0,0,0,0">
              <w:txbxContent>
                <w:p>
                  <w:pPr>
                    <w:pStyle w:val="BodyText"/>
                    <w:spacing w:line="276" w:lineRule="auto" w:before="67"/>
                    <w:ind w:left="391" w:right="157" w:hanging="231"/>
                  </w:pPr>
                  <w:r>
                    <w:rPr/>
                    <w:t>Послеоперационная лучевая терапия</w:t>
                  </w:r>
                </w:p>
              </w:txbxContent>
            </v:textbox>
            <v:stroke dashstyle="solid"/>
            <w10:wrap type="topAndBottom"/>
          </v:shape>
        </w:pict>
      </w:r>
      <w:r>
        <w:rPr/>
        <w:pict>
          <v:shape style="position:absolute;margin-left:309.549988pt;margin-top:60.625977pt;width:54.5pt;height:6pt;mso-position-horizontal-relative:page;mso-position-vertical-relative:paragraph;z-index:4888;mso-wrap-distance-left:0;mso-wrap-distance-right:0" coordorigin="6191,1213" coordsize="1090,120" path="m7161,1213l7161,1333,7261,1283,7187,1283,7191,1278,7191,1267,7187,1263,7261,1263,7161,1213xm7161,1263l6195,1263,6191,1267,6191,1278,6195,1283,7161,1283,7161,1263xm7261,1263l7187,1263,7191,1267,7191,1278,7187,1283,7261,1283,7281,1273,7261,1263xe" filled="true" fillcolor="#000000" stroked="false">
            <v:path arrowok="t"/>
            <v:fill type="solid"/>
            <w10:wrap type="topAndBottom"/>
          </v:shape>
        </w:pict>
      </w:r>
      <w:r>
        <w:rPr/>
        <w:pict>
          <v:shape style="position:absolute;margin-left:382.049988pt;margin-top:9.625977pt;width:138.9pt;height:81pt;mso-position-horizontal-relative:page;mso-position-vertical-relative:paragraph;z-index:4912;mso-wrap-distance-left:0;mso-wrap-distance-right:0" type="#_x0000_t202" filled="false" stroked="true" strokeweight=".75pt" strokecolor="#000000">
            <v:textbox inset="0,0,0,0">
              <w:txbxContent>
                <w:p>
                  <w:pPr>
                    <w:pStyle w:val="BodyText"/>
                    <w:spacing w:line="276" w:lineRule="auto" w:before="67"/>
                    <w:ind w:left="220" w:right="220" w:firstLine="3"/>
                    <w:jc w:val="center"/>
                  </w:pPr>
                  <w:r>
                    <w:rPr/>
                    <w:t>3 цикла адьювантной химиотерапии (при III стадии)</w:t>
                  </w:r>
                </w:p>
              </w:txbxContent>
            </v:textbox>
            <v:stroke dashstyle="solid"/>
            <w10:wrap type="topAndBottom"/>
          </v:shape>
        </w:pict>
      </w:r>
    </w:p>
    <w:p>
      <w:pPr>
        <w:spacing w:after="0"/>
        <w:rPr>
          <w:sz w:val="12"/>
        </w:rPr>
        <w:sectPr>
          <w:pgSz w:w="11900" w:h="16850"/>
          <w:pgMar w:header="712" w:footer="0" w:top="1020" w:bottom="280" w:left="1680" w:right="1020"/>
        </w:sectPr>
      </w:pPr>
    </w:p>
    <w:p>
      <w:pPr>
        <w:pStyle w:val="BodyText"/>
        <w:rPr>
          <w:sz w:val="20"/>
        </w:rPr>
      </w:pPr>
    </w:p>
    <w:p>
      <w:pPr>
        <w:pStyle w:val="BodyText"/>
        <w:rPr>
          <w:sz w:val="20"/>
        </w:rPr>
      </w:pPr>
    </w:p>
    <w:p>
      <w:pPr>
        <w:pStyle w:val="BodyText"/>
        <w:spacing w:line="360" w:lineRule="auto" w:before="224"/>
        <w:ind w:left="102" w:right="116" w:firstLine="69"/>
        <w:jc w:val="both"/>
      </w:pPr>
      <w:r>
        <w:rPr/>
        <w:t>На сегодняшний день можно прийти к выводу о целесообразности выполнения операций хирургического стадирования больным при местно- распространенном РШМ (T3), а также во всех случаях клинически установленной тазовой или парааортальной лимфаденопатии.</w:t>
      </w:r>
    </w:p>
    <w:p>
      <w:pPr>
        <w:pStyle w:val="BodyText"/>
        <w:rPr>
          <w:sz w:val="30"/>
        </w:rPr>
      </w:pPr>
    </w:p>
    <w:p>
      <w:pPr>
        <w:pStyle w:val="BodyText"/>
        <w:rPr>
          <w:sz w:val="30"/>
        </w:rPr>
      </w:pPr>
    </w:p>
    <w:p>
      <w:pPr>
        <w:pStyle w:val="Heading1"/>
        <w:numPr>
          <w:ilvl w:val="1"/>
          <w:numId w:val="27"/>
        </w:numPr>
        <w:tabs>
          <w:tab w:pos="1070" w:val="left" w:leader="none"/>
        </w:tabs>
        <w:spacing w:line="360" w:lineRule="auto" w:before="206" w:after="0"/>
        <w:ind w:left="2797" w:right="603" w:hanging="2220"/>
        <w:jc w:val="left"/>
      </w:pPr>
      <w:r>
        <w:rPr/>
        <w:t>Лапароскопическая радикальная гистерэктомия у</w:t>
      </w:r>
      <w:r>
        <w:rPr>
          <w:spacing w:val="-23"/>
        </w:rPr>
        <w:t> </w:t>
      </w:r>
      <w:r>
        <w:rPr/>
        <w:t>больных раком шейки матки I</w:t>
      </w:r>
      <w:r>
        <w:rPr>
          <w:spacing w:val="-5"/>
        </w:rPr>
        <w:t> </w:t>
      </w:r>
      <w:r>
        <w:rPr/>
        <w:t>стадии</w:t>
      </w:r>
    </w:p>
    <w:p>
      <w:pPr>
        <w:pStyle w:val="BodyText"/>
        <w:rPr>
          <w:b/>
          <w:sz w:val="30"/>
        </w:rPr>
      </w:pPr>
    </w:p>
    <w:p>
      <w:pPr>
        <w:pStyle w:val="BodyText"/>
        <w:rPr>
          <w:b/>
          <w:sz w:val="30"/>
        </w:rPr>
      </w:pPr>
    </w:p>
    <w:p>
      <w:pPr>
        <w:pStyle w:val="BodyText"/>
        <w:spacing w:line="360" w:lineRule="auto" w:before="194"/>
        <w:ind w:left="102" w:right="121" w:firstLine="847"/>
        <w:jc w:val="both"/>
      </w:pPr>
      <w:r>
        <w:rPr/>
        <w:t>Одной из основных тенденций развития лапароскопии в онкогинекологии является постоянное увеличение объема и сложности выполняемых хирургических вмешательств. Если первые лапароскопические операции носили исключительно диагностический характер, либо ограничивались операциями на придатках матки, то за последние 20 лет мы наблюдаем резкое расширение выполняемых объемов эндовидеохирургических операций. В 1993г. Childers J. выполнил первую лапароскопическую операцию Вертгейма, вскоре M.Canis сообщил о лапароскопической нервосберегающей гистерэктомии. В 2003 году Pomel опубликовал результаты первых лапароскопических экзентераций, выполненных по поводу местно-распространенного рака шейки матки.</w:t>
      </w:r>
    </w:p>
    <w:p>
      <w:pPr>
        <w:pStyle w:val="BodyText"/>
        <w:spacing w:line="360" w:lineRule="auto" w:before="207"/>
        <w:ind w:left="102" w:right="124" w:firstLine="707"/>
        <w:jc w:val="both"/>
      </w:pPr>
      <w:r>
        <w:rPr/>
        <w:t>Опыт НИИ онкологии им Н.Н.Петрова в выполнении лапароскопических радикальных гистерэктомий операций на сегодняшний день является самым большим в России и занимает первые строчки в международных отчетах. К моменту написания данной работы в онкогинекологическом отделении выполнено уже более 150 подобных операций. В этом разделе работы мы проанализировали результаты 75 лапароскопических операций Вертгейма, со сроком прослеживания не менее трех лет.</w:t>
      </w:r>
    </w:p>
    <w:p>
      <w:pPr>
        <w:spacing w:after="0" w:line="360" w:lineRule="auto"/>
        <w:jc w:val="both"/>
        <w:sectPr>
          <w:pgSz w:w="11900" w:h="16850"/>
          <w:pgMar w:header="712" w:footer="0" w:top="1020" w:bottom="280" w:left="1600" w:right="1000"/>
        </w:sectPr>
      </w:pPr>
    </w:p>
    <w:p>
      <w:pPr>
        <w:pStyle w:val="BodyText"/>
        <w:rPr>
          <w:sz w:val="20"/>
        </w:rPr>
      </w:pPr>
    </w:p>
    <w:p>
      <w:pPr>
        <w:pStyle w:val="BodyText"/>
        <w:rPr>
          <w:sz w:val="20"/>
        </w:rPr>
      </w:pPr>
    </w:p>
    <w:p>
      <w:pPr>
        <w:pStyle w:val="Heading1"/>
        <w:numPr>
          <w:ilvl w:val="2"/>
          <w:numId w:val="27"/>
        </w:numPr>
        <w:tabs>
          <w:tab w:pos="2351" w:val="left" w:leader="none"/>
        </w:tabs>
        <w:spacing w:line="360" w:lineRule="auto" w:before="228" w:after="0"/>
        <w:ind w:left="414" w:right="416" w:firstLine="1236"/>
        <w:jc w:val="left"/>
      </w:pPr>
      <w:r>
        <w:rPr/>
        <w:t>Характеристика больных раком шейки матки, подвергшихся лапароскопическим радикальным</w:t>
      </w:r>
      <w:r>
        <w:rPr>
          <w:spacing w:val="-18"/>
        </w:rPr>
        <w:t> </w:t>
      </w:r>
      <w:r>
        <w:rPr/>
        <w:t>гистерэктомиям</w:t>
      </w:r>
    </w:p>
    <w:p>
      <w:pPr>
        <w:pStyle w:val="BodyText"/>
        <w:rPr>
          <w:b/>
          <w:sz w:val="30"/>
        </w:rPr>
      </w:pPr>
    </w:p>
    <w:p>
      <w:pPr>
        <w:pStyle w:val="BodyText"/>
        <w:rPr>
          <w:b/>
          <w:sz w:val="30"/>
        </w:rPr>
      </w:pPr>
    </w:p>
    <w:p>
      <w:pPr>
        <w:pStyle w:val="BodyText"/>
        <w:spacing w:before="7"/>
        <w:rPr>
          <w:b/>
          <w:sz w:val="23"/>
        </w:rPr>
      </w:pPr>
    </w:p>
    <w:p>
      <w:pPr>
        <w:pStyle w:val="BodyText"/>
        <w:spacing w:line="360" w:lineRule="auto" w:before="1"/>
        <w:ind w:left="102" w:right="104" w:firstLine="707"/>
        <w:jc w:val="both"/>
      </w:pPr>
      <w:r>
        <w:rPr/>
        <w:t>В этот раздел исследования вошли данные о 161 больной раком шейки матки I стадии, получивших хирургическое или комбинированное лечение в ФГБУ «НИИ онкологии им. Н.Н. Петрова» в период с 2012 по 2014 гг.</w:t>
      </w:r>
    </w:p>
    <w:p>
      <w:pPr>
        <w:pStyle w:val="BodyText"/>
        <w:spacing w:before="7"/>
        <w:rPr>
          <w:sz w:val="24"/>
        </w:rPr>
      </w:pPr>
    </w:p>
    <w:p>
      <w:pPr>
        <w:pStyle w:val="BodyText"/>
        <w:spacing w:line="360" w:lineRule="auto" w:before="1"/>
        <w:ind w:left="102" w:right="106" w:firstLine="777"/>
        <w:jc w:val="both"/>
      </w:pPr>
      <w:r>
        <w:rPr/>
        <w:t>В основную группу  включены 75 пациенток, которым в период  2012 по 2014 г. выполнялась нервосберегающая радикальная гистерэктомия лапароскопическим доступом. Группу сравнения</w:t>
      </w:r>
      <w:r>
        <w:rPr>
          <w:spacing w:val="56"/>
        </w:rPr>
        <w:t> </w:t>
      </w:r>
      <w:r>
        <w:rPr/>
        <w:t>составили</w:t>
      </w:r>
    </w:p>
    <w:p>
      <w:pPr>
        <w:pStyle w:val="BodyText"/>
        <w:spacing w:line="360" w:lineRule="auto" w:before="8"/>
        <w:ind w:left="102" w:right="103"/>
        <w:jc w:val="both"/>
      </w:pPr>
      <w:r>
        <w:rPr/>
        <w:t>86 пациенток, которым в те же сроки выполнялась радикальная гистерэктомия открытым доступом. Рандомизация больных по включению в ту или иную группу исследования не проводилась. Выбор доступа определялся техническими возможностями (в первую очередь, квалификацией хирурга, выраженностью сопутствующей патологии, характером предшествовавших хирургических вмешательств, желанием пациентки).</w:t>
      </w:r>
    </w:p>
    <w:p>
      <w:pPr>
        <w:pStyle w:val="BodyText"/>
        <w:spacing w:line="360" w:lineRule="auto" w:before="204"/>
        <w:ind w:left="102" w:right="106" w:firstLine="278"/>
        <w:jc w:val="both"/>
      </w:pPr>
      <w:r>
        <w:rPr/>
        <w:t>Больше половины больных, прооперированных лапароскопически относились к возрастной группе от 40 до 60 лет. Среди больных, которым по поводу рака шейки матки выполнялась операция Вертгейма традиционным доступом, наоборот, преобладали женщины более молодого возраста. Различие в возрасте пациенток обеих групп оказалось статистически недостоверным (Табл. 4.15).</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508" w:lineRule="auto" w:before="224" w:after="22"/>
        <w:ind w:left="1623" w:right="86" w:firstLine="5989"/>
      </w:pPr>
      <w:r>
        <w:rPr/>
        <w:t>Таблица 4.15 Распределение больных раком шейки матки по возрасту</w:t>
      </w:r>
    </w:p>
    <w:tbl>
      <w:tblPr>
        <w:tblW w:w="0" w:type="auto"/>
        <w:jc w:val="left"/>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2"/>
        <w:gridCol w:w="3624"/>
        <w:gridCol w:w="2775"/>
      </w:tblGrid>
      <w:tr>
        <w:trPr>
          <w:trHeight w:val="2290" w:hRule="exact"/>
        </w:trPr>
        <w:tc>
          <w:tcPr>
            <w:tcW w:w="2432" w:type="dxa"/>
          </w:tcPr>
          <w:p>
            <w:pPr>
              <w:pStyle w:val="TableParagraph"/>
              <w:rPr>
                <w:sz w:val="30"/>
              </w:rPr>
            </w:pPr>
          </w:p>
          <w:p>
            <w:pPr>
              <w:pStyle w:val="TableParagraph"/>
              <w:rPr>
                <w:sz w:val="30"/>
              </w:rPr>
            </w:pPr>
          </w:p>
          <w:p>
            <w:pPr>
              <w:pStyle w:val="TableParagraph"/>
              <w:spacing w:line="276" w:lineRule="auto" w:before="258"/>
              <w:ind w:left="767" w:right="491" w:hanging="267"/>
              <w:rPr>
                <w:sz w:val="28"/>
              </w:rPr>
            </w:pPr>
            <w:r>
              <w:rPr>
                <w:sz w:val="28"/>
              </w:rPr>
              <w:t>Возрастные группы</w:t>
            </w:r>
          </w:p>
        </w:tc>
        <w:tc>
          <w:tcPr>
            <w:tcW w:w="3624" w:type="dxa"/>
          </w:tcPr>
          <w:p>
            <w:pPr>
              <w:pStyle w:val="TableParagraph"/>
              <w:rPr>
                <w:sz w:val="30"/>
              </w:rPr>
            </w:pPr>
          </w:p>
          <w:p>
            <w:pPr>
              <w:pStyle w:val="TableParagraph"/>
              <w:spacing w:line="424" w:lineRule="auto" w:before="219"/>
              <w:ind w:left="1526" w:right="940" w:hanging="569"/>
              <w:rPr>
                <w:sz w:val="28"/>
              </w:rPr>
            </w:pPr>
            <w:r>
              <w:rPr>
                <w:sz w:val="28"/>
              </w:rPr>
              <w:t>Лапароскопия n(%)</w:t>
            </w:r>
          </w:p>
        </w:tc>
        <w:tc>
          <w:tcPr>
            <w:tcW w:w="2775" w:type="dxa"/>
          </w:tcPr>
          <w:p>
            <w:pPr>
              <w:pStyle w:val="TableParagraph"/>
              <w:rPr>
                <w:sz w:val="30"/>
              </w:rPr>
            </w:pPr>
          </w:p>
          <w:p>
            <w:pPr>
              <w:pStyle w:val="TableParagraph"/>
              <w:spacing w:line="424" w:lineRule="auto" w:before="219"/>
              <w:ind w:left="1135" w:right="571" w:hanging="548"/>
              <w:rPr>
                <w:sz w:val="28"/>
              </w:rPr>
            </w:pPr>
            <w:r>
              <w:rPr>
                <w:sz w:val="28"/>
              </w:rPr>
              <w:t>Лапаротомия n(%)</w:t>
            </w:r>
          </w:p>
        </w:tc>
      </w:tr>
      <w:tr>
        <w:trPr>
          <w:trHeight w:val="840" w:hRule="exact"/>
        </w:trPr>
        <w:tc>
          <w:tcPr>
            <w:tcW w:w="2432" w:type="dxa"/>
          </w:tcPr>
          <w:p>
            <w:pPr>
              <w:pStyle w:val="TableParagraph"/>
              <w:spacing w:before="122"/>
              <w:ind w:left="329" w:right="330"/>
              <w:jc w:val="center"/>
              <w:rPr>
                <w:sz w:val="28"/>
              </w:rPr>
            </w:pPr>
            <w:r>
              <w:rPr>
                <w:sz w:val="28"/>
              </w:rPr>
              <w:t>До 30 лет</w:t>
            </w:r>
          </w:p>
        </w:tc>
        <w:tc>
          <w:tcPr>
            <w:tcW w:w="3624" w:type="dxa"/>
          </w:tcPr>
          <w:p>
            <w:pPr>
              <w:pStyle w:val="TableParagraph"/>
              <w:spacing w:before="122"/>
              <w:ind w:left="1273" w:right="1274"/>
              <w:jc w:val="center"/>
              <w:rPr>
                <w:sz w:val="28"/>
              </w:rPr>
            </w:pPr>
            <w:r>
              <w:rPr>
                <w:sz w:val="28"/>
              </w:rPr>
              <w:t>9 (12,0)</w:t>
            </w:r>
          </w:p>
        </w:tc>
        <w:tc>
          <w:tcPr>
            <w:tcW w:w="2775" w:type="dxa"/>
          </w:tcPr>
          <w:p>
            <w:pPr>
              <w:pStyle w:val="TableParagraph"/>
              <w:spacing w:before="122"/>
              <w:ind w:left="848" w:right="850"/>
              <w:jc w:val="center"/>
              <w:rPr>
                <w:sz w:val="28"/>
              </w:rPr>
            </w:pPr>
            <w:r>
              <w:rPr>
                <w:sz w:val="28"/>
              </w:rPr>
              <w:t>12 (14,0)</w:t>
            </w:r>
          </w:p>
        </w:tc>
      </w:tr>
      <w:tr>
        <w:trPr>
          <w:trHeight w:val="838" w:hRule="exact"/>
        </w:trPr>
        <w:tc>
          <w:tcPr>
            <w:tcW w:w="2432" w:type="dxa"/>
          </w:tcPr>
          <w:p>
            <w:pPr>
              <w:pStyle w:val="TableParagraph"/>
              <w:spacing w:before="120"/>
              <w:ind w:left="329" w:right="329"/>
              <w:jc w:val="center"/>
              <w:rPr>
                <w:sz w:val="28"/>
              </w:rPr>
            </w:pPr>
            <w:r>
              <w:rPr>
                <w:sz w:val="28"/>
              </w:rPr>
              <w:t>30-39 лет</w:t>
            </w:r>
          </w:p>
        </w:tc>
        <w:tc>
          <w:tcPr>
            <w:tcW w:w="3624" w:type="dxa"/>
          </w:tcPr>
          <w:p>
            <w:pPr>
              <w:pStyle w:val="TableParagraph"/>
              <w:spacing w:before="120"/>
              <w:ind w:left="1274" w:right="1274"/>
              <w:jc w:val="center"/>
              <w:rPr>
                <w:sz w:val="28"/>
              </w:rPr>
            </w:pPr>
            <w:r>
              <w:rPr>
                <w:sz w:val="28"/>
              </w:rPr>
              <w:t>14 (18,7)</w:t>
            </w:r>
          </w:p>
        </w:tc>
        <w:tc>
          <w:tcPr>
            <w:tcW w:w="2775" w:type="dxa"/>
          </w:tcPr>
          <w:p>
            <w:pPr>
              <w:pStyle w:val="TableParagraph"/>
              <w:spacing w:before="120"/>
              <w:ind w:left="848" w:right="850"/>
              <w:jc w:val="center"/>
              <w:rPr>
                <w:sz w:val="28"/>
              </w:rPr>
            </w:pPr>
            <w:r>
              <w:rPr>
                <w:sz w:val="28"/>
              </w:rPr>
              <w:t>31 (36,0)</w:t>
            </w:r>
          </w:p>
        </w:tc>
      </w:tr>
      <w:tr>
        <w:trPr>
          <w:trHeight w:val="838" w:hRule="exact"/>
        </w:trPr>
        <w:tc>
          <w:tcPr>
            <w:tcW w:w="2432" w:type="dxa"/>
          </w:tcPr>
          <w:p>
            <w:pPr>
              <w:pStyle w:val="TableParagraph"/>
              <w:spacing w:before="122"/>
              <w:ind w:left="329" w:right="329"/>
              <w:jc w:val="center"/>
              <w:rPr>
                <w:sz w:val="28"/>
              </w:rPr>
            </w:pPr>
            <w:r>
              <w:rPr>
                <w:sz w:val="28"/>
              </w:rPr>
              <w:t>40-49 лет</w:t>
            </w:r>
          </w:p>
        </w:tc>
        <w:tc>
          <w:tcPr>
            <w:tcW w:w="3624" w:type="dxa"/>
          </w:tcPr>
          <w:p>
            <w:pPr>
              <w:pStyle w:val="TableParagraph"/>
              <w:spacing w:before="122"/>
              <w:ind w:left="1274" w:right="1274"/>
              <w:jc w:val="center"/>
              <w:rPr>
                <w:sz w:val="28"/>
              </w:rPr>
            </w:pPr>
            <w:r>
              <w:rPr>
                <w:sz w:val="28"/>
              </w:rPr>
              <w:t>26(34,7)</w:t>
            </w:r>
          </w:p>
        </w:tc>
        <w:tc>
          <w:tcPr>
            <w:tcW w:w="2775" w:type="dxa"/>
          </w:tcPr>
          <w:p>
            <w:pPr>
              <w:pStyle w:val="TableParagraph"/>
              <w:spacing w:before="122"/>
              <w:ind w:left="848" w:right="850"/>
              <w:jc w:val="center"/>
              <w:rPr>
                <w:sz w:val="28"/>
              </w:rPr>
            </w:pPr>
            <w:r>
              <w:rPr>
                <w:sz w:val="28"/>
              </w:rPr>
              <w:t>17 (19,8)</w:t>
            </w:r>
          </w:p>
        </w:tc>
      </w:tr>
      <w:tr>
        <w:trPr>
          <w:trHeight w:val="838" w:hRule="exact"/>
        </w:trPr>
        <w:tc>
          <w:tcPr>
            <w:tcW w:w="2432" w:type="dxa"/>
          </w:tcPr>
          <w:p>
            <w:pPr>
              <w:pStyle w:val="TableParagraph"/>
              <w:spacing w:before="123"/>
              <w:ind w:left="329" w:right="329"/>
              <w:jc w:val="center"/>
              <w:rPr>
                <w:sz w:val="28"/>
              </w:rPr>
            </w:pPr>
            <w:r>
              <w:rPr>
                <w:sz w:val="28"/>
              </w:rPr>
              <w:t>50-59 лет</w:t>
            </w:r>
          </w:p>
        </w:tc>
        <w:tc>
          <w:tcPr>
            <w:tcW w:w="3624" w:type="dxa"/>
          </w:tcPr>
          <w:p>
            <w:pPr>
              <w:pStyle w:val="TableParagraph"/>
              <w:spacing w:before="123"/>
              <w:ind w:left="1274" w:right="1274"/>
              <w:jc w:val="center"/>
              <w:rPr>
                <w:sz w:val="28"/>
              </w:rPr>
            </w:pPr>
            <w:r>
              <w:rPr>
                <w:sz w:val="28"/>
              </w:rPr>
              <w:t>19 (25,3)</w:t>
            </w:r>
          </w:p>
        </w:tc>
        <w:tc>
          <w:tcPr>
            <w:tcW w:w="2775" w:type="dxa"/>
          </w:tcPr>
          <w:p>
            <w:pPr>
              <w:pStyle w:val="TableParagraph"/>
              <w:spacing w:before="123"/>
              <w:ind w:left="848" w:right="850"/>
              <w:jc w:val="center"/>
              <w:rPr>
                <w:sz w:val="28"/>
              </w:rPr>
            </w:pPr>
            <w:r>
              <w:rPr>
                <w:sz w:val="28"/>
              </w:rPr>
              <w:t>21 (24,4)</w:t>
            </w:r>
          </w:p>
        </w:tc>
      </w:tr>
      <w:tr>
        <w:trPr>
          <w:trHeight w:val="838" w:hRule="exact"/>
        </w:trPr>
        <w:tc>
          <w:tcPr>
            <w:tcW w:w="2432" w:type="dxa"/>
          </w:tcPr>
          <w:p>
            <w:pPr>
              <w:pStyle w:val="TableParagraph"/>
              <w:spacing w:before="122"/>
              <w:ind w:left="329" w:right="329"/>
              <w:jc w:val="center"/>
              <w:rPr>
                <w:sz w:val="28"/>
              </w:rPr>
            </w:pPr>
            <w:r>
              <w:rPr>
                <w:sz w:val="28"/>
              </w:rPr>
              <w:t>60-69 лет</w:t>
            </w:r>
          </w:p>
        </w:tc>
        <w:tc>
          <w:tcPr>
            <w:tcW w:w="3624" w:type="dxa"/>
          </w:tcPr>
          <w:p>
            <w:pPr>
              <w:pStyle w:val="TableParagraph"/>
              <w:spacing w:before="122"/>
              <w:ind w:left="1273" w:right="1274"/>
              <w:jc w:val="center"/>
              <w:rPr>
                <w:sz w:val="28"/>
              </w:rPr>
            </w:pPr>
            <w:r>
              <w:rPr>
                <w:sz w:val="28"/>
              </w:rPr>
              <w:t>7 (9,3)</w:t>
            </w:r>
          </w:p>
        </w:tc>
        <w:tc>
          <w:tcPr>
            <w:tcW w:w="2775" w:type="dxa"/>
          </w:tcPr>
          <w:p>
            <w:pPr>
              <w:pStyle w:val="TableParagraph"/>
              <w:spacing w:before="122"/>
              <w:ind w:left="848" w:right="849"/>
              <w:jc w:val="center"/>
              <w:rPr>
                <w:sz w:val="28"/>
              </w:rPr>
            </w:pPr>
            <w:r>
              <w:rPr>
                <w:sz w:val="28"/>
              </w:rPr>
              <w:t>3 (3,5)</w:t>
            </w:r>
          </w:p>
        </w:tc>
      </w:tr>
      <w:tr>
        <w:trPr>
          <w:trHeight w:val="838" w:hRule="exact"/>
        </w:trPr>
        <w:tc>
          <w:tcPr>
            <w:tcW w:w="2432" w:type="dxa"/>
          </w:tcPr>
          <w:p>
            <w:pPr>
              <w:pStyle w:val="TableParagraph"/>
              <w:spacing w:before="122"/>
              <w:ind w:left="329" w:right="332"/>
              <w:jc w:val="center"/>
              <w:rPr>
                <w:sz w:val="28"/>
              </w:rPr>
            </w:pPr>
            <w:r>
              <w:rPr>
                <w:sz w:val="28"/>
              </w:rPr>
              <w:t>Старше 70 лет</w:t>
            </w:r>
          </w:p>
        </w:tc>
        <w:tc>
          <w:tcPr>
            <w:tcW w:w="3624" w:type="dxa"/>
          </w:tcPr>
          <w:p>
            <w:pPr>
              <w:pStyle w:val="TableParagraph"/>
              <w:spacing w:before="122"/>
              <w:jc w:val="center"/>
              <w:rPr>
                <w:sz w:val="28"/>
              </w:rPr>
            </w:pPr>
            <w:r>
              <w:rPr>
                <w:w w:val="100"/>
                <w:sz w:val="28"/>
              </w:rPr>
              <w:t>-</w:t>
            </w:r>
          </w:p>
        </w:tc>
        <w:tc>
          <w:tcPr>
            <w:tcW w:w="2775" w:type="dxa"/>
          </w:tcPr>
          <w:p>
            <w:pPr>
              <w:pStyle w:val="TableParagraph"/>
              <w:spacing w:before="122"/>
              <w:ind w:left="848" w:right="849"/>
              <w:jc w:val="center"/>
              <w:rPr>
                <w:sz w:val="28"/>
              </w:rPr>
            </w:pPr>
            <w:r>
              <w:rPr>
                <w:sz w:val="28"/>
              </w:rPr>
              <w:t>2 (2,3)</w:t>
            </w:r>
          </w:p>
        </w:tc>
      </w:tr>
      <w:tr>
        <w:trPr>
          <w:trHeight w:val="840" w:hRule="exact"/>
        </w:trPr>
        <w:tc>
          <w:tcPr>
            <w:tcW w:w="2432" w:type="dxa"/>
          </w:tcPr>
          <w:p>
            <w:pPr>
              <w:pStyle w:val="TableParagraph"/>
              <w:spacing w:before="122"/>
              <w:ind w:left="329" w:right="329"/>
              <w:jc w:val="center"/>
              <w:rPr>
                <w:sz w:val="28"/>
              </w:rPr>
            </w:pPr>
            <w:r>
              <w:rPr>
                <w:sz w:val="28"/>
              </w:rPr>
              <w:t>Всего</w:t>
            </w:r>
          </w:p>
        </w:tc>
        <w:tc>
          <w:tcPr>
            <w:tcW w:w="3624" w:type="dxa"/>
          </w:tcPr>
          <w:p>
            <w:pPr>
              <w:pStyle w:val="TableParagraph"/>
              <w:spacing w:before="122"/>
              <w:ind w:left="1274" w:right="1274"/>
              <w:jc w:val="center"/>
              <w:rPr>
                <w:sz w:val="28"/>
              </w:rPr>
            </w:pPr>
            <w:r>
              <w:rPr>
                <w:sz w:val="28"/>
              </w:rPr>
              <w:t>75</w:t>
            </w:r>
          </w:p>
        </w:tc>
        <w:tc>
          <w:tcPr>
            <w:tcW w:w="2775" w:type="dxa"/>
          </w:tcPr>
          <w:p>
            <w:pPr>
              <w:pStyle w:val="TableParagraph"/>
              <w:spacing w:before="122"/>
              <w:ind w:left="848" w:right="848"/>
              <w:jc w:val="center"/>
              <w:rPr>
                <w:sz w:val="28"/>
              </w:rPr>
            </w:pPr>
            <w:r>
              <w:rPr>
                <w:sz w:val="28"/>
              </w:rPr>
              <w:t>86</w:t>
            </w:r>
          </w:p>
        </w:tc>
      </w:tr>
    </w:tbl>
    <w:p>
      <w:pPr>
        <w:pStyle w:val="BodyText"/>
        <w:rPr>
          <w:sz w:val="30"/>
        </w:rPr>
      </w:pPr>
    </w:p>
    <w:p>
      <w:pPr>
        <w:pStyle w:val="BodyText"/>
        <w:rPr>
          <w:sz w:val="30"/>
        </w:rPr>
      </w:pPr>
    </w:p>
    <w:p>
      <w:pPr>
        <w:pStyle w:val="BodyText"/>
        <w:rPr>
          <w:sz w:val="30"/>
        </w:rPr>
      </w:pPr>
    </w:p>
    <w:p>
      <w:pPr>
        <w:pStyle w:val="BodyText"/>
        <w:spacing w:line="360" w:lineRule="auto"/>
        <w:ind w:left="102" w:right="284" w:firstLine="347"/>
      </w:pPr>
      <w:r>
        <w:rPr/>
        <w:t>При анализе антропометрических показателей обследованных женщин установлено, что средний показатель ИМТ в основной группе составил 28,7  (19,8 – 37,9), в группе сравнения - 26,4  (21,4 – 36,2), при р &gt; 0,05</w:t>
      </w:r>
    </w:p>
    <w:p>
      <w:pPr>
        <w:pStyle w:val="BodyText"/>
        <w:spacing w:before="5"/>
        <w:ind w:left="102"/>
      </w:pPr>
      <w:r>
        <w:rPr/>
        <w:t>(Табл. 4.16).</w:t>
      </w:r>
    </w:p>
    <w:p>
      <w:pPr>
        <w:spacing w:after="0"/>
        <w:sectPr>
          <w:headerReference w:type="default" r:id="rId130"/>
          <w:pgSz w:w="11900" w:h="16850"/>
          <w:pgMar w:header="712" w:footer="0" w:top="1020" w:bottom="280" w:left="1600" w:right="1020"/>
          <w:pgNumType w:start="190"/>
        </w:sectPr>
      </w:pPr>
    </w:p>
    <w:p>
      <w:pPr>
        <w:pStyle w:val="BodyText"/>
        <w:rPr>
          <w:sz w:val="20"/>
        </w:rPr>
      </w:pPr>
    </w:p>
    <w:p>
      <w:pPr>
        <w:pStyle w:val="BodyText"/>
        <w:rPr>
          <w:sz w:val="20"/>
        </w:rPr>
      </w:pPr>
    </w:p>
    <w:p>
      <w:pPr>
        <w:pStyle w:val="BodyText"/>
        <w:spacing w:line="508" w:lineRule="auto" w:before="224" w:after="22"/>
        <w:ind w:left="1490" w:right="88" w:firstLine="6140"/>
      </w:pPr>
      <w:r>
        <w:rPr/>
        <w:pict>
          <v:line style="position:absolute;mso-position-horizontal-relative:page;mso-position-vertical-relative:paragraph;z-index:-337192" from="85.344002pt,80.31031pt" to="177.020002pt,334.50031pt" stroked="true" strokeweight=".48pt" strokecolor="#000000">
            <v:stroke dashstyle="solid"/>
            <w10:wrap type="none"/>
          </v:line>
        </w:pict>
      </w:r>
      <w:r>
        <w:rPr/>
        <w:t>Таблица 4.16 Распределение больных раком шейки матки по ИМТ</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1532"/>
        <w:gridCol w:w="1532"/>
        <w:gridCol w:w="1332"/>
        <w:gridCol w:w="1419"/>
        <w:gridCol w:w="1274"/>
      </w:tblGrid>
      <w:tr>
        <w:trPr>
          <w:trHeight w:val="2542" w:hRule="exact"/>
        </w:trPr>
        <w:tc>
          <w:tcPr>
            <w:tcW w:w="1843" w:type="dxa"/>
            <w:vMerge w:val="restart"/>
          </w:tcPr>
          <w:p>
            <w:pPr>
              <w:pStyle w:val="TableParagraph"/>
              <w:spacing w:line="315" w:lineRule="exact"/>
              <w:ind w:left="940"/>
              <w:rPr>
                <w:sz w:val="28"/>
              </w:rPr>
            </w:pPr>
            <w:r>
              <w:rPr>
                <w:sz w:val="28"/>
              </w:rPr>
              <w:t>ИМТ</w:t>
            </w:r>
          </w:p>
          <w:p>
            <w:pPr>
              <w:pStyle w:val="TableParagraph"/>
              <w:spacing w:before="3"/>
              <w:rPr>
                <w:sz w:val="28"/>
              </w:rPr>
            </w:pPr>
          </w:p>
          <w:p>
            <w:pPr>
              <w:pStyle w:val="TableParagraph"/>
              <w:ind w:left="801"/>
              <w:rPr>
                <w:sz w:val="28"/>
              </w:rPr>
            </w:pPr>
            <w:r>
              <w:rPr>
                <w:sz w:val="28"/>
              </w:rPr>
              <w:t>(кг/м</w:t>
            </w:r>
            <w:r>
              <w:rPr>
                <w:position w:val="13"/>
                <w:sz w:val="18"/>
              </w:rPr>
              <w:t>2</w:t>
            </w:r>
            <w:r>
              <w:rPr>
                <w:sz w:val="28"/>
              </w:rPr>
              <w:t>)</w:t>
            </w:r>
          </w:p>
          <w:p>
            <w:pPr>
              <w:pStyle w:val="TableParagraph"/>
              <w:rPr>
                <w:sz w:val="34"/>
              </w:rPr>
            </w:pPr>
          </w:p>
          <w:p>
            <w:pPr>
              <w:pStyle w:val="TableParagraph"/>
              <w:rPr>
                <w:sz w:val="34"/>
              </w:rPr>
            </w:pPr>
          </w:p>
          <w:p>
            <w:pPr>
              <w:pStyle w:val="TableParagraph"/>
              <w:rPr>
                <w:sz w:val="34"/>
              </w:rPr>
            </w:pPr>
          </w:p>
          <w:p>
            <w:pPr>
              <w:pStyle w:val="TableParagraph"/>
              <w:rPr>
                <w:sz w:val="34"/>
              </w:rPr>
            </w:pPr>
          </w:p>
          <w:p>
            <w:pPr>
              <w:pStyle w:val="TableParagraph"/>
              <w:rPr>
                <w:sz w:val="34"/>
              </w:rPr>
            </w:pPr>
          </w:p>
          <w:p>
            <w:pPr>
              <w:pStyle w:val="TableParagraph"/>
              <w:spacing w:before="6"/>
              <w:rPr>
                <w:sz w:val="39"/>
              </w:rPr>
            </w:pPr>
          </w:p>
          <w:p>
            <w:pPr>
              <w:pStyle w:val="TableParagraph"/>
              <w:ind w:left="103"/>
              <w:rPr>
                <w:sz w:val="28"/>
              </w:rPr>
            </w:pPr>
            <w:r>
              <w:rPr>
                <w:sz w:val="28"/>
              </w:rPr>
              <w:t>Группы</w:t>
            </w:r>
          </w:p>
        </w:tc>
        <w:tc>
          <w:tcPr>
            <w:tcW w:w="1532" w:type="dxa"/>
          </w:tcPr>
          <w:p>
            <w:pPr>
              <w:pStyle w:val="TableParagraph"/>
              <w:spacing w:line="315" w:lineRule="exact"/>
              <w:ind w:left="103"/>
              <w:rPr>
                <w:sz w:val="28"/>
              </w:rPr>
            </w:pPr>
            <w:r>
              <w:rPr>
                <w:sz w:val="28"/>
              </w:rPr>
              <w:t>Норма</w:t>
            </w:r>
          </w:p>
        </w:tc>
        <w:tc>
          <w:tcPr>
            <w:tcW w:w="1532" w:type="dxa"/>
          </w:tcPr>
          <w:p>
            <w:pPr>
              <w:pStyle w:val="TableParagraph"/>
              <w:spacing w:line="360" w:lineRule="auto"/>
              <w:ind w:left="103" w:right="357"/>
              <w:rPr>
                <w:sz w:val="28"/>
              </w:rPr>
            </w:pPr>
            <w:r>
              <w:rPr>
                <w:sz w:val="28"/>
              </w:rPr>
              <w:t>Избыток массы тела</w:t>
            </w:r>
          </w:p>
        </w:tc>
        <w:tc>
          <w:tcPr>
            <w:tcW w:w="1332" w:type="dxa"/>
          </w:tcPr>
          <w:p>
            <w:pPr>
              <w:pStyle w:val="TableParagraph"/>
              <w:spacing w:line="360" w:lineRule="auto"/>
              <w:ind w:left="100" w:right="299"/>
              <w:rPr>
                <w:sz w:val="28"/>
              </w:rPr>
            </w:pPr>
            <w:r>
              <w:rPr>
                <w:sz w:val="28"/>
              </w:rPr>
              <w:t>Ожире- ние</w:t>
            </w:r>
          </w:p>
          <w:p>
            <w:pPr>
              <w:pStyle w:val="TableParagraph"/>
              <w:spacing w:before="214"/>
              <w:ind w:left="100"/>
              <w:rPr>
                <w:sz w:val="28"/>
              </w:rPr>
            </w:pPr>
            <w:r>
              <w:rPr>
                <w:w w:val="100"/>
                <w:sz w:val="28"/>
              </w:rPr>
              <w:t>I</w:t>
            </w:r>
          </w:p>
          <w:p>
            <w:pPr>
              <w:pStyle w:val="TableParagraph"/>
              <w:spacing w:before="3"/>
              <w:rPr>
                <w:sz w:val="31"/>
              </w:rPr>
            </w:pPr>
          </w:p>
          <w:p>
            <w:pPr>
              <w:pStyle w:val="TableParagraph"/>
              <w:ind w:left="100"/>
              <w:rPr>
                <w:sz w:val="28"/>
              </w:rPr>
            </w:pPr>
            <w:r>
              <w:rPr>
                <w:sz w:val="28"/>
              </w:rPr>
              <w:t>степени</w:t>
            </w:r>
          </w:p>
        </w:tc>
        <w:tc>
          <w:tcPr>
            <w:tcW w:w="1419" w:type="dxa"/>
          </w:tcPr>
          <w:p>
            <w:pPr>
              <w:pStyle w:val="TableParagraph"/>
              <w:spacing w:line="360" w:lineRule="auto"/>
              <w:ind w:left="103" w:right="383"/>
              <w:rPr>
                <w:sz w:val="28"/>
              </w:rPr>
            </w:pPr>
            <w:r>
              <w:rPr>
                <w:sz w:val="28"/>
              </w:rPr>
              <w:t>Ожире- ние</w:t>
            </w:r>
          </w:p>
          <w:p>
            <w:pPr>
              <w:pStyle w:val="TableParagraph"/>
              <w:spacing w:before="214"/>
              <w:ind w:left="103"/>
              <w:rPr>
                <w:sz w:val="28"/>
              </w:rPr>
            </w:pPr>
            <w:r>
              <w:rPr>
                <w:sz w:val="28"/>
              </w:rPr>
              <w:t>II</w:t>
            </w:r>
          </w:p>
          <w:p>
            <w:pPr>
              <w:pStyle w:val="TableParagraph"/>
              <w:spacing w:before="3"/>
              <w:rPr>
                <w:sz w:val="31"/>
              </w:rPr>
            </w:pPr>
          </w:p>
          <w:p>
            <w:pPr>
              <w:pStyle w:val="TableParagraph"/>
              <w:ind w:left="103"/>
              <w:rPr>
                <w:sz w:val="28"/>
              </w:rPr>
            </w:pPr>
            <w:r>
              <w:rPr>
                <w:sz w:val="28"/>
              </w:rPr>
              <w:t>степени</w:t>
            </w:r>
          </w:p>
        </w:tc>
        <w:tc>
          <w:tcPr>
            <w:tcW w:w="1274" w:type="dxa"/>
          </w:tcPr>
          <w:p>
            <w:pPr>
              <w:pStyle w:val="TableParagraph"/>
              <w:spacing w:line="360" w:lineRule="auto"/>
              <w:ind w:left="100" w:right="241"/>
              <w:rPr>
                <w:sz w:val="28"/>
              </w:rPr>
            </w:pPr>
            <w:r>
              <w:rPr>
                <w:sz w:val="28"/>
              </w:rPr>
              <w:t>Ожире- ние</w:t>
            </w:r>
          </w:p>
          <w:p>
            <w:pPr>
              <w:pStyle w:val="TableParagraph"/>
              <w:spacing w:before="214"/>
              <w:ind w:left="100"/>
              <w:rPr>
                <w:sz w:val="28"/>
              </w:rPr>
            </w:pPr>
            <w:r>
              <w:rPr>
                <w:sz w:val="28"/>
              </w:rPr>
              <w:t>III</w:t>
            </w:r>
          </w:p>
          <w:p>
            <w:pPr>
              <w:pStyle w:val="TableParagraph"/>
              <w:spacing w:before="161"/>
              <w:ind w:left="100"/>
              <w:rPr>
                <w:sz w:val="28"/>
              </w:rPr>
            </w:pPr>
            <w:r>
              <w:rPr>
                <w:sz w:val="28"/>
              </w:rPr>
              <w:t>степени</w:t>
            </w:r>
          </w:p>
        </w:tc>
      </w:tr>
      <w:tr>
        <w:trPr>
          <w:trHeight w:val="1176" w:hRule="exact"/>
        </w:trPr>
        <w:tc>
          <w:tcPr>
            <w:tcW w:w="1843" w:type="dxa"/>
            <w:vMerge/>
          </w:tcPr>
          <w:p>
            <w:pPr/>
          </w:p>
        </w:tc>
        <w:tc>
          <w:tcPr>
            <w:tcW w:w="1532" w:type="dxa"/>
          </w:tcPr>
          <w:p>
            <w:pPr>
              <w:pStyle w:val="TableParagraph"/>
              <w:tabs>
                <w:tab w:pos="1279" w:val="left" w:leader="none"/>
              </w:tabs>
              <w:spacing w:line="315" w:lineRule="exact"/>
              <w:ind w:left="103"/>
              <w:rPr>
                <w:sz w:val="28"/>
              </w:rPr>
            </w:pPr>
            <w:r>
              <w:rPr>
                <w:sz w:val="28"/>
              </w:rPr>
              <w:t>(18,5</w:t>
              <w:tab/>
              <w:t>–</w:t>
            </w:r>
          </w:p>
          <w:p>
            <w:pPr>
              <w:pStyle w:val="TableParagraph"/>
              <w:spacing w:before="160"/>
              <w:ind w:left="103"/>
              <w:rPr>
                <w:sz w:val="28"/>
              </w:rPr>
            </w:pPr>
            <w:r>
              <w:rPr>
                <w:sz w:val="28"/>
              </w:rPr>
              <w:t>24,9)</w:t>
            </w:r>
          </w:p>
        </w:tc>
        <w:tc>
          <w:tcPr>
            <w:tcW w:w="1532" w:type="dxa"/>
          </w:tcPr>
          <w:p>
            <w:pPr>
              <w:pStyle w:val="TableParagraph"/>
              <w:tabs>
                <w:tab w:pos="1279" w:val="left" w:leader="none"/>
              </w:tabs>
              <w:spacing w:line="315" w:lineRule="exact"/>
              <w:ind w:left="103"/>
              <w:rPr>
                <w:sz w:val="28"/>
              </w:rPr>
            </w:pPr>
            <w:r>
              <w:rPr>
                <w:sz w:val="28"/>
              </w:rPr>
              <w:t>(25,0</w:t>
              <w:tab/>
              <w:t>–</w:t>
            </w:r>
          </w:p>
          <w:p>
            <w:pPr>
              <w:pStyle w:val="TableParagraph"/>
              <w:spacing w:before="160"/>
              <w:ind w:left="103"/>
              <w:rPr>
                <w:sz w:val="28"/>
              </w:rPr>
            </w:pPr>
            <w:r>
              <w:rPr>
                <w:sz w:val="28"/>
              </w:rPr>
              <w:t>29,9)</w:t>
            </w:r>
          </w:p>
        </w:tc>
        <w:tc>
          <w:tcPr>
            <w:tcW w:w="1332" w:type="dxa"/>
          </w:tcPr>
          <w:p>
            <w:pPr>
              <w:pStyle w:val="TableParagraph"/>
              <w:tabs>
                <w:tab w:pos="1077" w:val="left" w:leader="none"/>
              </w:tabs>
              <w:spacing w:line="315" w:lineRule="exact"/>
              <w:ind w:left="100"/>
              <w:rPr>
                <w:sz w:val="28"/>
              </w:rPr>
            </w:pPr>
            <w:r>
              <w:rPr>
                <w:sz w:val="28"/>
              </w:rPr>
              <w:t>(30,0</w:t>
              <w:tab/>
              <w:t>–</w:t>
            </w:r>
          </w:p>
          <w:p>
            <w:pPr>
              <w:pStyle w:val="TableParagraph"/>
              <w:spacing w:before="160"/>
              <w:ind w:left="100"/>
              <w:rPr>
                <w:sz w:val="28"/>
              </w:rPr>
            </w:pPr>
            <w:r>
              <w:rPr>
                <w:sz w:val="28"/>
              </w:rPr>
              <w:t>34,9)</w:t>
            </w:r>
          </w:p>
        </w:tc>
        <w:tc>
          <w:tcPr>
            <w:tcW w:w="1419" w:type="dxa"/>
          </w:tcPr>
          <w:p>
            <w:pPr>
              <w:pStyle w:val="TableParagraph"/>
              <w:tabs>
                <w:tab w:pos="1166" w:val="left" w:leader="none"/>
              </w:tabs>
              <w:spacing w:line="315" w:lineRule="exact"/>
              <w:ind w:left="103"/>
              <w:rPr>
                <w:sz w:val="28"/>
              </w:rPr>
            </w:pPr>
            <w:r>
              <w:rPr>
                <w:sz w:val="28"/>
              </w:rPr>
              <w:t>(35,0</w:t>
              <w:tab/>
              <w:t>–</w:t>
            </w:r>
          </w:p>
          <w:p>
            <w:pPr>
              <w:pStyle w:val="TableParagraph"/>
              <w:spacing w:before="160"/>
              <w:ind w:left="103"/>
              <w:rPr>
                <w:sz w:val="28"/>
              </w:rPr>
            </w:pPr>
            <w:r>
              <w:rPr>
                <w:sz w:val="28"/>
              </w:rPr>
              <w:t>39,9)</w:t>
            </w:r>
          </w:p>
        </w:tc>
        <w:tc>
          <w:tcPr>
            <w:tcW w:w="1274" w:type="dxa"/>
          </w:tcPr>
          <w:p>
            <w:pPr>
              <w:pStyle w:val="TableParagraph"/>
              <w:spacing w:line="315" w:lineRule="exact"/>
              <w:ind w:left="100"/>
              <w:rPr>
                <w:sz w:val="28"/>
              </w:rPr>
            </w:pPr>
            <w:r>
              <w:rPr>
                <w:sz w:val="28"/>
              </w:rPr>
              <w:t>≥ 40,0</w:t>
            </w:r>
          </w:p>
        </w:tc>
      </w:tr>
      <w:tr>
        <w:trPr>
          <w:trHeight w:val="1375" w:hRule="exact"/>
        </w:trPr>
        <w:tc>
          <w:tcPr>
            <w:tcW w:w="1843" w:type="dxa"/>
            <w:vMerge/>
          </w:tcPr>
          <w:p>
            <w:pPr/>
          </w:p>
        </w:tc>
        <w:tc>
          <w:tcPr>
            <w:tcW w:w="1532" w:type="dxa"/>
          </w:tcPr>
          <w:p>
            <w:pPr>
              <w:pStyle w:val="TableParagraph"/>
              <w:spacing w:line="508" w:lineRule="auto"/>
              <w:ind w:left="550" w:right="550" w:firstLine="3"/>
              <w:jc w:val="center"/>
              <w:rPr>
                <w:sz w:val="28"/>
              </w:rPr>
            </w:pPr>
            <w:r>
              <w:rPr>
                <w:sz w:val="28"/>
              </w:rPr>
              <w:t>n (%)</w:t>
            </w:r>
          </w:p>
        </w:tc>
        <w:tc>
          <w:tcPr>
            <w:tcW w:w="1532" w:type="dxa"/>
          </w:tcPr>
          <w:p>
            <w:pPr>
              <w:pStyle w:val="TableParagraph"/>
              <w:spacing w:line="508" w:lineRule="auto"/>
              <w:ind w:left="549" w:right="550" w:firstLine="3"/>
              <w:jc w:val="center"/>
              <w:rPr>
                <w:sz w:val="28"/>
              </w:rPr>
            </w:pPr>
            <w:r>
              <w:rPr>
                <w:sz w:val="28"/>
              </w:rPr>
              <w:t>n (%)</w:t>
            </w:r>
          </w:p>
        </w:tc>
        <w:tc>
          <w:tcPr>
            <w:tcW w:w="1332" w:type="dxa"/>
          </w:tcPr>
          <w:p>
            <w:pPr>
              <w:pStyle w:val="TableParagraph"/>
              <w:spacing w:line="508" w:lineRule="auto"/>
              <w:ind w:left="448" w:right="451" w:hanging="1"/>
              <w:jc w:val="center"/>
              <w:rPr>
                <w:sz w:val="28"/>
              </w:rPr>
            </w:pPr>
            <w:r>
              <w:rPr>
                <w:sz w:val="28"/>
              </w:rPr>
              <w:t>n (%)</w:t>
            </w:r>
          </w:p>
        </w:tc>
        <w:tc>
          <w:tcPr>
            <w:tcW w:w="1419" w:type="dxa"/>
          </w:tcPr>
          <w:p>
            <w:pPr>
              <w:pStyle w:val="TableParagraph"/>
              <w:spacing w:line="508" w:lineRule="auto"/>
              <w:ind w:left="494" w:right="493" w:hanging="1"/>
              <w:jc w:val="center"/>
              <w:rPr>
                <w:sz w:val="28"/>
              </w:rPr>
            </w:pPr>
            <w:r>
              <w:rPr>
                <w:sz w:val="28"/>
              </w:rPr>
              <w:t>n (%)</w:t>
            </w:r>
          </w:p>
        </w:tc>
        <w:tc>
          <w:tcPr>
            <w:tcW w:w="1274" w:type="dxa"/>
          </w:tcPr>
          <w:p>
            <w:pPr>
              <w:pStyle w:val="TableParagraph"/>
              <w:spacing w:line="508" w:lineRule="auto"/>
              <w:ind w:left="419" w:right="406" w:firstLine="141"/>
              <w:rPr>
                <w:sz w:val="28"/>
              </w:rPr>
            </w:pPr>
            <w:r>
              <w:rPr>
                <w:sz w:val="28"/>
              </w:rPr>
              <w:t>n (%)</w:t>
            </w:r>
          </w:p>
        </w:tc>
      </w:tr>
      <w:tr>
        <w:trPr>
          <w:trHeight w:val="1378" w:hRule="exact"/>
        </w:trPr>
        <w:tc>
          <w:tcPr>
            <w:tcW w:w="1843" w:type="dxa"/>
          </w:tcPr>
          <w:p>
            <w:pPr>
              <w:pStyle w:val="TableParagraph"/>
              <w:spacing w:line="362" w:lineRule="auto"/>
              <w:ind w:left="103" w:right="358"/>
              <w:rPr>
                <w:sz w:val="28"/>
              </w:rPr>
            </w:pPr>
            <w:r>
              <w:rPr>
                <w:spacing w:val="-1"/>
                <w:sz w:val="28"/>
              </w:rPr>
              <w:t>Лапароско- </w:t>
            </w:r>
            <w:r>
              <w:rPr>
                <w:sz w:val="28"/>
              </w:rPr>
              <w:t>пия</w:t>
            </w:r>
            <w:r>
              <w:rPr>
                <w:spacing w:val="64"/>
                <w:sz w:val="28"/>
              </w:rPr>
              <w:t> </w:t>
            </w:r>
            <w:r>
              <w:rPr>
                <w:sz w:val="28"/>
              </w:rPr>
              <w:t>(n=75)</w:t>
            </w:r>
          </w:p>
        </w:tc>
        <w:tc>
          <w:tcPr>
            <w:tcW w:w="1532" w:type="dxa"/>
          </w:tcPr>
          <w:p>
            <w:pPr>
              <w:pStyle w:val="TableParagraph"/>
              <w:spacing w:line="315" w:lineRule="exact"/>
              <w:ind w:left="222"/>
              <w:jc w:val="center"/>
              <w:rPr>
                <w:sz w:val="28"/>
              </w:rPr>
            </w:pPr>
            <w:r>
              <w:rPr>
                <w:w w:val="100"/>
                <w:sz w:val="28"/>
              </w:rPr>
              <w:t>9</w:t>
            </w:r>
          </w:p>
          <w:p>
            <w:pPr>
              <w:pStyle w:val="TableParagraph"/>
              <w:spacing w:before="5"/>
              <w:rPr>
                <w:sz w:val="31"/>
              </w:rPr>
            </w:pPr>
          </w:p>
          <w:p>
            <w:pPr>
              <w:pStyle w:val="TableParagraph"/>
              <w:ind w:left="423"/>
              <w:rPr>
                <w:sz w:val="28"/>
              </w:rPr>
            </w:pPr>
            <w:r>
              <w:rPr>
                <w:sz w:val="28"/>
              </w:rPr>
              <w:t>(12,0)</w:t>
            </w:r>
          </w:p>
        </w:tc>
        <w:tc>
          <w:tcPr>
            <w:tcW w:w="1532" w:type="dxa"/>
          </w:tcPr>
          <w:p>
            <w:pPr>
              <w:pStyle w:val="TableParagraph"/>
              <w:spacing w:line="315" w:lineRule="exact"/>
              <w:ind w:left="402" w:right="402"/>
              <w:jc w:val="center"/>
              <w:rPr>
                <w:sz w:val="28"/>
              </w:rPr>
            </w:pPr>
            <w:r>
              <w:rPr>
                <w:sz w:val="28"/>
              </w:rPr>
              <w:t>17</w:t>
            </w:r>
          </w:p>
          <w:p>
            <w:pPr>
              <w:pStyle w:val="TableParagraph"/>
              <w:spacing w:before="5"/>
              <w:rPr>
                <w:sz w:val="31"/>
              </w:rPr>
            </w:pPr>
          </w:p>
          <w:p>
            <w:pPr>
              <w:pStyle w:val="TableParagraph"/>
              <w:ind w:left="402" w:right="402"/>
              <w:jc w:val="center"/>
              <w:rPr>
                <w:sz w:val="28"/>
              </w:rPr>
            </w:pPr>
            <w:r>
              <w:rPr>
                <w:sz w:val="28"/>
              </w:rPr>
              <w:t>(22,7)</w:t>
            </w:r>
          </w:p>
        </w:tc>
        <w:tc>
          <w:tcPr>
            <w:tcW w:w="1332" w:type="dxa"/>
          </w:tcPr>
          <w:p>
            <w:pPr>
              <w:pStyle w:val="TableParagraph"/>
              <w:spacing w:line="315" w:lineRule="exact"/>
              <w:ind w:left="301" w:right="301"/>
              <w:jc w:val="center"/>
              <w:rPr>
                <w:sz w:val="28"/>
              </w:rPr>
            </w:pPr>
            <w:r>
              <w:rPr>
                <w:sz w:val="28"/>
              </w:rPr>
              <w:t>23</w:t>
            </w:r>
          </w:p>
          <w:p>
            <w:pPr>
              <w:pStyle w:val="TableParagraph"/>
              <w:spacing w:before="5"/>
              <w:rPr>
                <w:sz w:val="31"/>
              </w:rPr>
            </w:pPr>
          </w:p>
          <w:p>
            <w:pPr>
              <w:pStyle w:val="TableParagraph"/>
              <w:ind w:left="301" w:right="304"/>
              <w:jc w:val="center"/>
              <w:rPr>
                <w:sz w:val="28"/>
              </w:rPr>
            </w:pPr>
            <w:r>
              <w:rPr>
                <w:sz w:val="28"/>
              </w:rPr>
              <w:t>(30,6)</w:t>
            </w:r>
          </w:p>
        </w:tc>
        <w:tc>
          <w:tcPr>
            <w:tcW w:w="1419" w:type="dxa"/>
          </w:tcPr>
          <w:p>
            <w:pPr>
              <w:pStyle w:val="TableParagraph"/>
              <w:spacing w:line="315" w:lineRule="exact"/>
              <w:ind w:left="345" w:right="344"/>
              <w:jc w:val="center"/>
              <w:rPr>
                <w:sz w:val="28"/>
              </w:rPr>
            </w:pPr>
            <w:r>
              <w:rPr>
                <w:sz w:val="28"/>
              </w:rPr>
              <w:t>24</w:t>
            </w:r>
          </w:p>
          <w:p>
            <w:pPr>
              <w:pStyle w:val="TableParagraph"/>
              <w:spacing w:before="5"/>
              <w:rPr>
                <w:sz w:val="31"/>
              </w:rPr>
            </w:pPr>
          </w:p>
          <w:p>
            <w:pPr>
              <w:pStyle w:val="TableParagraph"/>
              <w:ind w:left="590"/>
              <w:rPr>
                <w:sz w:val="28"/>
              </w:rPr>
            </w:pPr>
            <w:r>
              <w:rPr>
                <w:sz w:val="28"/>
              </w:rPr>
              <w:t>(32,0)</w:t>
            </w:r>
          </w:p>
        </w:tc>
        <w:tc>
          <w:tcPr>
            <w:tcW w:w="1274" w:type="dxa"/>
          </w:tcPr>
          <w:p>
            <w:pPr>
              <w:pStyle w:val="TableParagraph"/>
              <w:spacing w:line="315" w:lineRule="exact"/>
              <w:ind w:right="1"/>
              <w:jc w:val="center"/>
              <w:rPr>
                <w:sz w:val="28"/>
              </w:rPr>
            </w:pPr>
            <w:r>
              <w:rPr>
                <w:w w:val="100"/>
                <w:sz w:val="28"/>
              </w:rPr>
              <w:t>2</w:t>
            </w:r>
          </w:p>
          <w:p>
            <w:pPr>
              <w:pStyle w:val="TableParagraph"/>
              <w:spacing w:before="5"/>
              <w:rPr>
                <w:sz w:val="31"/>
              </w:rPr>
            </w:pPr>
          </w:p>
          <w:p>
            <w:pPr>
              <w:pStyle w:val="TableParagraph"/>
              <w:ind w:left="224" w:right="224"/>
              <w:jc w:val="center"/>
              <w:rPr>
                <w:sz w:val="28"/>
              </w:rPr>
            </w:pPr>
            <w:r>
              <w:rPr>
                <w:sz w:val="28"/>
              </w:rPr>
              <w:t>(2,7)</w:t>
            </w:r>
          </w:p>
        </w:tc>
      </w:tr>
      <w:tr>
        <w:trPr>
          <w:trHeight w:val="1375" w:hRule="exact"/>
        </w:trPr>
        <w:tc>
          <w:tcPr>
            <w:tcW w:w="1843" w:type="dxa"/>
          </w:tcPr>
          <w:p>
            <w:pPr>
              <w:pStyle w:val="TableParagraph"/>
              <w:spacing w:line="360" w:lineRule="auto"/>
              <w:ind w:left="103" w:right="124"/>
              <w:rPr>
                <w:sz w:val="28"/>
              </w:rPr>
            </w:pPr>
            <w:r>
              <w:rPr>
                <w:sz w:val="28"/>
              </w:rPr>
              <w:t>Лапаротомия (n=86)</w:t>
            </w:r>
          </w:p>
        </w:tc>
        <w:tc>
          <w:tcPr>
            <w:tcW w:w="1532" w:type="dxa"/>
          </w:tcPr>
          <w:p>
            <w:pPr>
              <w:pStyle w:val="TableParagraph"/>
              <w:spacing w:line="315" w:lineRule="exact"/>
              <w:ind w:left="402" w:right="402"/>
              <w:jc w:val="center"/>
              <w:rPr>
                <w:sz w:val="28"/>
              </w:rPr>
            </w:pPr>
            <w:r>
              <w:rPr>
                <w:sz w:val="28"/>
              </w:rPr>
              <w:t>26</w:t>
            </w:r>
          </w:p>
          <w:p>
            <w:pPr>
              <w:pStyle w:val="TableParagraph"/>
              <w:spacing w:before="3"/>
              <w:rPr>
                <w:sz w:val="31"/>
              </w:rPr>
            </w:pPr>
          </w:p>
          <w:p>
            <w:pPr>
              <w:pStyle w:val="TableParagraph"/>
              <w:ind w:left="403" w:right="402"/>
              <w:jc w:val="center"/>
              <w:rPr>
                <w:sz w:val="28"/>
              </w:rPr>
            </w:pPr>
            <w:r>
              <w:rPr>
                <w:sz w:val="28"/>
              </w:rPr>
              <w:t>(30,2)</w:t>
            </w:r>
          </w:p>
        </w:tc>
        <w:tc>
          <w:tcPr>
            <w:tcW w:w="1532" w:type="dxa"/>
          </w:tcPr>
          <w:p>
            <w:pPr>
              <w:pStyle w:val="TableParagraph"/>
              <w:spacing w:line="315" w:lineRule="exact"/>
              <w:ind w:left="402" w:right="402"/>
              <w:jc w:val="center"/>
              <w:rPr>
                <w:sz w:val="28"/>
              </w:rPr>
            </w:pPr>
            <w:r>
              <w:rPr>
                <w:sz w:val="28"/>
              </w:rPr>
              <w:t>34</w:t>
            </w:r>
          </w:p>
          <w:p>
            <w:pPr>
              <w:pStyle w:val="TableParagraph"/>
              <w:spacing w:before="3"/>
              <w:rPr>
                <w:sz w:val="31"/>
              </w:rPr>
            </w:pPr>
          </w:p>
          <w:p>
            <w:pPr>
              <w:pStyle w:val="TableParagraph"/>
              <w:ind w:left="402" w:right="402"/>
              <w:jc w:val="center"/>
              <w:rPr>
                <w:sz w:val="28"/>
              </w:rPr>
            </w:pPr>
            <w:r>
              <w:rPr>
                <w:sz w:val="28"/>
              </w:rPr>
              <w:t>(39,5)</w:t>
            </w:r>
          </w:p>
        </w:tc>
        <w:tc>
          <w:tcPr>
            <w:tcW w:w="1332" w:type="dxa"/>
          </w:tcPr>
          <w:p>
            <w:pPr>
              <w:pStyle w:val="TableParagraph"/>
              <w:spacing w:line="315" w:lineRule="exact"/>
              <w:ind w:left="301" w:right="301"/>
              <w:jc w:val="center"/>
              <w:rPr>
                <w:sz w:val="28"/>
              </w:rPr>
            </w:pPr>
            <w:r>
              <w:rPr>
                <w:sz w:val="28"/>
              </w:rPr>
              <w:t>22</w:t>
            </w:r>
          </w:p>
          <w:p>
            <w:pPr>
              <w:pStyle w:val="TableParagraph"/>
              <w:spacing w:before="3"/>
              <w:rPr>
                <w:sz w:val="31"/>
              </w:rPr>
            </w:pPr>
          </w:p>
          <w:p>
            <w:pPr>
              <w:pStyle w:val="TableParagraph"/>
              <w:ind w:left="301" w:right="304"/>
              <w:jc w:val="center"/>
              <w:rPr>
                <w:sz w:val="28"/>
              </w:rPr>
            </w:pPr>
            <w:r>
              <w:rPr>
                <w:sz w:val="28"/>
              </w:rPr>
              <w:t>(25,6)</w:t>
            </w:r>
          </w:p>
        </w:tc>
        <w:tc>
          <w:tcPr>
            <w:tcW w:w="1419" w:type="dxa"/>
          </w:tcPr>
          <w:p>
            <w:pPr>
              <w:pStyle w:val="TableParagraph"/>
              <w:spacing w:line="315" w:lineRule="exact"/>
              <w:ind w:right="1"/>
              <w:jc w:val="center"/>
              <w:rPr>
                <w:sz w:val="28"/>
              </w:rPr>
            </w:pPr>
            <w:r>
              <w:rPr>
                <w:w w:val="100"/>
                <w:sz w:val="28"/>
              </w:rPr>
              <w:t>4</w:t>
            </w:r>
          </w:p>
          <w:p>
            <w:pPr>
              <w:pStyle w:val="TableParagraph"/>
              <w:spacing w:before="3"/>
              <w:rPr>
                <w:sz w:val="31"/>
              </w:rPr>
            </w:pPr>
          </w:p>
          <w:p>
            <w:pPr>
              <w:pStyle w:val="TableParagraph"/>
              <w:ind w:left="345" w:right="346"/>
              <w:jc w:val="center"/>
              <w:rPr>
                <w:sz w:val="28"/>
              </w:rPr>
            </w:pPr>
            <w:r>
              <w:rPr>
                <w:sz w:val="28"/>
              </w:rPr>
              <w:t>(4,7)</w:t>
            </w:r>
          </w:p>
        </w:tc>
        <w:tc>
          <w:tcPr>
            <w:tcW w:w="1274" w:type="dxa"/>
          </w:tcPr>
          <w:p>
            <w:pPr>
              <w:pStyle w:val="TableParagraph"/>
              <w:rPr>
                <w:sz w:val="29"/>
              </w:rPr>
            </w:pPr>
          </w:p>
          <w:p>
            <w:pPr>
              <w:pStyle w:val="TableParagraph"/>
              <w:ind w:left="67"/>
              <w:jc w:val="center"/>
              <w:rPr>
                <w:sz w:val="28"/>
              </w:rPr>
            </w:pPr>
            <w:r>
              <w:rPr>
                <w:w w:val="100"/>
                <w:sz w:val="28"/>
              </w:rPr>
              <w:t>-</w:t>
            </w:r>
          </w:p>
        </w:tc>
      </w:tr>
      <w:tr>
        <w:trPr>
          <w:trHeight w:val="1376" w:hRule="exact"/>
        </w:trPr>
        <w:tc>
          <w:tcPr>
            <w:tcW w:w="1843" w:type="dxa"/>
          </w:tcPr>
          <w:p>
            <w:pPr>
              <w:pStyle w:val="TableParagraph"/>
              <w:spacing w:line="511" w:lineRule="auto"/>
              <w:ind w:left="103" w:right="806"/>
              <w:rPr>
                <w:sz w:val="28"/>
              </w:rPr>
            </w:pPr>
            <w:r>
              <w:rPr>
                <w:sz w:val="28"/>
              </w:rPr>
              <w:t>Всего (n=161)</w:t>
            </w:r>
          </w:p>
        </w:tc>
        <w:tc>
          <w:tcPr>
            <w:tcW w:w="1532" w:type="dxa"/>
          </w:tcPr>
          <w:p>
            <w:pPr>
              <w:pStyle w:val="TableParagraph"/>
              <w:spacing w:line="315" w:lineRule="exact"/>
              <w:ind w:left="402" w:right="402"/>
              <w:jc w:val="center"/>
              <w:rPr>
                <w:sz w:val="28"/>
              </w:rPr>
            </w:pPr>
            <w:r>
              <w:rPr>
                <w:sz w:val="28"/>
              </w:rPr>
              <w:t>35</w:t>
            </w:r>
          </w:p>
          <w:p>
            <w:pPr>
              <w:pStyle w:val="TableParagraph"/>
              <w:spacing w:before="6"/>
              <w:rPr>
                <w:sz w:val="31"/>
              </w:rPr>
            </w:pPr>
          </w:p>
          <w:p>
            <w:pPr>
              <w:pStyle w:val="TableParagraph"/>
              <w:ind w:left="403" w:right="402"/>
              <w:jc w:val="center"/>
              <w:rPr>
                <w:sz w:val="28"/>
              </w:rPr>
            </w:pPr>
            <w:r>
              <w:rPr>
                <w:sz w:val="28"/>
              </w:rPr>
              <w:t>(21,7)</w:t>
            </w:r>
          </w:p>
        </w:tc>
        <w:tc>
          <w:tcPr>
            <w:tcW w:w="1532" w:type="dxa"/>
          </w:tcPr>
          <w:p>
            <w:pPr>
              <w:pStyle w:val="TableParagraph"/>
              <w:spacing w:line="315" w:lineRule="exact"/>
              <w:ind w:left="402" w:right="402"/>
              <w:jc w:val="center"/>
              <w:rPr>
                <w:sz w:val="28"/>
              </w:rPr>
            </w:pPr>
            <w:r>
              <w:rPr>
                <w:sz w:val="28"/>
              </w:rPr>
              <w:t>51</w:t>
            </w:r>
          </w:p>
          <w:p>
            <w:pPr>
              <w:pStyle w:val="TableParagraph"/>
              <w:spacing w:before="6"/>
              <w:rPr>
                <w:sz w:val="31"/>
              </w:rPr>
            </w:pPr>
          </w:p>
          <w:p>
            <w:pPr>
              <w:pStyle w:val="TableParagraph"/>
              <w:ind w:left="402" w:right="402"/>
              <w:jc w:val="center"/>
              <w:rPr>
                <w:sz w:val="28"/>
              </w:rPr>
            </w:pPr>
            <w:r>
              <w:rPr>
                <w:sz w:val="28"/>
              </w:rPr>
              <w:t>(31,7)</w:t>
            </w:r>
          </w:p>
        </w:tc>
        <w:tc>
          <w:tcPr>
            <w:tcW w:w="1332" w:type="dxa"/>
          </w:tcPr>
          <w:p>
            <w:pPr>
              <w:pStyle w:val="TableParagraph"/>
              <w:spacing w:line="315" w:lineRule="exact"/>
              <w:ind w:left="301" w:right="301"/>
              <w:jc w:val="center"/>
              <w:rPr>
                <w:sz w:val="28"/>
              </w:rPr>
            </w:pPr>
            <w:r>
              <w:rPr>
                <w:sz w:val="28"/>
              </w:rPr>
              <w:t>45</w:t>
            </w:r>
          </w:p>
          <w:p>
            <w:pPr>
              <w:pStyle w:val="TableParagraph"/>
              <w:spacing w:before="6"/>
              <w:rPr>
                <w:sz w:val="31"/>
              </w:rPr>
            </w:pPr>
          </w:p>
          <w:p>
            <w:pPr>
              <w:pStyle w:val="TableParagraph"/>
              <w:ind w:left="301" w:right="304"/>
              <w:jc w:val="center"/>
              <w:rPr>
                <w:sz w:val="28"/>
              </w:rPr>
            </w:pPr>
            <w:r>
              <w:rPr>
                <w:sz w:val="28"/>
              </w:rPr>
              <w:t>(28,0)</w:t>
            </w:r>
          </w:p>
        </w:tc>
        <w:tc>
          <w:tcPr>
            <w:tcW w:w="1419" w:type="dxa"/>
          </w:tcPr>
          <w:p>
            <w:pPr>
              <w:pStyle w:val="TableParagraph"/>
              <w:spacing w:line="315" w:lineRule="exact"/>
              <w:ind w:left="345" w:right="344"/>
              <w:jc w:val="center"/>
              <w:rPr>
                <w:sz w:val="28"/>
              </w:rPr>
            </w:pPr>
            <w:r>
              <w:rPr>
                <w:sz w:val="28"/>
              </w:rPr>
              <w:t>28</w:t>
            </w:r>
          </w:p>
          <w:p>
            <w:pPr>
              <w:pStyle w:val="TableParagraph"/>
              <w:spacing w:before="6"/>
              <w:rPr>
                <w:sz w:val="31"/>
              </w:rPr>
            </w:pPr>
          </w:p>
          <w:p>
            <w:pPr>
              <w:pStyle w:val="TableParagraph"/>
              <w:ind w:left="345" w:right="346"/>
              <w:jc w:val="center"/>
              <w:rPr>
                <w:sz w:val="28"/>
              </w:rPr>
            </w:pPr>
            <w:r>
              <w:rPr>
                <w:sz w:val="28"/>
              </w:rPr>
              <w:t>(17,4)</w:t>
            </w:r>
          </w:p>
        </w:tc>
        <w:tc>
          <w:tcPr>
            <w:tcW w:w="1274" w:type="dxa"/>
          </w:tcPr>
          <w:p>
            <w:pPr>
              <w:pStyle w:val="TableParagraph"/>
              <w:spacing w:line="315" w:lineRule="exact"/>
              <w:ind w:right="1"/>
              <w:jc w:val="center"/>
              <w:rPr>
                <w:sz w:val="28"/>
              </w:rPr>
            </w:pPr>
            <w:r>
              <w:rPr>
                <w:w w:val="100"/>
                <w:sz w:val="28"/>
              </w:rPr>
              <w:t>2</w:t>
            </w:r>
          </w:p>
          <w:p>
            <w:pPr>
              <w:pStyle w:val="TableParagraph"/>
              <w:spacing w:before="6"/>
              <w:rPr>
                <w:sz w:val="31"/>
              </w:rPr>
            </w:pPr>
          </w:p>
          <w:p>
            <w:pPr>
              <w:pStyle w:val="TableParagraph"/>
              <w:ind w:left="224" w:right="224"/>
              <w:jc w:val="center"/>
              <w:rPr>
                <w:sz w:val="28"/>
              </w:rPr>
            </w:pPr>
            <w:r>
              <w:rPr>
                <w:sz w:val="28"/>
              </w:rPr>
              <w:t>(1,2)</w:t>
            </w:r>
          </w:p>
        </w:tc>
      </w:tr>
    </w:tbl>
    <w:p>
      <w:pPr>
        <w:pStyle w:val="BodyText"/>
        <w:rPr>
          <w:sz w:val="30"/>
        </w:rPr>
      </w:pPr>
    </w:p>
    <w:p>
      <w:pPr>
        <w:pStyle w:val="BodyText"/>
        <w:rPr>
          <w:sz w:val="30"/>
        </w:rPr>
      </w:pPr>
    </w:p>
    <w:p>
      <w:pPr>
        <w:pStyle w:val="BodyText"/>
        <w:tabs>
          <w:tab w:pos="6540" w:val="left" w:leader="none"/>
        </w:tabs>
        <w:spacing w:line="360" w:lineRule="auto" w:before="265"/>
        <w:ind w:left="122" w:right="989" w:firstLine="707"/>
      </w:pPr>
      <w:r>
        <w:rPr/>
        <w:t>Другая соматическая патология приблизительно с одинаковой чаcтотой встретилась в oбеих</w:t>
      </w:r>
      <w:r>
        <w:rPr>
          <w:spacing w:val="-8"/>
        </w:rPr>
        <w:t> </w:t>
      </w:r>
      <w:r>
        <w:rPr/>
        <w:t>исследyемых</w:t>
      </w:r>
      <w:r>
        <w:rPr>
          <w:spacing w:val="-1"/>
        </w:rPr>
        <w:t> </w:t>
      </w:r>
      <w:r>
        <w:rPr/>
        <w:t>грyппах</w:t>
        <w:tab/>
        <w:t>(Рис.</w:t>
      </w:r>
      <w:r>
        <w:rPr>
          <w:spacing w:val="1"/>
        </w:rPr>
        <w:t> </w:t>
      </w:r>
      <w:r>
        <w:rPr/>
        <w:t>4.13).</w:t>
      </w:r>
    </w:p>
    <w:p>
      <w:pPr>
        <w:spacing w:after="0" w:line="360" w:lineRule="auto"/>
        <w:sectPr>
          <w:pgSz w:w="11900" w:h="16850"/>
          <w:pgMar w:header="712" w:footer="0" w:top="1020" w:bottom="280" w:left="1580" w:right="1020"/>
        </w:sectPr>
      </w:pPr>
    </w:p>
    <w:p>
      <w:pPr>
        <w:pStyle w:val="BodyText"/>
        <w:rPr>
          <w:sz w:val="20"/>
        </w:rPr>
      </w:pPr>
    </w:p>
    <w:p>
      <w:pPr>
        <w:pStyle w:val="BodyText"/>
        <w:spacing w:before="10"/>
        <w:rPr>
          <w:sz w:val="21"/>
        </w:rPr>
      </w:pPr>
    </w:p>
    <w:p>
      <w:pPr>
        <w:pStyle w:val="BodyText"/>
        <w:spacing w:before="89"/>
        <w:ind w:left="7638"/>
      </w:pPr>
      <w:r>
        <w:rPr/>
        <w:t>Рисунок 4.13</w:t>
      </w:r>
    </w:p>
    <w:p>
      <w:pPr>
        <w:pStyle w:val="BodyText"/>
        <w:rPr>
          <w:sz w:val="30"/>
        </w:rPr>
      </w:pPr>
    </w:p>
    <w:p>
      <w:pPr>
        <w:pStyle w:val="BodyText"/>
        <w:spacing w:before="1"/>
        <w:rPr>
          <w:sz w:val="41"/>
        </w:rPr>
      </w:pPr>
    </w:p>
    <w:p>
      <w:pPr>
        <w:pStyle w:val="BodyText"/>
        <w:ind w:left="1403"/>
      </w:pPr>
      <w:r>
        <w:rPr/>
        <w:t>Соматической патология у  больных раком шейки матки</w:t>
      </w:r>
    </w:p>
    <w:p>
      <w:pPr>
        <w:pStyle w:val="BodyText"/>
        <w:rPr>
          <w:sz w:val="20"/>
        </w:rPr>
      </w:pPr>
    </w:p>
    <w:p>
      <w:pPr>
        <w:pStyle w:val="BodyText"/>
        <w:rPr>
          <w:sz w:val="20"/>
        </w:rPr>
      </w:pPr>
    </w:p>
    <w:p>
      <w:pPr>
        <w:pStyle w:val="BodyText"/>
        <w:rPr>
          <w:sz w:val="20"/>
        </w:rPr>
      </w:pPr>
    </w:p>
    <w:p>
      <w:pPr>
        <w:pStyle w:val="BodyText"/>
        <w:spacing w:before="7"/>
        <w:rPr>
          <w:sz w:val="14"/>
        </w:rPr>
      </w:pPr>
      <w:r>
        <w:rPr/>
        <w:pict>
          <v:group style="position:absolute;margin-left:84.675003pt;margin-top:10.389492pt;width:413.45pt;height:239.3pt;mso-position-horizontal-relative:page;mso-position-vertical-relative:paragraph;z-index:5344;mso-wrap-distance-left:0;mso-wrap-distance-right:0" coordorigin="1694,208" coordsize="8269,4786">
            <v:shape style="position:absolute;left:3609;top:1461;width:5954;height:2110" type="#_x0000_t75" stroked="false">
              <v:imagedata r:id="rId131" o:title=""/>
            </v:shape>
            <v:shape style="position:absolute;left:3684;top:3703;width:345;height:361" type="#_x0000_t75" stroked="false">
              <v:imagedata r:id="rId132" o:title=""/>
            </v:shape>
            <v:shape style="position:absolute;left:4509;top:3707;width:233;height:242" type="#_x0000_t75" stroked="false">
              <v:imagedata r:id="rId133" o:title=""/>
            </v:shape>
            <v:shape style="position:absolute;left:5911;top:3743;width:272;height:226" type="#_x0000_t75" stroked="false">
              <v:imagedata r:id="rId134" o:title=""/>
            </v:shape>
            <v:shape style="position:absolute;left:6506;top:3710;width:366;height:380" type="#_x0000_t75" stroked="false">
              <v:imagedata r:id="rId135" o:title=""/>
            </v:shape>
            <v:shape style="position:absolute;left:6857;top:3703;width:1446;height:1084" type="#_x0000_t75" stroked="false">
              <v:imagedata r:id="rId136" o:title=""/>
            </v:shape>
            <v:shape style="position:absolute;left:8472;top:3701;width:556;height:550" coordorigin="8472,3701" coordsize="556,550" path="m8519,4153l8492,4153,8496,4155,8567,4227,8570,4231,8571,4233,8572,4239,8570,4241,8563,4249,8565,4251,8597,4219,8585,4219,8547,4181,8548,4179,8549,4177,8551,4175,8541,4175,8519,4153xm8630,4151l8590,4151,8595,4153,8601,4153,8605,4155,8614,4165,8617,4171,8616,4189,8611,4197,8603,4205,8598,4209,8592,4215,8585,4219,8597,4219,8609,4207,8620,4197,8627,4189,8630,4181,8633,4175,8634,4167,8633,4161,8631,4153,8630,4151xm8581,4109l8549,4109,8556,4113,8565,4121,8567,4125,8570,4135,8569,4139,8567,4145,8566,4149,8561,4155,8552,4165,8547,4169,8543,4173,8541,4175,8551,4175,8556,4171,8565,4161,8578,4153,8584,4151,8630,4151,8628,4147,8624,4143,8622,4141,8580,4141,8584,4135,8586,4127,8585,4121,8584,4115,8581,4109xm8564,4095l8549,4095,8541,4097,8532,4101,8526,4105,8520,4111,8472,4159,8474,4161,8478,4157,8485,4153,8519,4153,8505,4139,8507,4133,8511,4129,8524,4115,8533,4111,8541,4111,8549,4109,8581,4109,8571,4099,8564,4095xm8613,4057l8587,4057,8591,4061,8662,4133,8665,4137,8667,4143,8665,4147,8661,4151,8658,4155,8660,4157,8694,4123,8680,4123,8676,4119,8670,4113,8643,4087,8647,4085,8648,4083,8639,4083,8613,4057xm8610,4133l8595,4133,8588,4137,8580,4141,8622,4141,8618,4137,8610,4133xm8698,4115l8691,4121,8687,4123,8694,4123,8700,4117,8698,4115xm8671,4025l8631,4025,8641,4029,8645,4031,8650,4035,8655,4041,8658,4047,8659,4061,8657,4069,8652,4073,8651,4075,8649,4075,8647,4077,8645,4079,8642,4081,8639,4083,8648,4083,8650,4081,8653,4079,8658,4075,8670,4063,8675,4055,8675,4045,8675,4035,8671,4025xm8694,3977l8660,3977,8667,3979,8671,3981,8742,4053,8745,4057,8746,4059,8746,4063,8745,4067,8737,4075,8740,4077,8774,4043,8760,4043,8722,4005,8723,4005,8724,4003,8727,3999,8715,3999,8694,3977xm8652,4009l8630,4009,8623,4013,8617,4015,8610,4021,8567,4063,8570,4067,8573,4063,8577,4059,8580,4057,8613,4057,8600,4045,8603,4039,8606,4035,8612,4029,8616,4027,8621,4025,8671,4025,8658,4013,8652,4009xm8804,3975l8765,3975,8776,3979,8780,3981,8789,3991,8792,3997,8790,4013,8786,4021,8778,4029,8772,4035,8767,4039,8760,4043,8774,4043,8784,4033,8795,4023,8801,4013,8805,4007,8808,3999,8809,3993,8807,3985,8806,3979,8804,3975xm8757,3935l8724,3935,8731,3937,8740,3947,8742,3951,8745,3961,8744,3965,8742,3969,8740,3975,8736,3981,8727,3989,8722,3995,8717,3997,8715,3999,8727,3999,8730,3995,8740,3985,8746,3981,8759,3977,8765,3975,8804,3975,8803,3973,8798,3967,8755,3967,8759,3959,8760,3953,8760,3945,8759,3939,8757,3935xm8723,3919l8715,3921,8707,3927,8701,3931,8695,3935,8647,3983,8649,3987,8656,3979,8660,3977,8694,3977,8680,3963,8682,3959,8686,3955,8699,3941,8707,3937,8716,3935,8757,3935,8756,3933,8746,3923,8739,3921,8731,3921,8723,3919xm8789,3883l8761,3883,8764,3885,8767,3887,8838,3957,8841,3961,8841,3965,8841,3969,8840,3973,8836,3977,8833,3979,8835,3981,8867,3949,8857,3949,8855,3947,8853,3947,8850,3943,8817,3911,8823,3905,8812,3905,8789,3883xm8785,3959l8770,3959,8763,3961,8755,3967,8798,3967,8792,3961,8785,3959xm8873,3939l8869,3943,8867,3945,8864,3947,8861,3947,8859,3949,8867,3949,8875,3941,8873,3939xm8887,3867l8860,3867,8894,3901,8897,3905,8897,3909,8898,3911,8896,3915,8892,3919,8889,3923,8892,3925,8926,3891,8912,3891,8910,3889,8906,3887,8887,3867xm8847,3827l8820,3827,8824,3831,8828,3835,8855,3863,8812,3905,8823,3905,8860,3867,8887,3867,8847,3827xm8782,3849l8742,3889,8744,3891,8750,3885,8753,3885,8756,3883,8789,3883,8780,3875,8778,3871,8777,3869,8776,3867,8776,3865,8776,3863,8777,3859,8779,3857,8781,3855,8784,3851,8782,3849xm8929,3883l8923,3889,8921,3889,8918,3891,8926,3891,8932,3885,8929,3883xm8891,3781l8863,3781,8868,3785,8940,3855,8943,3861,8943,3867,8940,3871,8935,3877,8937,3879,8971,3845,8958,3845,8953,3843,8919,3809,8923,3805,8926,3803,8913,3803,8891,3781xm8975,3837l8969,3843,8964,3845,8971,3845,8977,3839,8975,3837xm8838,3793l8798,3833,8801,3835,8804,3831,8806,3829,8809,3827,8847,3827,8837,3817,8834,3815,8832,3811,8832,3809,8833,3805,8834,3803,8835,3801,8838,3799,8841,3795,8838,3793xm9016,3801l8932,3801,8944,3803,8964,3805,8978,3809,8989,3811,8998,3811,9004,3813,9016,3801xm8932,3701l8926,3703,8915,3713,8912,3717,8910,3727,8909,3731,8911,3737,8913,3743,8920,3759,8923,3765,8924,3769,8925,3771,8925,3773,8925,3781,8925,3785,8924,3789,8923,3791,8922,3795,8918,3799,8913,3803,8926,3803,8932,3801,9016,3801,9022,3795,8999,3795,8990,3793,8979,3791,8966,3789,8931,3789,8933,3781,8933,3773,8930,3761,8926,3751,8922,3741,8919,3735,8919,3733,8918,3731,8919,3729,8921,3727,8924,3725,8928,3723,8932,3723,8935,3721,8938,3717,8939,3715,8940,3711,8939,3709,8937,3707,8932,3701xm9025,3787l9020,3791,9013,3795,9022,3795,9028,3789,9025,3787xm8884,3747l8844,3787,8846,3789,8852,3783,8857,3781,8891,3781,8881,3771,8878,3767,8878,3761,8878,3759,8881,3755,8887,3749,8884,3747xm8948,3785l8936,3785,8931,3789,8966,3789,8948,3785xe" filled="true" fillcolor="#000000" stroked="false">
              <v:path arrowok="t"/>
              <v:fill type="solid"/>
            </v:shape>
            <v:rect style="position:absolute;left:3538;top:4737;width:105;height:105" filled="false" stroked="true" strokeweight=".75pt" strokecolor="#000000">
              <v:stroke dashstyle="solid"/>
            </v:rect>
            <v:rect style="position:absolute;left:5407;top:4737;width:105;height:105" filled="true" fillcolor="#7e7e7e" stroked="false">
              <v:fill type="solid"/>
            </v:rect>
            <v:rect style="position:absolute;left:5407;top:4737;width:105;height:105" filled="false" stroked="true" strokeweight=".75pt" strokecolor="#000000">
              <v:stroke dashstyle="solid"/>
            </v:rect>
            <v:rect style="position:absolute;left:1701;top:215;width:8254;height:4771" filled="false" stroked="true" strokeweight=".75pt" strokecolor="#858585">
              <v:stroke dashstyle="solid"/>
            </v:rect>
            <v:shape style="position:absolute;left:5142;top:3670;width:520;height:520" coordorigin="5142,3670" coordsize="520,520" path="m5282,4078l5179,4078,5242,4090,5249,4146,5250,4154,5250,4160,5249,4170,5247,4176,5246,4180,5244,4182,5243,4186,5240,4188,5243,4190,5276,4158,5263,4158,5260,4154,5259,4154,5259,4152,5258,4148,5257,4142,5251,4092,5343,4092,5349,4086,5319,4086,5304,4082,5282,4078xm5277,4152l5273,4156,5270,4158,5276,4158,5280,4154,5277,4152xm5343,4092l5251,4092,5295,4102,5301,4102,5305,4104,5308,4104,5309,4106,5311,4108,5312,4110,5312,4114,5312,4116,5311,4118,5309,4120,5306,4124,5309,4126,5343,4092xm5190,4038l5142,4086,5145,4088,5150,4084,5156,4080,5169,4078,5282,4078,5249,4072,5249,4070,5240,4070,5194,4060,5190,4058,5188,4056,5187,4056,5186,4054,5187,4048,5189,4044,5193,4040,5190,4038xm5350,4078l5346,4084,5341,4086,5349,4086,5353,4082,5350,4078xm5242,4012l5228,4012,5230,4014,5232,4016,5233,4016,5233,4018,5234,4020,5235,4028,5240,4070,5249,4070,5243,4024,5242,4014,5242,4012xm5358,3896l5344,3898,5331,3900,5319,3908,5308,3916,5299,3926,5292,3938,5288,3950,5287,3962,5287,3966,5287,3980,5292,3994,5299,4008,5310,4020,5322,4032,5335,4040,5349,4044,5363,4046,5378,4044,5391,4042,5403,4034,5389,4034,5377,4032,5352,4024,5327,4004,5316,3992,5308,3978,5302,3966,5300,3956,5299,3942,5303,3932,5312,3922,5322,3914,5333,3908,5396,3908,5386,3902,5373,3898,5358,3896xm5396,3908l5333,3908,5357,3912,5370,3918,5382,3928,5395,3940,5406,3952,5414,3962,5419,3974,5422,3984,5423,3998,5419,4010,5409,4020,5400,4030,5389,4034,5403,4034,5414,4026,5424,4014,5430,4002,5434,3988,5435,3974,5433,3960,5429,3946,5421,3932,5411,3920,5399,3910,5396,3908xm5248,3980l5211,4016,5214,4020,5218,4016,5220,4014,5222,4014,5223,4012,5242,4012,5242,4008,5242,4004,5242,4000,5243,3996,5245,3992,5246,3988,5248,3986,5251,3984,5248,3980xm5421,3854l5388,3854,5390,3856,5393,3856,5397,3860,5467,3930,5478,3942,5478,3950,5475,3954,5468,3962,5471,3964,5507,3928,5495,3928,5450,3884,5454,3878,5444,3878,5421,3854xm5530,3860l5491,3860,5500,3864,5507,3872,5515,3878,5518,3886,5517,3896,5516,3906,5512,3914,5504,3922,5500,3924,5495,3928,5507,3928,5515,3920,5524,3910,5531,3900,5535,3892,5536,3882,5536,3870,5532,3862,5530,3860xm5494,3842l5486,3844,5471,3852,5461,3860,5444,3878,5454,3878,5457,3876,5465,3868,5473,3864,5491,3860,5530,3860,5524,3854,5518,3848,5511,3844,5494,3842xm5512,3748l5497,3748,5502,3750,5509,3758,5531,3780,5545,3794,5555,3806,5563,3818,5568,3826,5573,3836,5573,3844,5566,3850,5560,3850,5556,3852,5553,3852,5550,3856,5549,3858,5549,3864,5550,3866,5554,3870,5558,3872,5565,3872,5569,3870,5582,3856,5584,3846,5581,3832,5576,3820,5566,3806,5551,3788,5512,3748xm5442,3786l5369,3860,5372,3862,5377,3858,5380,3856,5383,3854,5421,3854,5403,3836,5429,3810,5436,3806,5447,3804,5462,3804,5442,3786xm5565,3706l5535,3706,5613,3786,5620,3792,5624,3798,5624,3804,5621,3810,5614,3816,5617,3820,5656,3780,5640,3780,5635,3778,5628,3770,5565,3706xm5462,3804l5447,3804,5454,3806,5463,3810,5466,3808,5462,3804xm5659,3772l5652,3778,5647,3780,5656,3780,5662,3774,5659,3772xm5559,3670l5475,3754,5478,3756,5485,3750,5490,3748,5512,3748,5503,3738,5535,3706,5565,3706,5563,3704,5556,3698,5552,3692,5552,3686,5555,3680,5562,3674,5559,3670xe" filled="true" fillcolor="#000000" stroked="false">
              <v:path arrowok="t"/>
              <v:fill type="solid"/>
            </v:shape>
            <v:shape style="position:absolute;left:5379;top:1269;width:419;height:234" type="#_x0000_t202" filled="false" stroked="false">
              <v:textbox inset="0,0,0,0">
                <w:txbxContent>
                  <w:p>
                    <w:pPr>
                      <w:spacing w:line="234" w:lineRule="exact" w:before="0"/>
                      <w:ind w:left="0" w:right="0" w:firstLine="0"/>
                      <w:jc w:val="left"/>
                      <w:rPr>
                        <w:rFonts w:ascii="Cambria"/>
                        <w:sz w:val="20"/>
                      </w:rPr>
                    </w:pPr>
                    <w:r>
                      <w:rPr>
                        <w:rFonts w:ascii="Cambria"/>
                        <w:sz w:val="20"/>
                      </w:rPr>
                      <w:t>29%</w:t>
                    </w:r>
                  </w:p>
                </w:txbxContent>
              </v:textbox>
              <w10:wrap type="none"/>
            </v:shape>
            <v:shape style="position:absolute;left:2644;top:2381;width:217;height:259" type="#_x0000_t202" filled="false" stroked="false">
              <v:textbox inset="0,0,0,0">
                <w:txbxContent>
                  <w:p>
                    <w:pPr>
                      <w:spacing w:before="0"/>
                      <w:ind w:left="0" w:right="0" w:firstLine="0"/>
                      <w:jc w:val="left"/>
                      <w:rPr>
                        <w:rFonts w:ascii="Cambria"/>
                        <w:sz w:val="22"/>
                      </w:rPr>
                    </w:pPr>
                    <w:r>
                      <w:rPr>
                        <w:rFonts w:ascii="Cambria"/>
                        <w:w w:val="100"/>
                        <w:sz w:val="22"/>
                      </w:rPr>
                      <w:t>%</w:t>
                    </w:r>
                  </w:p>
                </w:txbxContent>
              </v:textbox>
              <w10:wrap type="none"/>
            </v:shape>
            <v:shape style="position:absolute;left:3243;top:1537;width:241;height:2118" type="#_x0000_t202" filled="false" stroked="false">
              <v:textbox inset="0,0,0,0">
                <w:txbxContent>
                  <w:p>
                    <w:pPr>
                      <w:spacing w:line="234" w:lineRule="exact" w:before="0"/>
                      <w:ind w:left="-1" w:right="18" w:firstLine="0"/>
                      <w:jc w:val="center"/>
                      <w:rPr>
                        <w:rFonts w:ascii="Cambria"/>
                        <w:sz w:val="20"/>
                      </w:rPr>
                    </w:pPr>
                    <w:r>
                      <w:rPr>
                        <w:rFonts w:ascii="Cambria"/>
                        <w:sz w:val="20"/>
                      </w:rPr>
                      <w:t>30</w:t>
                    </w:r>
                  </w:p>
                  <w:p>
                    <w:pPr>
                      <w:spacing w:before="80"/>
                      <w:ind w:left="-1" w:right="18" w:firstLine="0"/>
                      <w:jc w:val="center"/>
                      <w:rPr>
                        <w:rFonts w:ascii="Cambria"/>
                        <w:sz w:val="20"/>
                      </w:rPr>
                    </w:pPr>
                    <w:r>
                      <w:rPr>
                        <w:rFonts w:ascii="Cambria"/>
                        <w:sz w:val="20"/>
                      </w:rPr>
                      <w:t>25</w:t>
                    </w:r>
                  </w:p>
                  <w:p>
                    <w:pPr>
                      <w:spacing w:before="79"/>
                      <w:ind w:left="-1" w:right="18" w:firstLine="0"/>
                      <w:jc w:val="center"/>
                      <w:rPr>
                        <w:rFonts w:ascii="Cambria"/>
                        <w:sz w:val="20"/>
                      </w:rPr>
                    </w:pPr>
                    <w:r>
                      <w:rPr>
                        <w:rFonts w:ascii="Cambria"/>
                        <w:sz w:val="20"/>
                      </w:rPr>
                      <w:t>20</w:t>
                    </w:r>
                  </w:p>
                  <w:p>
                    <w:pPr>
                      <w:spacing w:before="78"/>
                      <w:ind w:left="-1" w:right="18" w:firstLine="0"/>
                      <w:jc w:val="center"/>
                      <w:rPr>
                        <w:rFonts w:ascii="Cambria"/>
                        <w:sz w:val="20"/>
                      </w:rPr>
                    </w:pPr>
                    <w:r>
                      <w:rPr>
                        <w:rFonts w:ascii="Cambria"/>
                        <w:sz w:val="20"/>
                      </w:rPr>
                      <w:t>15</w:t>
                    </w:r>
                  </w:p>
                  <w:p>
                    <w:pPr>
                      <w:spacing w:before="78"/>
                      <w:ind w:left="-1" w:right="18" w:firstLine="0"/>
                      <w:jc w:val="center"/>
                      <w:rPr>
                        <w:rFonts w:ascii="Cambria"/>
                        <w:sz w:val="20"/>
                      </w:rPr>
                    </w:pPr>
                    <w:r>
                      <w:rPr>
                        <w:rFonts w:ascii="Cambria"/>
                        <w:sz w:val="20"/>
                      </w:rPr>
                      <w:t>10</w:t>
                    </w:r>
                  </w:p>
                  <w:p>
                    <w:pPr>
                      <w:spacing w:before="78"/>
                      <w:ind w:left="90" w:right="0" w:firstLine="0"/>
                      <w:jc w:val="center"/>
                      <w:rPr>
                        <w:rFonts w:ascii="Cambria"/>
                        <w:sz w:val="20"/>
                      </w:rPr>
                    </w:pPr>
                    <w:r>
                      <w:rPr>
                        <w:rFonts w:ascii="Cambria"/>
                        <w:w w:val="99"/>
                        <w:sz w:val="20"/>
                      </w:rPr>
                      <w:t>5</w:t>
                    </w:r>
                  </w:p>
                  <w:p>
                    <w:pPr>
                      <w:spacing w:before="79"/>
                      <w:ind w:left="90" w:right="0" w:firstLine="0"/>
                      <w:jc w:val="center"/>
                      <w:rPr>
                        <w:rFonts w:ascii="Cambria"/>
                        <w:sz w:val="20"/>
                      </w:rPr>
                    </w:pPr>
                    <w:r>
                      <w:rPr>
                        <w:rFonts w:ascii="Cambria"/>
                        <w:w w:val="99"/>
                        <w:sz w:val="20"/>
                      </w:rPr>
                      <w:t>0</w:t>
                    </w:r>
                  </w:p>
                </w:txbxContent>
              </v:textbox>
              <w10:wrap type="none"/>
            </v:shape>
            <v:shape style="position:absolute;left:6801;top:1855;width:419;height:234" type="#_x0000_t202" filled="false" stroked="false">
              <v:textbox inset="0,0,0,0">
                <w:txbxContent>
                  <w:p>
                    <w:pPr>
                      <w:spacing w:line="234" w:lineRule="exact" w:before="0"/>
                      <w:ind w:left="0" w:right="0" w:firstLine="0"/>
                      <w:jc w:val="left"/>
                      <w:rPr>
                        <w:rFonts w:ascii="Cambria"/>
                        <w:sz w:val="20"/>
                      </w:rPr>
                    </w:pPr>
                    <w:r>
                      <w:rPr>
                        <w:rFonts w:ascii="Cambria"/>
                        <w:sz w:val="20"/>
                      </w:rPr>
                      <w:t>21%</w:t>
                    </w:r>
                  </w:p>
                </w:txbxContent>
              </v:textbox>
              <w10:wrap type="none"/>
            </v:shape>
            <v:shape style="position:absolute;left:4260;top:2431;width:940;height:287" type="#_x0000_t202" filled="false" stroked="false">
              <v:textbox inset="0,0,0,0">
                <w:txbxContent>
                  <w:p>
                    <w:pPr>
                      <w:spacing w:line="284" w:lineRule="exact" w:before="0"/>
                      <w:ind w:left="0" w:right="0" w:firstLine="0"/>
                      <w:jc w:val="left"/>
                      <w:rPr>
                        <w:rFonts w:ascii="Cambria"/>
                        <w:sz w:val="20"/>
                      </w:rPr>
                    </w:pPr>
                    <w:r>
                      <w:rPr>
                        <w:rFonts w:ascii="Cambria"/>
                        <w:spacing w:val="-4"/>
                        <w:sz w:val="20"/>
                      </w:rPr>
                      <w:t>11,3%</w:t>
                    </w:r>
                    <w:r>
                      <w:rPr>
                        <w:rFonts w:ascii="Cambria"/>
                        <w:spacing w:val="-4"/>
                        <w:position w:val="-4"/>
                        <w:sz w:val="20"/>
                      </w:rPr>
                      <w:t>11%</w:t>
                    </w:r>
                  </w:p>
                </w:txbxContent>
              </v:textbox>
              <w10:wrap type="none"/>
            </v:shape>
            <v:shape style="position:absolute;left:6491;top:2502;width:460;height:234" type="#_x0000_t202" filled="false" stroked="false">
              <v:textbox inset="0,0,0,0">
                <w:txbxContent>
                  <w:p>
                    <w:pPr>
                      <w:spacing w:line="234" w:lineRule="exact" w:before="0"/>
                      <w:ind w:left="0" w:right="0" w:firstLine="0"/>
                      <w:jc w:val="left"/>
                      <w:rPr>
                        <w:rFonts w:ascii="Cambria"/>
                        <w:sz w:val="20"/>
                      </w:rPr>
                    </w:pPr>
                    <w:r>
                      <w:rPr>
                        <w:rFonts w:ascii="Cambria"/>
                        <w:sz w:val="20"/>
                      </w:rPr>
                      <w:t>7,5%</w:t>
                    </w:r>
                  </w:p>
                </w:txbxContent>
              </v:textbox>
              <w10:wrap type="none"/>
            </v:shape>
            <v:shape style="position:absolute;left:7272;top:1872;width:2222;height:845" type="#_x0000_t202" filled="false" stroked="false">
              <v:textbox inset="0,0,0,0">
                <w:txbxContent>
                  <w:p>
                    <w:pPr>
                      <w:spacing w:line="202" w:lineRule="exact" w:before="0"/>
                      <w:ind w:left="0" w:right="330" w:firstLine="0"/>
                      <w:jc w:val="center"/>
                      <w:rPr>
                        <w:rFonts w:ascii="Cambria"/>
                        <w:sz w:val="20"/>
                      </w:rPr>
                    </w:pPr>
                    <w:r>
                      <w:rPr>
                        <w:rFonts w:ascii="Cambria"/>
                        <w:sz w:val="20"/>
                      </w:rPr>
                      <w:t>19,4%</w:t>
                    </w:r>
                  </w:p>
                  <w:p>
                    <w:pPr>
                      <w:tabs>
                        <w:tab w:pos="824" w:val="left" w:leader="none"/>
                      </w:tabs>
                      <w:spacing w:line="333" w:lineRule="exact" w:before="0"/>
                      <w:ind w:left="0" w:right="518" w:firstLine="0"/>
                      <w:jc w:val="center"/>
                      <w:rPr>
                        <w:rFonts w:ascii="Cambria"/>
                        <w:sz w:val="20"/>
                      </w:rPr>
                    </w:pPr>
                    <w:r>
                      <w:rPr>
                        <w:rFonts w:ascii="Cambria"/>
                        <w:position w:val="-12"/>
                        <w:sz w:val="20"/>
                      </w:rPr>
                      <w:t>16%</w:t>
                      <w:tab/>
                    </w:r>
                    <w:r>
                      <w:rPr>
                        <w:rFonts w:ascii="Cambria"/>
                        <w:sz w:val="20"/>
                      </w:rPr>
                      <w:t>18%</w:t>
                    </w:r>
                  </w:p>
                  <w:p>
                    <w:pPr>
                      <w:tabs>
                        <w:tab w:pos="1435" w:val="left" w:leader="none"/>
                      </w:tabs>
                      <w:spacing w:before="75"/>
                      <w:ind w:left="0" w:right="0" w:firstLine="0"/>
                      <w:jc w:val="left"/>
                      <w:rPr>
                        <w:rFonts w:ascii="Cambria"/>
                        <w:sz w:val="20"/>
                      </w:rPr>
                    </w:pPr>
                    <w:r>
                      <w:rPr>
                        <w:rFonts w:ascii="Cambria"/>
                        <w:sz w:val="20"/>
                      </w:rPr>
                      <w:t>9,4%</w:t>
                      <w:tab/>
                    </w:r>
                    <w:r>
                      <w:rPr>
                        <w:rFonts w:ascii="Cambria"/>
                        <w:spacing w:val="-11"/>
                        <w:sz w:val="20"/>
                      </w:rPr>
                      <w:t>9,4%11%</w:t>
                    </w:r>
                  </w:p>
                </w:txbxContent>
              </v:textbox>
              <w10:wrap type="none"/>
            </v:shape>
            <v:shape style="position:absolute;left:3732;top:2835;width:730;height:272" type="#_x0000_t202" filled="false" stroked="false">
              <v:textbox inset="0,0,0,0">
                <w:txbxContent>
                  <w:p>
                    <w:pPr>
                      <w:spacing w:line="272" w:lineRule="exact" w:before="0"/>
                      <w:ind w:left="0" w:right="0" w:firstLine="0"/>
                      <w:jc w:val="left"/>
                      <w:rPr>
                        <w:rFonts w:ascii="Cambria"/>
                        <w:sz w:val="20"/>
                      </w:rPr>
                    </w:pPr>
                    <w:r>
                      <w:rPr>
                        <w:rFonts w:ascii="Cambria"/>
                        <w:sz w:val="20"/>
                      </w:rPr>
                      <w:t>3,8%</w:t>
                    </w:r>
                    <w:r>
                      <w:rPr>
                        <w:rFonts w:ascii="Cambria"/>
                        <w:position w:val="-3"/>
                        <w:sz w:val="20"/>
                      </w:rPr>
                      <w:t>4%</w:t>
                    </w:r>
                  </w:p>
                </w:txbxContent>
              </v:textbox>
              <w10:wrap type="none"/>
            </v:shape>
            <v:shape style="position:absolute;left:5097;top:2687;width:460;height:234" type="#_x0000_t202" filled="false" stroked="false">
              <v:textbox inset="0,0,0,0">
                <w:txbxContent>
                  <w:p>
                    <w:pPr>
                      <w:spacing w:line="234" w:lineRule="exact" w:before="0"/>
                      <w:ind w:left="0" w:right="0" w:firstLine="0"/>
                      <w:jc w:val="left"/>
                      <w:rPr>
                        <w:rFonts w:ascii="Cambria"/>
                        <w:sz w:val="20"/>
                      </w:rPr>
                    </w:pPr>
                    <w:r>
                      <w:rPr>
                        <w:rFonts w:ascii="Cambria"/>
                        <w:sz w:val="20"/>
                      </w:rPr>
                      <w:t>7,5%</w:t>
                    </w:r>
                  </w:p>
                </w:txbxContent>
              </v:textbox>
              <w10:wrap type="none"/>
            </v:shape>
            <v:shape style="position:absolute;left:5865;top:2703;width:460;height:234" type="#_x0000_t202" filled="false" stroked="false">
              <v:textbox inset="0,0,0,0">
                <w:txbxContent>
                  <w:p>
                    <w:pPr>
                      <w:spacing w:line="234" w:lineRule="exact" w:before="0"/>
                      <w:ind w:left="0" w:right="0" w:firstLine="0"/>
                      <w:jc w:val="left"/>
                      <w:rPr>
                        <w:rFonts w:ascii="Cambria"/>
                        <w:sz w:val="20"/>
                      </w:rPr>
                    </w:pPr>
                    <w:r>
                      <w:rPr>
                        <w:rFonts w:ascii="Cambria"/>
                        <w:sz w:val="20"/>
                      </w:rPr>
                      <w:t>7,5%</w:t>
                    </w:r>
                  </w:p>
                </w:txbxContent>
              </v:textbox>
              <w10:wrap type="none"/>
            </v:shape>
            <v:shape style="position:absolute;left:6273;top:2856;width:308;height:234" type="#_x0000_t202" filled="false" stroked="false">
              <v:textbox inset="0,0,0,0">
                <w:txbxContent>
                  <w:p>
                    <w:pPr>
                      <w:spacing w:line="234" w:lineRule="exact" w:before="0"/>
                      <w:ind w:left="0" w:right="0" w:firstLine="0"/>
                      <w:jc w:val="left"/>
                      <w:rPr>
                        <w:rFonts w:ascii="Cambria"/>
                        <w:sz w:val="20"/>
                      </w:rPr>
                    </w:pPr>
                    <w:r>
                      <w:rPr>
                        <w:rFonts w:ascii="Cambria"/>
                        <w:sz w:val="20"/>
                      </w:rPr>
                      <w:t>4%</w:t>
                    </w:r>
                  </w:p>
                </w:txbxContent>
              </v:textbox>
              <w10:wrap type="none"/>
            </v:shape>
            <v:shape style="position:absolute;left:3689;top:4666;width:1295;height:234" type="#_x0000_t202" filled="false" stroked="false">
              <v:textbox inset="0,0,0,0">
                <w:txbxContent>
                  <w:p>
                    <w:pPr>
                      <w:spacing w:line="234" w:lineRule="exact" w:before="0"/>
                      <w:ind w:left="0" w:right="0" w:firstLine="0"/>
                      <w:jc w:val="left"/>
                      <w:rPr>
                        <w:rFonts w:ascii="Cambria" w:hAnsi="Cambria"/>
                        <w:sz w:val="20"/>
                      </w:rPr>
                    </w:pPr>
                    <w:r>
                      <w:rPr>
                        <w:rFonts w:ascii="Cambria" w:hAnsi="Cambria"/>
                        <w:sz w:val="20"/>
                      </w:rPr>
                      <w:t>лапароскопия</w:t>
                    </w:r>
                  </w:p>
                </w:txbxContent>
              </v:textbox>
              <w10:wrap type="none"/>
            </v:shape>
            <v:shape style="position:absolute;left:5559;top:4666;width:1220;height:234" type="#_x0000_t202" filled="false" stroked="false">
              <v:textbox inset="0,0,0,0">
                <w:txbxContent>
                  <w:p>
                    <w:pPr>
                      <w:spacing w:line="234" w:lineRule="exact" w:before="0"/>
                      <w:ind w:left="0" w:right="0" w:firstLine="0"/>
                      <w:jc w:val="left"/>
                      <w:rPr>
                        <w:rFonts w:ascii="Cambria" w:hAnsi="Cambria"/>
                        <w:sz w:val="20"/>
                      </w:rPr>
                    </w:pPr>
                    <w:r>
                      <w:rPr>
                        <w:rFonts w:ascii="Cambria" w:hAnsi="Cambria"/>
                        <w:sz w:val="20"/>
                      </w:rPr>
                      <w:t>лапаротомия</w:t>
                    </w:r>
                  </w:p>
                </w:txbxContent>
              </v:textbox>
              <w10:wrap type="none"/>
            </v:shape>
            <w10:wrap type="topAndBottom"/>
          </v:group>
        </w:pic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line="360" w:lineRule="auto" w:before="221"/>
        <w:ind w:left="122" w:right="101" w:firstLine="278"/>
        <w:jc w:val="both"/>
      </w:pPr>
      <w:r>
        <w:rPr/>
        <w:t>При анализе сопутствующей патологии в двух исследуемых группах больных раком шейки матки статистически значимых различий не выявлено, за исключением заболеваний дыхательной системы, которые в большинстве наблюдений случаев явились противопоказанием к лапароскопическому доступу.</w:t>
      </w:r>
    </w:p>
    <w:p>
      <w:pPr>
        <w:pStyle w:val="BodyText"/>
        <w:tabs>
          <w:tab w:pos="748" w:val="left" w:leader="none"/>
          <w:tab w:pos="1661" w:val="left" w:leader="none"/>
          <w:tab w:pos="3097" w:val="left" w:leader="none"/>
          <w:tab w:pos="3548" w:val="left" w:leader="none"/>
          <w:tab w:pos="5568" w:val="left" w:leader="none"/>
          <w:tab w:pos="7048" w:val="left" w:leader="none"/>
          <w:tab w:pos="8453" w:val="left" w:leader="none"/>
          <w:tab w:pos="8904" w:val="left" w:leader="none"/>
        </w:tabs>
        <w:spacing w:line="360" w:lineRule="auto" w:before="206"/>
        <w:ind w:left="122" w:right="103"/>
      </w:pPr>
      <w:r>
        <w:rPr/>
        <w:t>Не</w:t>
        <w:tab/>
        <w:t>было</w:t>
        <w:tab/>
        <w:t>выявлено</w:t>
        <w:tab/>
        <w:t>и</w:t>
        <w:tab/>
        <w:t>статистически</w:t>
        <w:tab/>
        <w:t>значимых</w:t>
        <w:tab/>
        <w:t>различий</w:t>
        <w:tab/>
        <w:t>и</w:t>
        <w:tab/>
        <w:t>по сопутствующей гинекологической патологии (Рис.</w:t>
      </w:r>
      <w:r>
        <w:rPr>
          <w:spacing w:val="-12"/>
        </w:rPr>
        <w:t> </w:t>
      </w:r>
      <w:r>
        <w:rPr/>
        <w:t>4.14).</w:t>
      </w:r>
    </w:p>
    <w:p>
      <w:pPr>
        <w:spacing w:after="0" w:line="360" w:lineRule="auto"/>
        <w:sectPr>
          <w:pgSz w:w="11900" w:h="16850"/>
          <w:pgMar w:header="712" w:footer="0" w:top="1020" w:bottom="280" w:left="1580" w:right="1020"/>
        </w:sectPr>
      </w:pPr>
    </w:p>
    <w:p>
      <w:pPr>
        <w:pStyle w:val="BodyText"/>
        <w:rPr>
          <w:sz w:val="20"/>
        </w:rPr>
      </w:pPr>
    </w:p>
    <w:p>
      <w:pPr>
        <w:pStyle w:val="BodyText"/>
        <w:rPr>
          <w:sz w:val="20"/>
        </w:rPr>
      </w:pPr>
    </w:p>
    <w:p>
      <w:pPr>
        <w:pStyle w:val="BodyText"/>
        <w:spacing w:before="224"/>
        <w:ind w:right="101"/>
        <w:jc w:val="right"/>
      </w:pPr>
      <w:r>
        <w:rPr/>
        <w:t>Рисунок 4.14</w:t>
      </w:r>
    </w:p>
    <w:p>
      <w:pPr>
        <w:pStyle w:val="BodyText"/>
        <w:spacing w:before="6"/>
        <w:rPr>
          <w:sz w:val="23"/>
        </w:rPr>
      </w:pPr>
    </w:p>
    <w:p>
      <w:pPr>
        <w:pStyle w:val="BodyText"/>
        <w:spacing w:before="89"/>
        <w:ind w:left="1810"/>
      </w:pPr>
      <w:r>
        <w:rPr/>
        <w:drawing>
          <wp:anchor distT="0" distB="0" distL="0" distR="0" allowOverlap="1" layoutInCell="1" locked="0" behindDoc="1" simplePos="0" relativeHeight="268098671">
            <wp:simplePos x="0" y="0"/>
            <wp:positionH relativeFrom="page">
              <wp:posOffset>5568696</wp:posOffset>
            </wp:positionH>
            <wp:positionV relativeFrom="paragraph">
              <wp:posOffset>2137921</wp:posOffset>
            </wp:positionV>
            <wp:extent cx="100583" cy="91440"/>
            <wp:effectExtent l="0" t="0" r="0" b="0"/>
            <wp:wrapNone/>
            <wp:docPr id="85" name="image122.png" descr=""/>
            <wp:cNvGraphicFramePr>
              <a:graphicFrameLocks noChangeAspect="1"/>
            </wp:cNvGraphicFramePr>
            <a:graphic>
              <a:graphicData uri="http://schemas.openxmlformats.org/drawingml/2006/picture">
                <pic:pic>
                  <pic:nvPicPr>
                    <pic:cNvPr id="86" name="image122.png"/>
                    <pic:cNvPicPr/>
                  </pic:nvPicPr>
                  <pic:blipFill>
                    <a:blip r:embed="rId137" cstate="print"/>
                    <a:stretch>
                      <a:fillRect/>
                    </a:stretch>
                  </pic:blipFill>
                  <pic:spPr>
                    <a:xfrm>
                      <a:off x="0" y="0"/>
                      <a:ext cx="100583" cy="91440"/>
                    </a:xfrm>
                    <a:prstGeom prst="rect">
                      <a:avLst/>
                    </a:prstGeom>
                  </pic:spPr>
                </pic:pic>
              </a:graphicData>
            </a:graphic>
          </wp:anchor>
        </w:drawing>
      </w:r>
      <w:r>
        <w:rPr/>
        <w:t>Сопутствующие  гинекологические заболевания</w:t>
      </w:r>
    </w:p>
    <w:p>
      <w:pPr>
        <w:pStyle w:val="BodyText"/>
        <w:rPr>
          <w:sz w:val="20"/>
        </w:rPr>
      </w:pPr>
    </w:p>
    <w:p>
      <w:pPr>
        <w:pStyle w:val="BodyText"/>
        <w:rPr>
          <w:sz w:val="20"/>
        </w:rPr>
      </w:pPr>
    </w:p>
    <w:p>
      <w:pPr>
        <w:pStyle w:val="BodyText"/>
        <w:rPr>
          <w:sz w:val="20"/>
        </w:rPr>
      </w:pPr>
    </w:p>
    <w:p>
      <w:pPr>
        <w:pStyle w:val="BodyText"/>
        <w:spacing w:before="4"/>
        <w:rPr>
          <w:sz w:val="27"/>
        </w:rPr>
      </w:pPr>
      <w:r>
        <w:rPr/>
        <w:pict>
          <v:group style="position:absolute;margin-left:100.474998pt;margin-top:17.676752pt;width:421.5pt;height:216.75pt;mso-position-horizontal-relative:page;mso-position-vertical-relative:paragraph;z-index:5392;mso-wrap-distance-left:0;mso-wrap-distance-right:0" coordorigin="2009,354" coordsize="8430,4335">
            <v:shape style="position:absolute;left:2240;top:584;width:6242;height:3600" type="#_x0000_t75" stroked="false">
              <v:imagedata r:id="rId138" o:title=""/>
            </v:shape>
            <v:shape style="position:absolute;left:2017;top:361;width:8415;height:4320" type="#_x0000_t202" filled="false" stroked="true" strokeweight=".75pt" strokecolor="#858585">
              <v:textbox inset="0,0,0,0">
                <w:txbxContent>
                  <w:p>
                    <w:pPr>
                      <w:spacing w:line="223" w:lineRule="exact" w:before="69"/>
                      <w:ind w:left="765" w:right="101" w:firstLine="0"/>
                      <w:jc w:val="center"/>
                      <w:rPr>
                        <w:rFonts w:ascii="Cambria"/>
                        <w:sz w:val="20"/>
                      </w:rPr>
                    </w:pPr>
                    <w:r>
                      <w:rPr>
                        <w:rFonts w:ascii="Cambria"/>
                        <w:sz w:val="20"/>
                      </w:rPr>
                      <w:t>14%</w:t>
                    </w:r>
                  </w:p>
                  <w:p>
                    <w:pPr>
                      <w:spacing w:line="223" w:lineRule="exact" w:before="0"/>
                      <w:ind w:left="765" w:right="5717" w:firstLine="0"/>
                      <w:jc w:val="center"/>
                      <w:rPr>
                        <w:rFonts w:ascii="Cambria"/>
                        <w:sz w:val="20"/>
                      </w:rPr>
                    </w:pPr>
                    <w:r>
                      <w:rPr>
                        <w:rFonts w:ascii="Cambria"/>
                        <w:sz w:val="20"/>
                      </w:rPr>
                      <w:t>12,5%</w:t>
                    </w:r>
                  </w:p>
                  <w:p>
                    <w:pPr>
                      <w:spacing w:before="96"/>
                      <w:ind w:left="2093" w:right="0" w:firstLine="0"/>
                      <w:jc w:val="left"/>
                      <w:rPr>
                        <w:rFonts w:ascii="Cambria"/>
                        <w:sz w:val="20"/>
                      </w:rPr>
                    </w:pPr>
                    <w:r>
                      <w:rPr>
                        <w:rFonts w:ascii="Cambria"/>
                        <w:sz w:val="20"/>
                      </w:rPr>
                      <w:t>11%</w:t>
                    </w:r>
                  </w:p>
                  <w:p>
                    <w:pPr>
                      <w:spacing w:line="240" w:lineRule="auto" w:before="0"/>
                      <w:rPr>
                        <w:sz w:val="22"/>
                      </w:rPr>
                    </w:pPr>
                  </w:p>
                  <w:p>
                    <w:pPr>
                      <w:spacing w:line="240" w:lineRule="auto" w:before="4"/>
                      <w:rPr>
                        <w:sz w:val="21"/>
                      </w:rPr>
                    </w:pPr>
                  </w:p>
                  <w:p>
                    <w:pPr>
                      <w:spacing w:before="1"/>
                      <w:ind w:left="765" w:right="1471" w:firstLine="0"/>
                      <w:jc w:val="center"/>
                      <w:rPr>
                        <w:rFonts w:ascii="Cambria"/>
                        <w:sz w:val="20"/>
                      </w:rPr>
                    </w:pPr>
                    <w:r>
                      <w:rPr>
                        <w:rFonts w:ascii="Cambria"/>
                        <w:sz w:val="20"/>
                      </w:rPr>
                      <w:t>8%</w:t>
                    </w:r>
                  </w:p>
                  <w:p>
                    <w:pPr>
                      <w:spacing w:line="240" w:lineRule="auto" w:before="6"/>
                      <w:rPr>
                        <w:sz w:val="23"/>
                      </w:rPr>
                    </w:pPr>
                  </w:p>
                  <w:p>
                    <w:pPr>
                      <w:spacing w:line="360" w:lineRule="auto" w:before="0"/>
                      <w:ind w:left="6928" w:right="189" w:firstLine="0"/>
                      <w:jc w:val="left"/>
                      <w:rPr>
                        <w:rFonts w:ascii="Cambria" w:hAnsi="Cambria"/>
                        <w:sz w:val="20"/>
                      </w:rPr>
                    </w:pPr>
                    <w:r>
                      <w:rPr>
                        <w:rFonts w:ascii="Cambria" w:hAnsi="Cambria"/>
                        <w:sz w:val="20"/>
                      </w:rPr>
                      <w:t>лапароскопия лапаротомия</w:t>
                    </w:r>
                  </w:p>
                  <w:p>
                    <w:pPr>
                      <w:spacing w:line="240" w:lineRule="auto" w:before="0"/>
                      <w:rPr>
                        <w:sz w:val="22"/>
                      </w:rPr>
                    </w:pPr>
                  </w:p>
                  <w:p>
                    <w:pPr>
                      <w:spacing w:line="240" w:lineRule="auto" w:before="0"/>
                      <w:rPr>
                        <w:sz w:val="22"/>
                      </w:rPr>
                    </w:pPr>
                  </w:p>
                  <w:p>
                    <w:pPr>
                      <w:spacing w:line="240" w:lineRule="auto" w:before="0"/>
                      <w:rPr>
                        <w:sz w:val="22"/>
                      </w:rPr>
                    </w:pPr>
                  </w:p>
                  <w:p>
                    <w:pPr>
                      <w:spacing w:before="188"/>
                      <w:ind w:left="765" w:right="5731" w:firstLine="0"/>
                      <w:jc w:val="center"/>
                      <w:rPr>
                        <w:rFonts w:ascii="Cambria" w:hAnsi="Cambria"/>
                        <w:sz w:val="20"/>
                      </w:rPr>
                    </w:pPr>
                    <w:r>
                      <w:rPr>
                        <w:rFonts w:ascii="Cambria" w:hAnsi="Cambria"/>
                        <w:sz w:val="20"/>
                      </w:rPr>
                      <w:t>миома матки до 6 см</w:t>
                    </w:r>
                  </w:p>
                  <w:p>
                    <w:pPr>
                      <w:spacing w:before="88"/>
                      <w:ind w:left="765" w:right="1343" w:firstLine="0"/>
                      <w:jc w:val="center"/>
                      <w:rPr>
                        <w:rFonts w:ascii="Cambria" w:hAnsi="Cambria"/>
                        <w:sz w:val="20"/>
                      </w:rPr>
                    </w:pPr>
                    <w:r>
                      <w:rPr>
                        <w:rFonts w:ascii="Cambria" w:hAnsi="Cambria"/>
                        <w:sz w:val="20"/>
                      </w:rPr>
                      <w:t>кисты яичников</w:t>
                    </w:r>
                  </w:p>
                </w:txbxContent>
              </v:textbox>
              <v:stroke dashstyle="solid"/>
              <w10:wrap type="none"/>
            </v:shape>
            <w10:wrap type="topAndBottom"/>
          </v:group>
        </w:pict>
      </w:r>
    </w:p>
    <w:p>
      <w:pPr>
        <w:pStyle w:val="BodyText"/>
        <w:rPr>
          <w:sz w:val="30"/>
        </w:rPr>
      </w:pPr>
    </w:p>
    <w:p>
      <w:pPr>
        <w:pStyle w:val="BodyText"/>
        <w:rPr>
          <w:sz w:val="30"/>
        </w:rPr>
      </w:pPr>
    </w:p>
    <w:p>
      <w:pPr>
        <w:pStyle w:val="BodyText"/>
        <w:spacing w:before="6"/>
        <w:rPr>
          <w:sz w:val="30"/>
        </w:rPr>
      </w:pPr>
    </w:p>
    <w:p>
      <w:pPr>
        <w:pStyle w:val="BodyText"/>
        <w:spacing w:line="360" w:lineRule="auto"/>
        <w:ind w:left="102" w:right="105" w:firstLine="851"/>
        <w:jc w:val="both"/>
      </w:pPr>
      <w:r>
        <w:rPr/>
        <w:pict>
          <v:rect style="position:absolute;margin-left:440.040009pt;margin-top:-155.743683pt;width:5.274pt;height:5.274pt;mso-position-horizontal-relative:page;mso-position-vertical-relative:paragraph;z-index:-336760" filled="true" fillcolor="#404040" stroked="false">
            <v:fill type="solid"/>
            <w10:wrap type="none"/>
          </v:rect>
        </w:pict>
      </w:r>
      <w:r>
        <w:rPr/>
        <w:t>На выбор доступа к хирургическому лечению также могут повлиять предшествовавшие хирургические вмешательства на органах брюшной полости. Такие операции, как кесарево сечение, аппендэктомия, холецистэктомия чаще встречалось у больных раком шейки матки в основной группе (14% и 9%, соответственно).</w:t>
      </w:r>
    </w:p>
    <w:p>
      <w:pPr>
        <w:pStyle w:val="BodyText"/>
        <w:spacing w:line="360" w:lineRule="auto" w:before="207"/>
        <w:ind w:left="102" w:right="106" w:firstLine="859"/>
        <w:jc w:val="both"/>
      </w:pPr>
      <w:r>
        <w:rPr/>
        <w:t>Противопоказанием к лапароскопии следует считать осложненные хирургические вмешательства, неоднократные повторные лапаротомии, предшествовавшие обширные операции по поводу метахронных злокачественных опухолей. Во всех остальных случаях выполненные ранее лапаротомии несколько увеличивают длительность операции в связи с необходимостью адгезиолизиса, но при этом обеспечивают гораздо более быстрое восстановление пациенток по сравнению с повторной лапаротомией.</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0" w:right="100" w:firstLine="707"/>
        <w:jc w:val="both"/>
      </w:pPr>
      <w:r>
        <w:rPr/>
        <w:t>В исследование были включены больные раком шейки матки IA2, IB1 стадии в соответствии с классификацией Международной Федерации Акушеров-гинекологов (FIGO 2011 г). У большинства  больных  установлена IB1 стадия. Метастазы в подвздошных лимфатических узлах у  8 больных оказались операционной находкой и не были диагностированы в ходе предоперационного обследования (Табл.</w:t>
      </w:r>
      <w:r>
        <w:rPr>
          <w:spacing w:val="-20"/>
        </w:rPr>
        <w:t> </w:t>
      </w:r>
      <w:r>
        <w:rPr/>
        <w:t>4.17).</w:t>
      </w:r>
    </w:p>
    <w:p>
      <w:pPr>
        <w:pStyle w:val="BodyText"/>
        <w:spacing w:before="8"/>
        <w:rPr>
          <w:sz w:val="24"/>
        </w:rPr>
      </w:pPr>
    </w:p>
    <w:p>
      <w:pPr>
        <w:pStyle w:val="BodyText"/>
        <w:spacing w:line="484" w:lineRule="auto"/>
        <w:ind w:left="950" w:right="88" w:firstLine="6800"/>
      </w:pPr>
      <w:r>
        <w:rPr/>
        <w:pict>
          <v:shape style="position:absolute;margin-left:86.304001pt;margin-top:61.430321pt;width:451.55pt;height:175pt;mso-position-horizontal-relative:page;mso-position-vertical-relative:paragraph;z-index:546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02"/>
                    <w:gridCol w:w="1181"/>
                    <w:gridCol w:w="1702"/>
                    <w:gridCol w:w="1652"/>
                    <w:gridCol w:w="1579"/>
                  </w:tblGrid>
                  <w:tr>
                    <w:trPr>
                      <w:trHeight w:val="1030" w:hRule="exact"/>
                    </w:trPr>
                    <w:tc>
                      <w:tcPr>
                        <w:tcW w:w="2902" w:type="dxa"/>
                      </w:tcPr>
                      <w:p>
                        <w:pPr>
                          <w:pStyle w:val="TableParagraph"/>
                          <w:spacing w:before="218"/>
                          <w:ind w:left="576" w:right="576"/>
                          <w:jc w:val="center"/>
                          <w:rPr>
                            <w:sz w:val="28"/>
                          </w:rPr>
                        </w:pPr>
                        <w:r>
                          <w:rPr>
                            <w:sz w:val="28"/>
                          </w:rPr>
                          <w:t>Группы</w:t>
                        </w:r>
                      </w:p>
                    </w:tc>
                    <w:tc>
                      <w:tcPr>
                        <w:tcW w:w="1181" w:type="dxa"/>
                      </w:tcPr>
                      <w:p>
                        <w:pPr/>
                      </w:p>
                    </w:tc>
                    <w:tc>
                      <w:tcPr>
                        <w:tcW w:w="1702" w:type="dxa"/>
                      </w:tcPr>
                      <w:p>
                        <w:pPr>
                          <w:pStyle w:val="TableParagraph"/>
                          <w:spacing w:line="313" w:lineRule="exact"/>
                          <w:ind w:left="102" w:right="102"/>
                          <w:jc w:val="center"/>
                          <w:rPr>
                            <w:sz w:val="28"/>
                          </w:rPr>
                        </w:pPr>
                        <w:r>
                          <w:rPr>
                            <w:sz w:val="28"/>
                          </w:rPr>
                          <w:t>IA2</w:t>
                        </w:r>
                      </w:p>
                      <w:p>
                        <w:pPr>
                          <w:pStyle w:val="TableParagraph"/>
                          <w:spacing w:before="8"/>
                          <w:rPr>
                            <w:sz w:val="28"/>
                          </w:rPr>
                        </w:pPr>
                      </w:p>
                      <w:p>
                        <w:pPr>
                          <w:pStyle w:val="TableParagraph"/>
                          <w:spacing w:before="1"/>
                          <w:ind w:left="102" w:right="102"/>
                          <w:jc w:val="center"/>
                          <w:rPr>
                            <w:sz w:val="28"/>
                          </w:rPr>
                        </w:pPr>
                        <w:r>
                          <w:rPr>
                            <w:sz w:val="28"/>
                          </w:rPr>
                          <w:t>T1a2N0M0</w:t>
                        </w:r>
                      </w:p>
                    </w:tc>
                    <w:tc>
                      <w:tcPr>
                        <w:tcW w:w="1652" w:type="dxa"/>
                      </w:tcPr>
                      <w:p>
                        <w:pPr>
                          <w:pStyle w:val="TableParagraph"/>
                          <w:spacing w:line="313" w:lineRule="exact"/>
                          <w:ind w:left="137" w:right="142"/>
                          <w:jc w:val="center"/>
                          <w:rPr>
                            <w:sz w:val="28"/>
                          </w:rPr>
                        </w:pPr>
                        <w:r>
                          <w:rPr>
                            <w:sz w:val="28"/>
                          </w:rPr>
                          <w:t>IB1</w:t>
                        </w:r>
                      </w:p>
                      <w:p>
                        <w:pPr>
                          <w:pStyle w:val="TableParagraph"/>
                          <w:spacing w:before="8"/>
                          <w:rPr>
                            <w:sz w:val="28"/>
                          </w:rPr>
                        </w:pPr>
                      </w:p>
                      <w:p>
                        <w:pPr>
                          <w:pStyle w:val="TableParagraph"/>
                          <w:spacing w:before="1"/>
                          <w:ind w:left="137" w:right="142"/>
                          <w:jc w:val="center"/>
                          <w:rPr>
                            <w:sz w:val="28"/>
                          </w:rPr>
                        </w:pPr>
                        <w:r>
                          <w:rPr>
                            <w:sz w:val="28"/>
                          </w:rPr>
                          <w:t>T1b1N0M0</w:t>
                        </w:r>
                      </w:p>
                    </w:tc>
                    <w:tc>
                      <w:tcPr>
                        <w:tcW w:w="1579" w:type="dxa"/>
                      </w:tcPr>
                      <w:p>
                        <w:pPr>
                          <w:pStyle w:val="TableParagraph"/>
                          <w:spacing w:line="313" w:lineRule="exact"/>
                          <w:ind w:left="103" w:right="103"/>
                          <w:jc w:val="center"/>
                          <w:rPr>
                            <w:sz w:val="28"/>
                          </w:rPr>
                        </w:pPr>
                        <w:r>
                          <w:rPr>
                            <w:sz w:val="28"/>
                          </w:rPr>
                          <w:t>IIIB *</w:t>
                        </w:r>
                      </w:p>
                      <w:p>
                        <w:pPr>
                          <w:pStyle w:val="TableParagraph"/>
                          <w:spacing w:before="8"/>
                          <w:rPr>
                            <w:sz w:val="28"/>
                          </w:rPr>
                        </w:pPr>
                      </w:p>
                      <w:p>
                        <w:pPr>
                          <w:pStyle w:val="TableParagraph"/>
                          <w:spacing w:before="1"/>
                          <w:ind w:left="103" w:right="103"/>
                          <w:jc w:val="center"/>
                          <w:rPr>
                            <w:sz w:val="28"/>
                          </w:rPr>
                        </w:pPr>
                        <w:r>
                          <w:rPr>
                            <w:sz w:val="28"/>
                          </w:rPr>
                          <w:t>T1b1N1M0</w:t>
                        </w:r>
                      </w:p>
                    </w:tc>
                  </w:tr>
                  <w:tr>
                    <w:trPr>
                      <w:trHeight w:val="1232" w:hRule="exact"/>
                    </w:trPr>
                    <w:tc>
                      <w:tcPr>
                        <w:tcW w:w="2902" w:type="dxa"/>
                      </w:tcPr>
                      <w:p>
                        <w:pPr>
                          <w:pStyle w:val="TableParagraph"/>
                          <w:spacing w:line="315" w:lineRule="exact"/>
                          <w:ind w:left="576" w:right="578"/>
                          <w:jc w:val="center"/>
                          <w:rPr>
                            <w:sz w:val="28"/>
                          </w:rPr>
                        </w:pPr>
                        <w:r>
                          <w:rPr>
                            <w:sz w:val="28"/>
                          </w:rPr>
                          <w:t>Лапароскопия</w:t>
                        </w:r>
                      </w:p>
                      <w:p>
                        <w:pPr>
                          <w:pStyle w:val="TableParagraph"/>
                          <w:spacing w:before="6"/>
                          <w:rPr>
                            <w:sz w:val="28"/>
                          </w:rPr>
                        </w:pPr>
                      </w:p>
                      <w:p>
                        <w:pPr>
                          <w:pStyle w:val="TableParagraph"/>
                          <w:ind w:left="576" w:right="575"/>
                          <w:jc w:val="center"/>
                          <w:rPr>
                            <w:sz w:val="28"/>
                          </w:rPr>
                        </w:pPr>
                        <w:r>
                          <w:rPr>
                            <w:sz w:val="28"/>
                          </w:rPr>
                          <w:t>n=75</w:t>
                        </w:r>
                      </w:p>
                    </w:tc>
                    <w:tc>
                      <w:tcPr>
                        <w:tcW w:w="1181" w:type="dxa"/>
                      </w:tcPr>
                      <w:p>
                        <w:pPr>
                          <w:pStyle w:val="TableParagraph"/>
                          <w:spacing w:line="315" w:lineRule="exact"/>
                          <w:jc w:val="center"/>
                          <w:rPr>
                            <w:sz w:val="28"/>
                          </w:rPr>
                        </w:pPr>
                        <w:r>
                          <w:rPr>
                            <w:w w:val="100"/>
                            <w:sz w:val="28"/>
                          </w:rPr>
                          <w:t>n</w:t>
                        </w:r>
                      </w:p>
                      <w:p>
                        <w:pPr>
                          <w:pStyle w:val="TableParagraph"/>
                          <w:spacing w:before="6"/>
                          <w:rPr>
                            <w:sz w:val="28"/>
                          </w:rPr>
                        </w:pPr>
                      </w:p>
                      <w:p>
                        <w:pPr>
                          <w:pStyle w:val="TableParagraph"/>
                          <w:ind w:left="355" w:right="355"/>
                          <w:jc w:val="center"/>
                          <w:rPr>
                            <w:sz w:val="28"/>
                          </w:rPr>
                        </w:pPr>
                        <w:r>
                          <w:rPr>
                            <w:sz w:val="28"/>
                          </w:rPr>
                          <w:t>(%)</w:t>
                        </w:r>
                      </w:p>
                    </w:tc>
                    <w:tc>
                      <w:tcPr>
                        <w:tcW w:w="1702" w:type="dxa"/>
                      </w:tcPr>
                      <w:p>
                        <w:pPr>
                          <w:pStyle w:val="TableParagraph"/>
                          <w:spacing w:before="91"/>
                          <w:ind w:left="103" w:right="101"/>
                          <w:jc w:val="center"/>
                          <w:rPr>
                            <w:sz w:val="28"/>
                          </w:rPr>
                        </w:pPr>
                        <w:r>
                          <w:rPr>
                            <w:sz w:val="28"/>
                          </w:rPr>
                          <w:t>22</w:t>
                        </w:r>
                      </w:p>
                      <w:p>
                        <w:pPr>
                          <w:pStyle w:val="TableParagraph"/>
                          <w:spacing w:before="8"/>
                          <w:rPr>
                            <w:sz w:val="28"/>
                          </w:rPr>
                        </w:pPr>
                      </w:p>
                      <w:p>
                        <w:pPr>
                          <w:pStyle w:val="TableParagraph"/>
                          <w:ind w:left="101" w:right="102"/>
                          <w:jc w:val="center"/>
                          <w:rPr>
                            <w:sz w:val="28"/>
                          </w:rPr>
                        </w:pPr>
                        <w:r>
                          <w:rPr>
                            <w:sz w:val="28"/>
                          </w:rPr>
                          <w:t>(29,3)</w:t>
                        </w:r>
                      </w:p>
                    </w:tc>
                    <w:tc>
                      <w:tcPr>
                        <w:tcW w:w="1652" w:type="dxa"/>
                      </w:tcPr>
                      <w:p>
                        <w:pPr>
                          <w:pStyle w:val="TableParagraph"/>
                          <w:spacing w:before="91"/>
                          <w:ind w:left="137" w:right="140"/>
                          <w:jc w:val="center"/>
                          <w:rPr>
                            <w:sz w:val="28"/>
                          </w:rPr>
                        </w:pPr>
                        <w:r>
                          <w:rPr>
                            <w:sz w:val="28"/>
                          </w:rPr>
                          <w:t>48</w:t>
                        </w:r>
                      </w:p>
                      <w:p>
                        <w:pPr>
                          <w:pStyle w:val="TableParagraph"/>
                          <w:spacing w:before="8"/>
                          <w:rPr>
                            <w:sz w:val="28"/>
                          </w:rPr>
                        </w:pPr>
                      </w:p>
                      <w:p>
                        <w:pPr>
                          <w:pStyle w:val="TableParagraph"/>
                          <w:ind w:left="137" w:right="138"/>
                          <w:jc w:val="center"/>
                          <w:rPr>
                            <w:sz w:val="28"/>
                          </w:rPr>
                        </w:pPr>
                        <w:r>
                          <w:rPr>
                            <w:sz w:val="28"/>
                          </w:rPr>
                          <w:t>(64,0)</w:t>
                        </w:r>
                      </w:p>
                    </w:tc>
                    <w:tc>
                      <w:tcPr>
                        <w:tcW w:w="1579" w:type="dxa"/>
                      </w:tcPr>
                      <w:p>
                        <w:pPr>
                          <w:pStyle w:val="TableParagraph"/>
                          <w:spacing w:before="91"/>
                          <w:ind w:left="1"/>
                          <w:jc w:val="center"/>
                          <w:rPr>
                            <w:sz w:val="28"/>
                          </w:rPr>
                        </w:pPr>
                        <w:r>
                          <w:rPr>
                            <w:w w:val="100"/>
                            <w:sz w:val="28"/>
                          </w:rPr>
                          <w:t>5</w:t>
                        </w:r>
                      </w:p>
                      <w:p>
                        <w:pPr>
                          <w:pStyle w:val="TableParagraph"/>
                          <w:spacing w:before="8"/>
                          <w:rPr>
                            <w:sz w:val="28"/>
                          </w:rPr>
                        </w:pPr>
                      </w:p>
                      <w:p>
                        <w:pPr>
                          <w:pStyle w:val="TableParagraph"/>
                          <w:ind w:left="103" w:right="102"/>
                          <w:jc w:val="center"/>
                          <w:rPr>
                            <w:sz w:val="28"/>
                          </w:rPr>
                        </w:pPr>
                        <w:r>
                          <w:rPr>
                            <w:sz w:val="28"/>
                          </w:rPr>
                          <w:t>(6,7)</w:t>
                        </w:r>
                      </w:p>
                    </w:tc>
                  </w:tr>
                  <w:tr>
                    <w:trPr>
                      <w:trHeight w:val="1229" w:hRule="exact"/>
                    </w:trPr>
                    <w:tc>
                      <w:tcPr>
                        <w:tcW w:w="2902" w:type="dxa"/>
                      </w:tcPr>
                      <w:p>
                        <w:pPr>
                          <w:pStyle w:val="TableParagraph"/>
                          <w:spacing w:line="482" w:lineRule="auto"/>
                          <w:ind w:left="1190" w:right="634" w:hanging="538"/>
                          <w:rPr>
                            <w:sz w:val="28"/>
                          </w:rPr>
                        </w:pPr>
                        <w:r>
                          <w:rPr>
                            <w:sz w:val="28"/>
                          </w:rPr>
                          <w:t>Лапаротомия n=86</w:t>
                        </w:r>
                      </w:p>
                    </w:tc>
                    <w:tc>
                      <w:tcPr>
                        <w:tcW w:w="1181" w:type="dxa"/>
                      </w:tcPr>
                      <w:p>
                        <w:pPr>
                          <w:pStyle w:val="TableParagraph"/>
                          <w:spacing w:line="482" w:lineRule="auto"/>
                          <w:ind w:left="374" w:right="357" w:firstLine="141"/>
                          <w:rPr>
                            <w:sz w:val="28"/>
                          </w:rPr>
                        </w:pPr>
                        <w:r>
                          <w:rPr>
                            <w:sz w:val="28"/>
                          </w:rPr>
                          <w:t>n (%)</w:t>
                        </w:r>
                      </w:p>
                    </w:tc>
                    <w:tc>
                      <w:tcPr>
                        <w:tcW w:w="1702" w:type="dxa"/>
                      </w:tcPr>
                      <w:p>
                        <w:pPr>
                          <w:pStyle w:val="TableParagraph"/>
                          <w:spacing w:before="89"/>
                          <w:ind w:left="103" w:right="101"/>
                          <w:jc w:val="center"/>
                          <w:rPr>
                            <w:sz w:val="28"/>
                          </w:rPr>
                        </w:pPr>
                        <w:r>
                          <w:rPr>
                            <w:sz w:val="28"/>
                          </w:rPr>
                          <w:t>19</w:t>
                        </w:r>
                      </w:p>
                      <w:p>
                        <w:pPr>
                          <w:pStyle w:val="TableParagraph"/>
                          <w:spacing w:before="8"/>
                          <w:rPr>
                            <w:sz w:val="28"/>
                          </w:rPr>
                        </w:pPr>
                      </w:p>
                      <w:p>
                        <w:pPr>
                          <w:pStyle w:val="TableParagraph"/>
                          <w:spacing w:before="1"/>
                          <w:ind w:left="101" w:right="102"/>
                          <w:jc w:val="center"/>
                          <w:rPr>
                            <w:sz w:val="28"/>
                          </w:rPr>
                        </w:pPr>
                        <w:r>
                          <w:rPr>
                            <w:sz w:val="28"/>
                          </w:rPr>
                          <w:t>(22,1)</w:t>
                        </w:r>
                      </w:p>
                    </w:tc>
                    <w:tc>
                      <w:tcPr>
                        <w:tcW w:w="1652" w:type="dxa"/>
                      </w:tcPr>
                      <w:p>
                        <w:pPr>
                          <w:pStyle w:val="TableParagraph"/>
                          <w:spacing w:before="89"/>
                          <w:ind w:left="137" w:right="140"/>
                          <w:jc w:val="center"/>
                          <w:rPr>
                            <w:sz w:val="28"/>
                          </w:rPr>
                        </w:pPr>
                        <w:r>
                          <w:rPr>
                            <w:sz w:val="28"/>
                          </w:rPr>
                          <w:t>64</w:t>
                        </w:r>
                      </w:p>
                      <w:p>
                        <w:pPr>
                          <w:pStyle w:val="TableParagraph"/>
                          <w:spacing w:before="8"/>
                          <w:rPr>
                            <w:sz w:val="28"/>
                          </w:rPr>
                        </w:pPr>
                      </w:p>
                      <w:p>
                        <w:pPr>
                          <w:pStyle w:val="TableParagraph"/>
                          <w:spacing w:before="1"/>
                          <w:ind w:left="137" w:right="139"/>
                          <w:jc w:val="center"/>
                          <w:rPr>
                            <w:sz w:val="28"/>
                          </w:rPr>
                        </w:pPr>
                        <w:r>
                          <w:rPr>
                            <w:sz w:val="28"/>
                          </w:rPr>
                          <w:t>(74,4)</w:t>
                        </w:r>
                      </w:p>
                    </w:tc>
                    <w:tc>
                      <w:tcPr>
                        <w:tcW w:w="1579" w:type="dxa"/>
                      </w:tcPr>
                      <w:p>
                        <w:pPr>
                          <w:pStyle w:val="TableParagraph"/>
                          <w:spacing w:before="89"/>
                          <w:ind w:left="1"/>
                          <w:jc w:val="center"/>
                          <w:rPr>
                            <w:sz w:val="28"/>
                          </w:rPr>
                        </w:pPr>
                        <w:r>
                          <w:rPr>
                            <w:w w:val="100"/>
                            <w:sz w:val="28"/>
                          </w:rPr>
                          <w:t>3</w:t>
                        </w:r>
                      </w:p>
                      <w:p>
                        <w:pPr>
                          <w:pStyle w:val="TableParagraph"/>
                          <w:spacing w:before="8"/>
                          <w:rPr>
                            <w:sz w:val="28"/>
                          </w:rPr>
                        </w:pPr>
                      </w:p>
                      <w:p>
                        <w:pPr>
                          <w:pStyle w:val="TableParagraph"/>
                          <w:spacing w:before="1"/>
                          <w:ind w:left="103" w:right="102"/>
                          <w:jc w:val="center"/>
                          <w:rPr>
                            <w:sz w:val="28"/>
                          </w:rPr>
                        </w:pPr>
                        <w:r>
                          <w:rPr>
                            <w:sz w:val="28"/>
                          </w:rPr>
                          <w:t>(3,5)</w:t>
                        </w:r>
                      </w:p>
                    </w:tc>
                  </w:tr>
                </w:tbl>
                <w:p>
                  <w:pPr>
                    <w:pStyle w:val="BodyText"/>
                  </w:pPr>
                </w:p>
              </w:txbxContent>
            </v:textbox>
            <w10:wrap type="none"/>
          </v:shape>
        </w:pict>
      </w:r>
      <w:r>
        <w:rPr/>
        <w:t>Таблица 4.17 Распределение больных раком шейки матки по стадиям заболевания</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line="362" w:lineRule="auto" w:before="260"/>
        <w:ind w:left="242" w:right="380" w:firstLine="707"/>
      </w:pPr>
      <w:r>
        <w:rPr/>
        <w:t>*IIIB – стадирование на основании гистологического исследования операционного материала</w:t>
      </w:r>
    </w:p>
    <w:p>
      <w:pPr>
        <w:pStyle w:val="BodyText"/>
        <w:spacing w:before="4"/>
        <w:rPr>
          <w:sz w:val="24"/>
        </w:rPr>
      </w:pPr>
    </w:p>
    <w:p>
      <w:pPr>
        <w:pStyle w:val="BodyText"/>
        <w:spacing w:line="360" w:lineRule="auto"/>
        <w:ind w:left="242" w:right="383" w:firstLine="707"/>
      </w:pPr>
      <w:r>
        <w:rPr/>
        <w:t>Подавляющее большинство опухолей в обеих группах было представлено плоскоклеточным ороговевающим раком (92 и 88% соответственно). Аденокарцинома встретилась у 6 больных, оперированных лапароскопически и у 12, подвергшихся лапаротомиям.</w:t>
      </w:r>
    </w:p>
    <w:p>
      <w:pPr>
        <w:spacing w:after="0" w:line="360" w:lineRule="auto"/>
        <w:sectPr>
          <w:pgSz w:w="11900" w:h="16850"/>
          <w:pgMar w:header="712" w:footer="0" w:top="1020" w:bottom="280" w:left="1460" w:right="1020"/>
        </w:sectPr>
      </w:pPr>
    </w:p>
    <w:p>
      <w:pPr>
        <w:pStyle w:val="BodyText"/>
        <w:rPr>
          <w:sz w:val="20"/>
        </w:rPr>
      </w:pPr>
    </w:p>
    <w:p>
      <w:pPr>
        <w:pStyle w:val="BodyText"/>
        <w:rPr>
          <w:sz w:val="20"/>
        </w:rPr>
      </w:pPr>
    </w:p>
    <w:p>
      <w:pPr>
        <w:pStyle w:val="BodyText"/>
        <w:spacing w:before="10"/>
        <w:rPr>
          <w:sz w:val="25"/>
        </w:rPr>
      </w:pPr>
    </w:p>
    <w:p>
      <w:pPr>
        <w:pStyle w:val="Heading1"/>
        <w:numPr>
          <w:ilvl w:val="2"/>
          <w:numId w:val="27"/>
        </w:numPr>
        <w:tabs>
          <w:tab w:pos="1791" w:val="left" w:leader="none"/>
        </w:tabs>
        <w:spacing w:line="240" w:lineRule="auto" w:before="89" w:after="0"/>
        <w:ind w:left="1790" w:right="0" w:hanging="700"/>
        <w:jc w:val="left"/>
      </w:pPr>
      <w:r>
        <w:rPr/>
        <w:t>Технические особенности выполненных</w:t>
      </w:r>
      <w:r>
        <w:rPr>
          <w:spacing w:val="-11"/>
        </w:rPr>
        <w:t> </w:t>
      </w:r>
      <w:r>
        <w:rPr/>
        <w:t>операций</w:t>
      </w:r>
    </w:p>
    <w:p>
      <w:pPr>
        <w:pStyle w:val="BodyText"/>
        <w:spacing w:before="10"/>
        <w:rPr>
          <w:b/>
          <w:sz w:val="37"/>
        </w:rPr>
      </w:pPr>
    </w:p>
    <w:p>
      <w:pPr>
        <w:pStyle w:val="BodyText"/>
        <w:spacing w:line="360" w:lineRule="auto"/>
        <w:ind w:left="102" w:right="102" w:firstLine="347"/>
        <w:jc w:val="both"/>
      </w:pPr>
      <w:r>
        <w:rPr/>
        <w:t>Этапы операции Вертгейма, описанные в ряде классических руководств и монографий практически не отличались друг от друга при рассматриваемых хирургических доступах. Последовательно выполнялись мобилизация связочного аппарата матки, мочевого пузыря, тазовая лимфодиссекция, выделение мочеточников, пересечение кардинальных и крестцово-маточных связок. На следующих фотографиях представлены основные этапы лапароскопической радикальной гистерэктомии (Рис. 4.15).</w:t>
      </w:r>
    </w:p>
    <w:p>
      <w:pPr>
        <w:pStyle w:val="BodyText"/>
        <w:spacing w:before="204"/>
        <w:ind w:right="100"/>
        <w:jc w:val="right"/>
      </w:pPr>
      <w:r>
        <w:rPr/>
        <w:t>Рисунок 4.15.</w:t>
      </w:r>
    </w:p>
    <w:p>
      <w:pPr>
        <w:pStyle w:val="BodyText"/>
        <w:spacing w:line="322" w:lineRule="exact" w:before="201"/>
        <w:ind w:left="1364"/>
      </w:pPr>
      <w:r>
        <w:rPr/>
        <w:t>Основные этапы операции лапароскопической радикальной</w:t>
      </w:r>
    </w:p>
    <w:p>
      <w:pPr>
        <w:pStyle w:val="BodyText"/>
        <w:ind w:left="379" w:right="380"/>
        <w:jc w:val="center"/>
      </w:pPr>
      <w:r>
        <w:rPr/>
        <w:t>гистерэктомии</w:t>
      </w:r>
    </w:p>
    <w:p>
      <w:pPr>
        <w:pStyle w:val="BodyText"/>
        <w:spacing w:before="7"/>
        <w:rPr>
          <w:sz w:val="14"/>
        </w:rPr>
      </w:pPr>
      <w:r>
        <w:rPr/>
        <w:pict>
          <v:group style="position:absolute;margin-left:120.449997pt;margin-top:10.370295pt;width:397pt;height:144.5pt;mso-position-horizontal-relative:page;mso-position-vertical-relative:paragraph;z-index:5488;mso-wrap-distance-left:0;mso-wrap-distance-right:0" coordorigin="2409,207" coordsize="7940,2890">
            <v:shape style="position:absolute;left:2409;top:231;width:3944;height:2866" type="#_x0000_t75" stroked="false">
              <v:imagedata r:id="rId139" o:title=""/>
            </v:shape>
            <v:shape style="position:absolute;left:6411;top:207;width:3937;height:2884" type="#_x0000_t75" stroked="false">
              <v:imagedata r:id="rId140" o:title=""/>
            </v:shape>
            <w10:wrap type="topAndBottom"/>
          </v:group>
        </w:pict>
      </w:r>
    </w:p>
    <w:p>
      <w:pPr>
        <w:pStyle w:val="BodyText"/>
        <w:spacing w:before="7"/>
        <w:rPr>
          <w:sz w:val="27"/>
        </w:rPr>
      </w:pPr>
    </w:p>
    <w:p>
      <w:pPr>
        <w:pStyle w:val="BodyText"/>
        <w:tabs>
          <w:tab w:pos="6461" w:val="left" w:leader="none"/>
        </w:tabs>
        <w:ind w:left="2348"/>
      </w:pPr>
      <w:r>
        <w:rPr/>
        <w:t>а</w:t>
        <w:tab/>
        <w:t>б</w:t>
      </w:r>
    </w:p>
    <w:p>
      <w:pPr>
        <w:pStyle w:val="BodyText"/>
        <w:spacing w:before="5"/>
      </w:pPr>
      <w:r>
        <w:rPr/>
        <w:drawing>
          <wp:anchor distT="0" distB="0" distL="0" distR="0" allowOverlap="1" layoutInCell="1" locked="0" behindDoc="0" simplePos="0" relativeHeight="5512">
            <wp:simplePos x="0" y="0"/>
            <wp:positionH relativeFrom="page">
              <wp:posOffset>1569085</wp:posOffset>
            </wp:positionH>
            <wp:positionV relativeFrom="paragraph">
              <wp:posOffset>232393</wp:posOffset>
            </wp:positionV>
            <wp:extent cx="2534628" cy="1832610"/>
            <wp:effectExtent l="0" t="0" r="0" b="0"/>
            <wp:wrapTopAndBottom/>
            <wp:docPr id="87" name="image126.jpeg" descr=""/>
            <wp:cNvGraphicFramePr>
              <a:graphicFrameLocks noChangeAspect="1"/>
            </wp:cNvGraphicFramePr>
            <a:graphic>
              <a:graphicData uri="http://schemas.openxmlformats.org/drawingml/2006/picture">
                <pic:pic>
                  <pic:nvPicPr>
                    <pic:cNvPr id="88" name="image126.jpeg"/>
                    <pic:cNvPicPr/>
                  </pic:nvPicPr>
                  <pic:blipFill>
                    <a:blip r:embed="rId141" cstate="print"/>
                    <a:stretch>
                      <a:fillRect/>
                    </a:stretch>
                  </pic:blipFill>
                  <pic:spPr>
                    <a:xfrm>
                      <a:off x="0" y="0"/>
                      <a:ext cx="2534628" cy="1832610"/>
                    </a:xfrm>
                    <a:prstGeom prst="rect">
                      <a:avLst/>
                    </a:prstGeom>
                  </pic:spPr>
                </pic:pic>
              </a:graphicData>
            </a:graphic>
          </wp:anchor>
        </w:drawing>
      </w:r>
      <w:r>
        <w:rPr/>
        <w:drawing>
          <wp:anchor distT="0" distB="0" distL="0" distR="0" allowOverlap="1" layoutInCell="1" locked="0" behindDoc="0" simplePos="0" relativeHeight="5536">
            <wp:simplePos x="0" y="0"/>
            <wp:positionH relativeFrom="page">
              <wp:posOffset>4153534</wp:posOffset>
            </wp:positionH>
            <wp:positionV relativeFrom="paragraph">
              <wp:posOffset>259571</wp:posOffset>
            </wp:positionV>
            <wp:extent cx="2351083" cy="1807082"/>
            <wp:effectExtent l="0" t="0" r="0" b="0"/>
            <wp:wrapTopAndBottom/>
            <wp:docPr id="89" name="image127.jpeg" descr=""/>
            <wp:cNvGraphicFramePr>
              <a:graphicFrameLocks noChangeAspect="1"/>
            </wp:cNvGraphicFramePr>
            <a:graphic>
              <a:graphicData uri="http://schemas.openxmlformats.org/drawingml/2006/picture">
                <pic:pic>
                  <pic:nvPicPr>
                    <pic:cNvPr id="90" name="image127.jpeg"/>
                    <pic:cNvPicPr/>
                  </pic:nvPicPr>
                  <pic:blipFill>
                    <a:blip r:embed="rId142" cstate="print"/>
                    <a:stretch>
                      <a:fillRect/>
                    </a:stretch>
                  </pic:blipFill>
                  <pic:spPr>
                    <a:xfrm>
                      <a:off x="0" y="0"/>
                      <a:ext cx="2351083" cy="1807082"/>
                    </a:xfrm>
                    <a:prstGeom prst="rect">
                      <a:avLst/>
                    </a:prstGeom>
                  </pic:spPr>
                </pic:pic>
              </a:graphicData>
            </a:graphic>
          </wp:anchor>
        </w:drawing>
      </w:r>
    </w:p>
    <w:p>
      <w:pPr>
        <w:pStyle w:val="BodyText"/>
        <w:tabs>
          <w:tab w:pos="6043" w:val="left" w:leader="none"/>
        </w:tabs>
        <w:spacing w:before="208"/>
        <w:ind w:left="2411"/>
      </w:pPr>
      <w:r>
        <w:rPr/>
        <w:t>в</w:t>
        <w:tab/>
        <w:t>г</w:t>
      </w:r>
    </w:p>
    <w:p>
      <w:pPr>
        <w:spacing w:after="0"/>
        <w:sectPr>
          <w:pgSz w:w="11900" w:h="16850"/>
          <w:pgMar w:header="712" w:footer="0" w:top="1020" w:bottom="280" w:left="1600" w:right="1020"/>
        </w:sectPr>
      </w:pPr>
    </w:p>
    <w:p>
      <w:pPr>
        <w:pStyle w:val="BodyText"/>
        <w:ind w:left="101"/>
        <w:rPr>
          <w:sz w:val="20"/>
        </w:rPr>
      </w:pPr>
      <w:r>
        <w:rPr>
          <w:sz w:val="20"/>
        </w:rPr>
        <w:drawing>
          <wp:inline distT="0" distB="0" distL="0" distR="0">
            <wp:extent cx="2494521" cy="1790700"/>
            <wp:effectExtent l="0" t="0" r="0" b="0"/>
            <wp:docPr id="91" name="image128.jpeg" descr=""/>
            <wp:cNvGraphicFramePr>
              <a:graphicFrameLocks noChangeAspect="1"/>
            </wp:cNvGraphicFramePr>
            <a:graphic>
              <a:graphicData uri="http://schemas.openxmlformats.org/drawingml/2006/picture">
                <pic:pic>
                  <pic:nvPicPr>
                    <pic:cNvPr id="92" name="image128.jpeg"/>
                    <pic:cNvPicPr/>
                  </pic:nvPicPr>
                  <pic:blipFill>
                    <a:blip r:embed="rId143" cstate="print"/>
                    <a:stretch>
                      <a:fillRect/>
                    </a:stretch>
                  </pic:blipFill>
                  <pic:spPr>
                    <a:xfrm>
                      <a:off x="0" y="0"/>
                      <a:ext cx="2494521" cy="1790700"/>
                    </a:xfrm>
                    <a:prstGeom prst="rect">
                      <a:avLst/>
                    </a:prstGeom>
                  </pic:spPr>
                </pic:pic>
              </a:graphicData>
            </a:graphic>
          </wp:inline>
        </w:drawing>
      </w:r>
      <w:r>
        <w:rPr>
          <w:sz w:val="20"/>
        </w:rPr>
      </w:r>
    </w:p>
    <w:p>
      <w:pPr>
        <w:pStyle w:val="BodyText"/>
        <w:spacing w:before="10"/>
        <w:rPr>
          <w:sz w:val="12"/>
        </w:rPr>
      </w:pPr>
    </w:p>
    <w:p>
      <w:pPr>
        <w:pStyle w:val="BodyText"/>
        <w:spacing w:before="89"/>
        <w:ind w:left="1928"/>
      </w:pPr>
      <w:r>
        <w:rPr>
          <w:w w:val="100"/>
        </w:rPr>
        <w:t>д</w:t>
      </w:r>
    </w:p>
    <w:p>
      <w:pPr>
        <w:pStyle w:val="BodyText"/>
        <w:spacing w:line="508" w:lineRule="auto" w:before="248"/>
        <w:ind w:left="810" w:right="1659"/>
      </w:pPr>
      <w:r>
        <w:rPr/>
        <w:t>а – этап тазовой лимфаденэктомии по ходу n.obturatorius б – тазовые сосуды после этапа лимфаденэктомии</w:t>
      </w:r>
    </w:p>
    <w:p>
      <w:pPr>
        <w:pStyle w:val="BodyText"/>
        <w:spacing w:line="508" w:lineRule="auto" w:before="14"/>
        <w:ind w:left="810" w:right="4077"/>
      </w:pPr>
      <w:r>
        <w:rPr/>
        <w:t>в – диссекция переднего параметрия г – диссекция бокового параметрия</w:t>
      </w:r>
    </w:p>
    <w:p>
      <w:pPr>
        <w:pStyle w:val="BodyText"/>
        <w:spacing w:before="14"/>
        <w:ind w:left="810"/>
      </w:pPr>
      <w:r>
        <w:rPr/>
        <w:t>д – диссекция заднего параметрия, этап сохранения n.hupogastricus</w:t>
      </w:r>
    </w:p>
    <w:p>
      <w:pPr>
        <w:pStyle w:val="BodyText"/>
        <w:spacing w:before="1"/>
        <w:rPr>
          <w:sz w:val="38"/>
        </w:rPr>
      </w:pPr>
    </w:p>
    <w:p>
      <w:pPr>
        <w:pStyle w:val="BodyText"/>
        <w:tabs>
          <w:tab w:pos="8892" w:val="left" w:leader="none"/>
        </w:tabs>
        <w:spacing w:line="360" w:lineRule="auto"/>
        <w:ind w:left="102" w:right="102"/>
        <w:jc w:val="both"/>
      </w:pPr>
      <w:r>
        <w:rPr/>
        <w:t>По радикальности выполненных операций лапаротомный и лапароскопический доступы оказались сопоставимы. Среднее число удаленных тазовых лимфатических узлов в основной группе составило 23,09±1,8; в группе сравнения – 11,7 ±2,1. При исследовании удаленного препарата,    показатели    адекватности </w:t>
      </w:r>
      <w:r>
        <w:rPr>
          <w:spacing w:val="43"/>
        </w:rPr>
        <w:t> </w:t>
      </w:r>
      <w:r>
        <w:rPr/>
        <w:t>резекции  </w:t>
      </w:r>
      <w:r>
        <w:rPr>
          <w:spacing w:val="39"/>
        </w:rPr>
        <w:t> </w:t>
      </w:r>
      <w:r>
        <w:rPr/>
        <w:t>параметриев</w:t>
        <w:tab/>
        <w:t>не различались в обеих</w:t>
      </w:r>
      <w:r>
        <w:rPr>
          <w:spacing w:val="-5"/>
        </w:rPr>
        <w:t> </w:t>
      </w:r>
      <w:r>
        <w:rPr/>
        <w:t>группах.</w:t>
      </w:r>
    </w:p>
    <w:p>
      <w:pPr>
        <w:pStyle w:val="BodyText"/>
        <w:spacing w:before="7"/>
        <w:rPr>
          <w:sz w:val="24"/>
        </w:rPr>
      </w:pPr>
    </w:p>
    <w:p>
      <w:pPr>
        <w:pStyle w:val="BodyText"/>
        <w:tabs>
          <w:tab w:pos="7609" w:val="left" w:leader="none"/>
        </w:tabs>
        <w:spacing w:line="360" w:lineRule="auto" w:before="1"/>
        <w:ind w:left="102" w:right="100" w:firstLine="347"/>
        <w:jc w:val="both"/>
      </w:pPr>
      <w:r>
        <w:rPr/>
        <w:t>Продолжительность      </w:t>
      </w:r>
      <w:r>
        <w:rPr>
          <w:spacing w:val="11"/>
        </w:rPr>
        <w:t> </w:t>
      </w:r>
      <w:r>
        <w:rPr/>
        <w:t>первых  </w:t>
      </w:r>
      <w:r>
        <w:rPr>
          <w:spacing w:val="41"/>
        </w:rPr>
        <w:t> </w:t>
      </w:r>
      <w:r>
        <w:rPr/>
        <w:t>лапароскопических</w:t>
        <w:tab/>
      </w:r>
      <w:r>
        <w:rPr>
          <w:spacing w:val="-1"/>
        </w:rPr>
        <w:t>радикальных </w:t>
      </w:r>
      <w:r>
        <w:rPr/>
        <w:t>гистерэктомий достигала 300 мин, с увеличением хирургического опыта она сократилась в среднем до 210 мин Время, затраченное на выполнение операции Вертгейма лапаротомным доступом, колебалось в районе 120 мин. В среднем продолжительность наркоза и операции оказалось на 1,5 часа меньше при выполнении лапаротомии. При этом выявлен целый ряд других неоспоримых преимуществ малоинвазивной хирургии, о которых уже говорилось в предыдущих разделах исследования. Прежде всего к</w:t>
      </w:r>
      <w:r>
        <w:rPr>
          <w:spacing w:val="-16"/>
        </w:rPr>
        <w:t> </w:t>
      </w:r>
      <w:r>
        <w:rPr/>
        <w:t>ним</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before="6"/>
        <w:rPr>
          <w:sz w:val="25"/>
        </w:rPr>
      </w:pPr>
    </w:p>
    <w:p>
      <w:pPr>
        <w:pStyle w:val="BodyText"/>
        <w:spacing w:line="360" w:lineRule="auto" w:before="89"/>
        <w:ind w:left="122" w:right="108"/>
        <w:jc w:val="both"/>
      </w:pPr>
      <w:r>
        <w:rPr/>
        <w:t>следует отнести объем интраоперационной кровопотери, меньшее число интра- и послеоперационных осложнений, а также быструю реабилитацию больных.</w:t>
      </w:r>
    </w:p>
    <w:p>
      <w:pPr>
        <w:pStyle w:val="BodyText"/>
        <w:spacing w:line="360" w:lineRule="auto" w:before="204"/>
        <w:ind w:left="122" w:right="98" w:firstLine="139"/>
        <w:jc w:val="both"/>
      </w:pPr>
      <w:r>
        <w:rPr/>
        <w:t>Интраоперационная кровопотеря в </w:t>
      </w:r>
      <w:r>
        <w:rPr>
          <w:spacing w:val="2"/>
        </w:rPr>
        <w:t>1-й </w:t>
      </w:r>
      <w:r>
        <w:rPr/>
        <w:t>группе больных составила в среднем 40 мл, в то время как во 2-й группе - 300 мл (p = 0,0005). (Рис.  4.16)</w:t>
      </w:r>
    </w:p>
    <w:p>
      <w:pPr>
        <w:pStyle w:val="BodyText"/>
        <w:spacing w:before="204"/>
        <w:ind w:right="101"/>
        <w:jc w:val="right"/>
      </w:pPr>
      <w:r>
        <w:rPr/>
        <w:t>Рисунок 4.16</w:t>
      </w:r>
    </w:p>
    <w:p>
      <w:pPr>
        <w:pStyle w:val="BodyText"/>
        <w:spacing w:before="5"/>
        <w:rPr>
          <w:sz w:val="31"/>
        </w:rPr>
      </w:pPr>
    </w:p>
    <w:p>
      <w:pPr>
        <w:pStyle w:val="BodyText"/>
        <w:ind w:left="1946"/>
      </w:pPr>
      <w:r>
        <w:rPr/>
        <w:t>Показатели интраоперационной кровопотери</w:t>
      </w:r>
    </w:p>
    <w:p>
      <w:pPr>
        <w:pStyle w:val="BodyText"/>
        <w:spacing w:before="9"/>
        <w:rPr>
          <w:sz w:val="27"/>
        </w:rPr>
      </w:pPr>
      <w:r>
        <w:rPr/>
        <w:pict>
          <v:group style="position:absolute;margin-left:84.675003pt;margin-top:17.96978pt;width:432.95pt;height:231.05pt;mso-position-horizontal-relative:page;mso-position-vertical-relative:paragraph;z-index:5728;mso-wrap-distance-left:0;mso-wrap-distance-right:0" coordorigin="1694,359" coordsize="8659,4621">
            <v:line style="position:absolute" from="8928,3795" to="10034,3795" stroked="true" strokeweight=".72pt" strokecolor="#858585">
              <v:stroke dashstyle="solid"/>
            </v:line>
            <v:line style="position:absolute" from="2657,3795" to="7452,3795" stroked="true" strokeweight=".72pt" strokecolor="#858585">
              <v:stroke dashstyle="solid"/>
            </v:line>
            <v:line style="position:absolute" from="8928,3351" to="10034,3351" stroked="true" strokeweight=".72pt" strokecolor="#858585">
              <v:stroke dashstyle="solid"/>
            </v:line>
            <v:line style="position:absolute" from="2657,3351" to="7452,3351" stroked="true" strokeweight=".72pt" strokecolor="#858585">
              <v:stroke dashstyle="solid"/>
            </v:line>
            <v:line style="position:absolute" from="8928,2907" to="10034,2907" stroked="true" strokeweight=".72pt" strokecolor="#858585">
              <v:stroke dashstyle="solid"/>
            </v:line>
            <v:line style="position:absolute" from="2657,2907" to="7452,2907" stroked="true" strokeweight=".72pt" strokecolor="#858585">
              <v:stroke dashstyle="solid"/>
            </v:line>
            <v:line style="position:absolute" from="8928,2463" to="10034,2463" stroked="true" strokeweight=".72pt" strokecolor="#858585">
              <v:stroke dashstyle="solid"/>
            </v:line>
            <v:line style="position:absolute" from="2657,2463" to="7452,2463" stroked="true" strokeweight=".72pt" strokecolor="#858585">
              <v:stroke dashstyle="solid"/>
            </v:line>
            <v:line style="position:absolute" from="8928,2019" to="10034,2019" stroked="true" strokeweight=".72pt" strokecolor="#858585">
              <v:stroke dashstyle="solid"/>
            </v:line>
            <v:line style="position:absolute" from="2657,2019" to="7452,2019" stroked="true" strokeweight=".72pt" strokecolor="#858585">
              <v:stroke dashstyle="solid"/>
            </v:line>
            <v:rect style="position:absolute;left:7452;top:1709;width:1476;height:2530" filled="true" fillcolor="#4f81bc" stroked="false">
              <v:fill type="solid"/>
            </v:rect>
            <v:line style="position:absolute" from="2657,1575" to="10034,1575" stroked="true" strokeweight=".72pt" strokecolor="#858585">
              <v:stroke dashstyle="solid"/>
            </v:line>
            <v:line style="position:absolute" from="2657,4239" to="2657,1575" stroked="true" strokeweight=".72pt" strokecolor="#858585">
              <v:stroke dashstyle="solid"/>
            </v:line>
            <v:line style="position:absolute" from="2594,4239" to="2657,4239" stroked="true" strokeweight=".72pt" strokecolor="#858585">
              <v:stroke dashstyle="solid"/>
            </v:line>
            <v:line style="position:absolute" from="2594,3795" to="2657,3795" stroked="true" strokeweight=".72pt" strokecolor="#858585">
              <v:stroke dashstyle="solid"/>
            </v:line>
            <v:line style="position:absolute" from="2594,3351" to="2657,3351" stroked="true" strokeweight=".72pt" strokecolor="#858585">
              <v:stroke dashstyle="solid"/>
            </v:line>
            <v:line style="position:absolute" from="2594,2907" to="2657,2907" stroked="true" strokeweight=".72pt" strokecolor="#858585">
              <v:stroke dashstyle="solid"/>
            </v:line>
            <v:line style="position:absolute" from="2594,2463" to="2657,2463" stroked="true" strokeweight=".72pt" strokecolor="#858585">
              <v:stroke dashstyle="solid"/>
            </v:line>
            <v:line style="position:absolute" from="2594,2019" to="2657,2019" stroked="true" strokeweight=".72pt" strokecolor="#858585">
              <v:stroke dashstyle="solid"/>
            </v:line>
            <v:line style="position:absolute" from="2594,1575" to="2657,1575" stroked="true" strokeweight=".72pt" strokecolor="#858585">
              <v:stroke dashstyle="solid"/>
            </v:line>
            <v:rect style="position:absolute;left:3763;top:3896;width:1476;height:343" filled="true" fillcolor="#4f81bc" stroked="false">
              <v:fill type="solid"/>
            </v:rect>
            <v:line style="position:absolute" from="2657,4239" to="10034,4239" stroked="true" strokeweight=".72pt" strokecolor="#858585">
              <v:stroke dashstyle="solid"/>
            </v:line>
            <v:rect style="position:absolute;left:1701;top:367;width:8644;height:4606" filled="false" stroked="true" strokeweight=".75pt" strokecolor="#858585">
              <v:stroke dashstyle="solid"/>
            </v:rect>
            <v:shape style="position:absolute;left:2145;top:823;width:352;height:861" type="#_x0000_t202" filled="false" stroked="false">
              <v:textbox inset="0,0,0,0">
                <w:txbxContent>
                  <w:p>
                    <w:pPr>
                      <w:spacing w:before="0"/>
                      <w:ind w:left="0" w:right="0" w:firstLine="59"/>
                      <w:jc w:val="left"/>
                      <w:rPr>
                        <w:rFonts w:ascii="Cambria" w:hAnsi="Cambria"/>
                        <w:sz w:val="22"/>
                      </w:rPr>
                    </w:pPr>
                    <w:r>
                      <w:rPr>
                        <w:rFonts w:ascii="Cambria" w:hAnsi="Cambria"/>
                        <w:sz w:val="22"/>
                      </w:rPr>
                      <w:t>мл</w:t>
                    </w:r>
                  </w:p>
                  <w:p>
                    <w:pPr>
                      <w:spacing w:line="240" w:lineRule="auto" w:before="10"/>
                      <w:rPr>
                        <w:sz w:val="31"/>
                      </w:rPr>
                    </w:pPr>
                  </w:p>
                  <w:p>
                    <w:pPr>
                      <w:spacing w:before="0"/>
                      <w:ind w:left="0" w:right="0" w:firstLine="0"/>
                      <w:jc w:val="left"/>
                      <w:rPr>
                        <w:rFonts w:ascii="Cambria"/>
                        <w:sz w:val="20"/>
                      </w:rPr>
                    </w:pPr>
                    <w:r>
                      <w:rPr>
                        <w:rFonts w:ascii="Cambria"/>
                        <w:sz w:val="20"/>
                      </w:rPr>
                      <w:t>300</w:t>
                    </w:r>
                  </w:p>
                </w:txbxContent>
              </v:textbox>
              <w10:wrap type="none"/>
            </v:shape>
            <v:shape style="position:absolute;left:8010;top:1318;width:380;height:266" type="#_x0000_t202" filled="false" stroked="false">
              <v:textbox inset="0,0,0,0">
                <w:txbxContent>
                  <w:p>
                    <w:pPr>
                      <w:spacing w:line="266" w:lineRule="exact" w:before="0"/>
                      <w:ind w:left="0" w:right="0" w:firstLine="0"/>
                      <w:jc w:val="left"/>
                      <w:rPr>
                        <w:sz w:val="24"/>
                      </w:rPr>
                    </w:pPr>
                    <w:r>
                      <w:rPr>
                        <w:sz w:val="24"/>
                      </w:rPr>
                      <w:t>300</w:t>
                    </w:r>
                  </w:p>
                </w:txbxContent>
              </v:textbox>
              <w10:wrap type="none"/>
            </v:shape>
            <v:shape style="position:absolute;left:2145;top:1894;width:352;height:2010" type="#_x0000_t202" filled="false" stroked="false">
              <v:textbox inset="0,0,0,0">
                <w:txbxContent>
                  <w:p>
                    <w:pPr>
                      <w:spacing w:line="234" w:lineRule="exact" w:before="0"/>
                      <w:ind w:left="0" w:right="18" w:firstLine="0"/>
                      <w:jc w:val="center"/>
                      <w:rPr>
                        <w:rFonts w:ascii="Cambria"/>
                        <w:sz w:val="20"/>
                      </w:rPr>
                    </w:pPr>
                    <w:r>
                      <w:rPr>
                        <w:rFonts w:ascii="Cambria"/>
                        <w:w w:val="95"/>
                        <w:sz w:val="20"/>
                      </w:rPr>
                      <w:t>250</w:t>
                    </w:r>
                  </w:p>
                  <w:p>
                    <w:pPr>
                      <w:spacing w:line="240" w:lineRule="auto" w:before="2"/>
                      <w:rPr>
                        <w:sz w:val="18"/>
                      </w:rPr>
                    </w:pPr>
                  </w:p>
                  <w:p>
                    <w:pPr>
                      <w:spacing w:before="0"/>
                      <w:ind w:left="0" w:right="18" w:firstLine="0"/>
                      <w:jc w:val="center"/>
                      <w:rPr>
                        <w:rFonts w:ascii="Cambria"/>
                        <w:sz w:val="20"/>
                      </w:rPr>
                    </w:pPr>
                    <w:r>
                      <w:rPr>
                        <w:rFonts w:ascii="Cambria"/>
                        <w:w w:val="95"/>
                        <w:sz w:val="20"/>
                      </w:rPr>
                      <w:t>200</w:t>
                    </w:r>
                  </w:p>
                  <w:p>
                    <w:pPr>
                      <w:spacing w:line="240" w:lineRule="auto" w:before="2"/>
                      <w:rPr>
                        <w:sz w:val="18"/>
                      </w:rPr>
                    </w:pPr>
                  </w:p>
                  <w:p>
                    <w:pPr>
                      <w:spacing w:before="0"/>
                      <w:ind w:left="0" w:right="18" w:firstLine="0"/>
                      <w:jc w:val="center"/>
                      <w:rPr>
                        <w:rFonts w:ascii="Cambria"/>
                        <w:sz w:val="20"/>
                      </w:rPr>
                    </w:pPr>
                    <w:r>
                      <w:rPr>
                        <w:rFonts w:ascii="Cambria"/>
                        <w:w w:val="95"/>
                        <w:sz w:val="20"/>
                      </w:rPr>
                      <w:t>150</w:t>
                    </w:r>
                  </w:p>
                  <w:p>
                    <w:pPr>
                      <w:spacing w:line="240" w:lineRule="auto" w:before="2"/>
                      <w:rPr>
                        <w:sz w:val="18"/>
                      </w:rPr>
                    </w:pPr>
                  </w:p>
                  <w:p>
                    <w:pPr>
                      <w:spacing w:before="0"/>
                      <w:ind w:left="0" w:right="18" w:firstLine="0"/>
                      <w:jc w:val="center"/>
                      <w:rPr>
                        <w:rFonts w:ascii="Cambria"/>
                        <w:sz w:val="20"/>
                      </w:rPr>
                    </w:pPr>
                    <w:r>
                      <w:rPr>
                        <w:rFonts w:ascii="Cambria"/>
                        <w:w w:val="95"/>
                        <w:sz w:val="20"/>
                      </w:rPr>
                      <w:t>100</w:t>
                    </w:r>
                  </w:p>
                  <w:p>
                    <w:pPr>
                      <w:spacing w:line="240" w:lineRule="auto" w:before="2"/>
                      <w:rPr>
                        <w:sz w:val="18"/>
                      </w:rPr>
                    </w:pPr>
                  </w:p>
                  <w:p>
                    <w:pPr>
                      <w:spacing w:before="0"/>
                      <w:ind w:left="90" w:right="0" w:firstLine="0"/>
                      <w:jc w:val="center"/>
                      <w:rPr>
                        <w:rFonts w:ascii="Cambria"/>
                        <w:sz w:val="20"/>
                      </w:rPr>
                    </w:pPr>
                    <w:r>
                      <w:rPr>
                        <w:rFonts w:ascii="Cambria"/>
                        <w:sz w:val="20"/>
                      </w:rPr>
                      <w:t>50</w:t>
                    </w:r>
                  </w:p>
                </w:txbxContent>
              </v:textbox>
              <w10:wrap type="none"/>
            </v:shape>
            <v:shape style="position:absolute;left:4381;top:3540;width:260;height:266" type="#_x0000_t202" filled="false" stroked="false">
              <v:textbox inset="0,0,0,0">
                <w:txbxContent>
                  <w:p>
                    <w:pPr>
                      <w:spacing w:line="266" w:lineRule="exact" w:before="0"/>
                      <w:ind w:left="0" w:right="0" w:firstLine="0"/>
                      <w:jc w:val="left"/>
                      <w:rPr>
                        <w:sz w:val="24"/>
                      </w:rPr>
                    </w:pPr>
                    <w:r>
                      <w:rPr>
                        <w:sz w:val="24"/>
                      </w:rPr>
                      <w:t>40</w:t>
                    </w:r>
                  </w:p>
                </w:txbxContent>
              </v:textbox>
              <w10:wrap type="none"/>
            </v:shape>
            <v:shape style="position:absolute;left:2366;top:4114;width:131;height:234" type="#_x0000_t202" filled="false" stroked="false">
              <v:textbox inset="0,0,0,0">
                <w:txbxContent>
                  <w:p>
                    <w:pPr>
                      <w:spacing w:line="234" w:lineRule="exact" w:before="0"/>
                      <w:ind w:left="0" w:right="0" w:firstLine="0"/>
                      <w:jc w:val="left"/>
                      <w:rPr>
                        <w:rFonts w:ascii="Cambria"/>
                        <w:sz w:val="20"/>
                      </w:rPr>
                    </w:pPr>
                    <w:r>
                      <w:rPr>
                        <w:rFonts w:ascii="Cambria"/>
                        <w:w w:val="99"/>
                        <w:sz w:val="20"/>
                      </w:rPr>
                      <w:t>0</w:t>
                    </w:r>
                  </w:p>
                </w:txbxContent>
              </v:textbox>
              <w10:wrap type="none"/>
            </v:shape>
            <v:shape style="position:absolute;left:3769;top:4391;width:1424;height:266" type="#_x0000_t202" filled="false" stroked="false">
              <v:textbox inset="0,0,0,0">
                <w:txbxContent>
                  <w:p>
                    <w:pPr>
                      <w:spacing w:line="266" w:lineRule="exact" w:before="0"/>
                      <w:ind w:left="0" w:right="0" w:firstLine="0"/>
                      <w:jc w:val="left"/>
                      <w:rPr>
                        <w:sz w:val="24"/>
                      </w:rPr>
                    </w:pPr>
                    <w:r>
                      <w:rPr>
                        <w:sz w:val="24"/>
                      </w:rPr>
                      <w:t>лапароскопия</w:t>
                    </w:r>
                  </w:p>
                </w:txbxContent>
              </v:textbox>
              <w10:wrap type="none"/>
            </v:shape>
            <v:shape style="position:absolute;left:7536;top:4391;width:1326;height:266" type="#_x0000_t202" filled="false" stroked="false">
              <v:textbox inset="0,0,0,0">
                <w:txbxContent>
                  <w:p>
                    <w:pPr>
                      <w:spacing w:line="266" w:lineRule="exact" w:before="0"/>
                      <w:ind w:left="0" w:right="0" w:firstLine="0"/>
                      <w:jc w:val="left"/>
                      <w:rPr>
                        <w:sz w:val="24"/>
                      </w:rPr>
                    </w:pPr>
                    <w:r>
                      <w:rPr>
                        <w:sz w:val="24"/>
                      </w:rPr>
                      <w:t>лапаротомия</w:t>
                    </w:r>
                  </w:p>
                </w:txbxContent>
              </v:textbox>
              <w10:wrap type="none"/>
            </v:shape>
            <w10:wrap type="topAndBottom"/>
          </v:group>
        </w:pict>
      </w:r>
    </w:p>
    <w:p>
      <w:pPr>
        <w:pStyle w:val="BodyText"/>
        <w:spacing w:before="10"/>
        <w:rPr>
          <w:sz w:val="30"/>
        </w:rPr>
      </w:pPr>
    </w:p>
    <w:p>
      <w:pPr>
        <w:pStyle w:val="BodyText"/>
        <w:tabs>
          <w:tab w:pos="4727" w:val="left" w:leader="none"/>
        </w:tabs>
        <w:spacing w:line="360" w:lineRule="auto"/>
        <w:ind w:left="122" w:right="107" w:firstLine="707"/>
        <w:jc w:val="right"/>
      </w:pPr>
      <w:r>
        <w:rPr/>
        <w:t>Применение</w:t>
      </w:r>
      <w:r>
        <w:rPr>
          <w:spacing w:val="32"/>
        </w:rPr>
        <w:t> </w:t>
      </w:r>
      <w:r>
        <w:rPr/>
        <w:t>малоинвазивной</w:t>
        <w:tab/>
        <w:t>методики хирургического</w:t>
      </w:r>
      <w:r>
        <w:rPr>
          <w:spacing w:val="70"/>
        </w:rPr>
        <w:t> </w:t>
      </w:r>
      <w:r>
        <w:rPr/>
        <w:t>лечения</w:t>
      </w:r>
      <w:r>
        <w:rPr>
          <w:spacing w:val="36"/>
        </w:rPr>
        <w:t> </w:t>
      </w:r>
      <w:r>
        <w:rPr/>
        <w:t>у</w:t>
      </w:r>
      <w:r>
        <w:rPr>
          <w:w w:val="100"/>
        </w:rPr>
        <w:t> </w:t>
      </w:r>
      <w:r>
        <w:rPr/>
        <w:t>больных раком шейки матки приводило к снижению объема кровопотери</w:t>
      </w:r>
      <w:r>
        <w:rPr>
          <w:spacing w:val="14"/>
        </w:rPr>
        <w:t> </w:t>
      </w:r>
      <w:r>
        <w:rPr/>
        <w:t>в</w:t>
      </w:r>
    </w:p>
    <w:p>
      <w:pPr>
        <w:pStyle w:val="BodyText"/>
        <w:spacing w:line="360" w:lineRule="auto" w:before="5"/>
        <w:ind w:left="122" w:right="107"/>
        <w:jc w:val="both"/>
      </w:pPr>
      <w:r>
        <w:rPr/>
        <w:t>10 раз. Гемотрансфузии выполнены только 2 больным в связи с интраоперационным кровотечением из внутренней подвздошной вены при выполнении лапаротомии.</w:t>
      </w:r>
    </w:p>
    <w:p>
      <w:pPr>
        <w:pStyle w:val="BodyText"/>
        <w:spacing w:line="360" w:lineRule="auto" w:before="204"/>
        <w:ind w:left="122" w:right="101" w:firstLine="278"/>
        <w:jc w:val="both"/>
      </w:pPr>
      <w:r>
        <w:rPr/>
        <w:t>Другие осложнения зафиксированы всего в 5 (3,1%) случаях.  В  основной группе у 1 пациентки произошла коагуляционная травма дистального отдела мочеточника, что потребовало его стентирования.</w:t>
      </w:r>
      <w:r>
        <w:rPr>
          <w:spacing w:val="-20"/>
        </w:rPr>
        <w:t> </w:t>
      </w:r>
      <w:r>
        <w:rPr/>
        <w:t>В</w:t>
      </w:r>
    </w:p>
    <w:p>
      <w:pPr>
        <w:spacing w:after="0" w:line="360" w:lineRule="auto"/>
        <w:jc w:val="both"/>
        <w:sectPr>
          <w:pgSz w:w="11900" w:h="16850"/>
          <w:pgMar w:header="712" w:footer="0" w:top="1020" w:bottom="280" w:left="1580" w:right="1020"/>
        </w:sectPr>
      </w:pPr>
    </w:p>
    <w:p>
      <w:pPr>
        <w:pStyle w:val="BodyText"/>
        <w:rPr>
          <w:sz w:val="20"/>
        </w:rPr>
      </w:pPr>
    </w:p>
    <w:p>
      <w:pPr>
        <w:pStyle w:val="BodyText"/>
        <w:rPr>
          <w:sz w:val="20"/>
        </w:rPr>
      </w:pPr>
    </w:p>
    <w:p>
      <w:pPr>
        <w:pStyle w:val="BodyText"/>
        <w:spacing w:line="360" w:lineRule="auto" w:before="224"/>
        <w:ind w:left="122" w:right="101"/>
        <w:jc w:val="both"/>
      </w:pPr>
      <w:r>
        <w:rPr/>
        <w:t>группе больных, у которых радикальная гистерэктомия выполнялась открытым доступом, повреждение мочеточника имело место у 2  больных  и потребовало выполнения дополнительных реконструктивных операций:  в одном случае формирования уретеро-уретероанастомоза, в другом - уретеро-цистоанастомоза.</w:t>
      </w:r>
    </w:p>
    <w:p>
      <w:pPr>
        <w:pStyle w:val="BodyText"/>
        <w:spacing w:line="360" w:lineRule="auto" w:before="204"/>
        <w:ind w:left="122" w:right="100" w:firstLine="487"/>
        <w:jc w:val="both"/>
      </w:pPr>
      <w:r>
        <w:rPr/>
        <w:t>Следует остановиться также и на особенностях течения ближайшего послеоперационного периода. Более благоприятное течение послеоперационного периода отмечено у больных основной группы. Активизация больных в этой группе наступала в первые сутки, со вторых суток восстанавливалась перистальтика кишечника. В контрольной группе у 46 пациенток (53,5%) отмечался длительный послеоперационный парез кишечника, потребовавший проведения консервативной терапии. Восстановление самостоятельного мочеиспускания у большинства больных после лапароскопических операций происходило на </w:t>
      </w:r>
      <w:r>
        <w:rPr>
          <w:spacing w:val="2"/>
        </w:rPr>
        <w:t>3-4 </w:t>
      </w:r>
      <w:r>
        <w:rPr/>
        <w:t>сутки после операции. На наш взгляд, это обусловлено  сохранением вегетативной иннервации органов малого таза при выполнении нервосберегающей операции (Рис.</w:t>
      </w:r>
      <w:r>
        <w:rPr>
          <w:spacing w:val="-16"/>
        </w:rPr>
        <w:t> </w:t>
      </w:r>
      <w:r>
        <w:rPr/>
        <w:t>4.17).</w:t>
      </w:r>
    </w:p>
    <w:p>
      <w:pPr>
        <w:pStyle w:val="BodyText"/>
        <w:spacing w:before="204"/>
        <w:ind w:left="7640"/>
      </w:pPr>
      <w:r>
        <w:rPr/>
        <w:t>Рисунок 4.17</w:t>
      </w:r>
    </w:p>
    <w:p>
      <w:pPr>
        <w:pStyle w:val="BodyText"/>
        <w:spacing w:before="5"/>
        <w:rPr>
          <w:sz w:val="31"/>
        </w:rPr>
      </w:pPr>
    </w:p>
    <w:p>
      <w:pPr>
        <w:pStyle w:val="BodyText"/>
        <w:ind w:left="1139"/>
      </w:pPr>
      <w:r>
        <w:rPr/>
        <w:t>Длительность атонии мочевого пузыря  в зависимости от метода</w:t>
      </w:r>
    </w:p>
    <w:p>
      <w:pPr>
        <w:pStyle w:val="BodyText"/>
        <w:spacing w:before="160"/>
        <w:ind w:left="257" w:right="240"/>
        <w:jc w:val="center"/>
      </w:pPr>
      <w:r>
        <w:rPr/>
        <w:pict>
          <v:group style="position:absolute;margin-left:84.675003pt;margin-top:46.04031pt;width:432.95pt;height:168pt;mso-position-horizontal-relative:page;mso-position-vertical-relative:paragraph;z-index:5920" coordorigin="1694,921" coordsize="8659,3360">
            <v:shape style="position:absolute;left:2752;top:1094;width:6847;height:2074" type="#_x0000_t75" stroked="false">
              <v:imagedata r:id="rId144" o:title=""/>
            </v:shape>
            <v:rect style="position:absolute;left:1701;top:928;width:8644;height:3345" filled="false" stroked="true" strokeweight=".75pt" strokecolor="#858585">
              <v:stroke dashstyle="solid"/>
            </v:rect>
            <v:shape style="position:absolute;left:3721;top:3243;width:120;height:221" type="#_x0000_t202" filled="false" stroked="false">
              <v:textbox inset="0,0,0,0">
                <w:txbxContent>
                  <w:p>
                    <w:pPr>
                      <w:spacing w:line="221" w:lineRule="exact" w:before="0"/>
                      <w:ind w:left="0" w:right="0" w:firstLine="0"/>
                      <w:jc w:val="left"/>
                      <w:rPr>
                        <w:b/>
                        <w:sz w:val="20"/>
                      </w:rPr>
                    </w:pPr>
                    <w:r>
                      <w:rPr>
                        <w:b/>
                        <w:w w:val="99"/>
                        <w:sz w:val="20"/>
                      </w:rPr>
                      <w:t>5</w:t>
                    </w:r>
                  </w:p>
                </w:txbxContent>
              </v:textbox>
              <w10:wrap type="none"/>
            </v:shape>
            <v:shape style="position:absolute;left:4717;top:3243;width:120;height:221" type="#_x0000_t202" filled="false" stroked="false">
              <v:textbox inset="0,0,0,0">
                <w:txbxContent>
                  <w:p>
                    <w:pPr>
                      <w:spacing w:line="221" w:lineRule="exact" w:before="0"/>
                      <w:ind w:left="0" w:right="0" w:firstLine="0"/>
                      <w:jc w:val="left"/>
                      <w:rPr>
                        <w:b/>
                        <w:sz w:val="20"/>
                      </w:rPr>
                    </w:pPr>
                    <w:r>
                      <w:rPr>
                        <w:b/>
                        <w:w w:val="99"/>
                        <w:sz w:val="20"/>
                      </w:rPr>
                      <w:t>7</w:t>
                    </w:r>
                  </w:p>
                </w:txbxContent>
              </v:textbox>
              <w10:wrap type="none"/>
            </v:shape>
            <v:shape style="position:absolute;left:7109;top:3243;width:221;height:221" type="#_x0000_t202" filled="false" stroked="false">
              <v:textbox inset="0,0,0,0">
                <w:txbxContent>
                  <w:p>
                    <w:pPr>
                      <w:spacing w:line="221" w:lineRule="exact" w:before="0"/>
                      <w:ind w:left="0" w:right="0" w:firstLine="0"/>
                      <w:jc w:val="left"/>
                      <w:rPr>
                        <w:b/>
                        <w:sz w:val="20"/>
                      </w:rPr>
                    </w:pPr>
                    <w:r>
                      <w:rPr>
                        <w:b/>
                        <w:sz w:val="20"/>
                      </w:rPr>
                      <w:t>12</w:t>
                    </w:r>
                  </w:p>
                </w:txbxContent>
              </v:textbox>
              <w10:wrap type="none"/>
            </v:shape>
            <v:shape style="position:absolute;left:8006;top:3243;width:221;height:221" type="#_x0000_t202" filled="false" stroked="false">
              <v:textbox inset="0,0,0,0">
                <w:txbxContent>
                  <w:p>
                    <w:pPr>
                      <w:spacing w:line="221" w:lineRule="exact" w:before="0"/>
                      <w:ind w:left="0" w:right="0" w:firstLine="0"/>
                      <w:jc w:val="left"/>
                      <w:rPr>
                        <w:b/>
                        <w:sz w:val="20"/>
                      </w:rPr>
                    </w:pPr>
                    <w:r>
                      <w:rPr>
                        <w:b/>
                        <w:sz w:val="20"/>
                      </w:rPr>
                      <w:t>18</w:t>
                    </w:r>
                  </w:p>
                </w:txbxContent>
              </v:textbox>
              <w10:wrap type="none"/>
            </v:shape>
            <v:shape style="position:absolute;left:4362;top:3473;width:3235;height:221" type="#_x0000_t202" filled="false" stroked="false">
              <v:textbox inset="0,0,0,0">
                <w:txbxContent>
                  <w:p>
                    <w:pPr>
                      <w:spacing w:line="221" w:lineRule="exact" w:before="0"/>
                      <w:ind w:left="0" w:right="0" w:firstLine="0"/>
                      <w:jc w:val="left"/>
                      <w:rPr>
                        <w:b/>
                        <w:sz w:val="20"/>
                      </w:rPr>
                    </w:pPr>
                    <w:r>
                      <w:rPr>
                        <w:b/>
                        <w:sz w:val="20"/>
                      </w:rPr>
                      <w:t>сутки послеоперационного периода</w:t>
                    </w:r>
                  </w:p>
                </w:txbxContent>
              </v:textbox>
              <w10:wrap type="none"/>
            </v:shape>
            <v:shape style="position:absolute;left:2602;top:3896;width:1349;height:259" type="#_x0000_t202" filled="false" stroked="false">
              <v:textbox inset="0,0,0,0">
                <w:txbxContent>
                  <w:p>
                    <w:pPr>
                      <w:spacing w:before="0"/>
                      <w:ind w:left="0" w:right="0" w:firstLine="0"/>
                      <w:jc w:val="left"/>
                      <w:rPr>
                        <w:rFonts w:ascii="Cambria" w:hAnsi="Cambria"/>
                        <w:sz w:val="22"/>
                      </w:rPr>
                    </w:pPr>
                    <w:r>
                      <w:rPr>
                        <w:rFonts w:ascii="Cambria" w:hAnsi="Cambria"/>
                        <w:sz w:val="22"/>
                      </w:rPr>
                      <w:t>Лапроскопия</w:t>
                    </w:r>
                  </w:p>
                </w:txbxContent>
              </v:textbox>
              <w10:wrap type="none"/>
            </v:shape>
            <v:shape style="position:absolute;left:6971;top:3896;width:1376;height:259" type="#_x0000_t202" filled="false" stroked="false">
              <v:textbox inset="0,0,0,0">
                <w:txbxContent>
                  <w:p>
                    <w:pPr>
                      <w:spacing w:before="0"/>
                      <w:ind w:left="0" w:right="0" w:firstLine="0"/>
                      <w:jc w:val="left"/>
                      <w:rPr>
                        <w:rFonts w:ascii="Cambria" w:hAnsi="Cambria"/>
                        <w:sz w:val="22"/>
                      </w:rPr>
                    </w:pPr>
                    <w:r>
                      <w:rPr>
                        <w:rFonts w:ascii="Cambria" w:hAnsi="Cambria"/>
                        <w:sz w:val="22"/>
                      </w:rPr>
                      <w:t>Лапаротомия</w:t>
                    </w:r>
                  </w:p>
                </w:txbxContent>
              </v:textbox>
              <w10:wrap type="none"/>
            </v:shape>
            <w10:wrap type="none"/>
          </v:group>
        </w:pict>
      </w:r>
      <w:r>
        <w:rPr/>
        <w:pict>
          <v:shape style="position:absolute;margin-left:125.894508pt;margin-top:65.547791pt;width:13.05pt;height:91.05pt;mso-position-horizontal-relative:page;mso-position-vertical-relative:paragraph;z-index:5944" type="#_x0000_t202" filled="false" stroked="false">
            <v:textbox inset="0,0,0,0" style="layout-flow:vertical;mso-layout-flow-alt:bottom-to-top">
              <w:txbxContent>
                <w:p>
                  <w:pPr>
                    <w:spacing w:before="10"/>
                    <w:ind w:left="20" w:right="-568" w:firstLine="0"/>
                    <w:jc w:val="left"/>
                    <w:rPr>
                      <w:b/>
                      <w:sz w:val="20"/>
                    </w:rPr>
                  </w:pPr>
                  <w:r>
                    <w:rPr>
                      <w:b/>
                      <w:w w:val="99"/>
                      <w:sz w:val="20"/>
                    </w:rPr>
                    <w:t>Чи</w:t>
                  </w:r>
                  <w:r>
                    <w:rPr>
                      <w:b/>
                      <w:w w:val="99"/>
                      <w:sz w:val="20"/>
                    </w:rPr>
                    <w:t>с</w:t>
                  </w:r>
                  <w:r>
                    <w:rPr>
                      <w:b/>
                      <w:spacing w:val="1"/>
                      <w:w w:val="99"/>
                      <w:sz w:val="20"/>
                    </w:rPr>
                    <w:t>л</w:t>
                  </w:r>
                  <w:r>
                    <w:rPr>
                      <w:b/>
                      <w:w w:val="99"/>
                      <w:sz w:val="20"/>
                    </w:rPr>
                    <w:t>о</w:t>
                  </w:r>
                  <w:r>
                    <w:rPr>
                      <w:b/>
                      <w:spacing w:val="-4"/>
                      <w:sz w:val="20"/>
                    </w:rPr>
                    <w:t> </w:t>
                  </w:r>
                  <w:r>
                    <w:rPr>
                      <w:b/>
                      <w:spacing w:val="1"/>
                      <w:w w:val="99"/>
                      <w:sz w:val="20"/>
                    </w:rPr>
                    <w:t>бо</w:t>
                  </w:r>
                  <w:r>
                    <w:rPr>
                      <w:b/>
                      <w:w w:val="99"/>
                      <w:sz w:val="20"/>
                    </w:rPr>
                    <w:t>льн</w:t>
                  </w:r>
                  <w:r>
                    <w:rPr>
                      <w:b/>
                      <w:w w:val="99"/>
                      <w:sz w:val="20"/>
                    </w:rPr>
                    <w:t>ых</w:t>
                  </w:r>
                  <w:r>
                    <w:rPr>
                      <w:b/>
                      <w:spacing w:val="-1"/>
                      <w:sz w:val="20"/>
                    </w:rPr>
                    <w:t> </w:t>
                  </w:r>
                  <w:r>
                    <w:rPr>
                      <w:b/>
                      <w:w w:val="99"/>
                      <w:sz w:val="20"/>
                    </w:rPr>
                    <w:t>(%)</w:t>
                  </w:r>
                </w:p>
              </w:txbxContent>
            </v:textbox>
            <w10:wrap type="none"/>
          </v:shape>
        </w:pict>
      </w:r>
      <w:r>
        <w:rPr/>
        <w:t>лечения</w:t>
      </w:r>
    </w:p>
    <w:p>
      <w:pPr>
        <w:spacing w:after="0"/>
        <w:jc w:val="center"/>
        <w:sectPr>
          <w:pgSz w:w="11900" w:h="16850"/>
          <w:pgMar w:header="712" w:footer="0" w:top="1020" w:bottom="280" w:left="1580" w:right="1020"/>
        </w:sectPr>
      </w:pPr>
    </w:p>
    <w:p>
      <w:pPr>
        <w:pStyle w:val="BodyText"/>
        <w:rPr>
          <w:sz w:val="20"/>
        </w:rPr>
      </w:pPr>
    </w:p>
    <w:p>
      <w:pPr>
        <w:pStyle w:val="BodyText"/>
        <w:rPr>
          <w:sz w:val="20"/>
        </w:rPr>
      </w:pPr>
    </w:p>
    <w:p>
      <w:pPr>
        <w:pStyle w:val="BodyText"/>
        <w:spacing w:line="360" w:lineRule="auto" w:before="224"/>
        <w:ind w:left="102" w:right="106" w:firstLine="851"/>
        <w:jc w:val="both"/>
      </w:pPr>
      <w:r>
        <w:rPr/>
        <w:t>Наиболее частым осложнением подвздошной лимфодиссекции является развитие лимфореи и формирование лимфатических кист. Эти осложнения с одинаковой частотой встретились как после лапароскопических, так и после открытых операций (12,5 и 10% соответственно).</w:t>
      </w:r>
    </w:p>
    <w:p>
      <w:pPr>
        <w:pStyle w:val="BodyText"/>
        <w:spacing w:line="360" w:lineRule="auto" w:before="204"/>
        <w:ind w:left="102" w:right="100" w:firstLine="851"/>
        <w:jc w:val="both"/>
      </w:pPr>
      <w:r>
        <w:rPr/>
        <w:t>Сроки госпитализации оказались достоверно меньше при выборе лапароскопического доступа: 94% больных были выписаны на 7-10-е сутки после операции. Длительность госпитализации больных при выполнении лапаротомии в среднем составила 26 дней (p &lt; 0,05).</w:t>
      </w:r>
    </w:p>
    <w:p>
      <w:pPr>
        <w:pStyle w:val="BodyText"/>
        <w:spacing w:line="362" w:lineRule="auto" w:before="204"/>
        <w:ind w:left="102" w:right="100" w:firstLine="851"/>
        <w:jc w:val="both"/>
      </w:pPr>
      <w:r>
        <w:rPr/>
        <w:t>Адъювантная лучевая или химио-лучевая терапия проведена 32% больным по стандартным показаниям и методикам.</w:t>
      </w:r>
    </w:p>
    <w:p>
      <w:pPr>
        <w:pStyle w:val="BodyText"/>
        <w:rPr>
          <w:sz w:val="30"/>
        </w:rPr>
      </w:pPr>
    </w:p>
    <w:p>
      <w:pPr>
        <w:pStyle w:val="BodyText"/>
        <w:rPr>
          <w:sz w:val="30"/>
        </w:rPr>
      </w:pPr>
    </w:p>
    <w:p>
      <w:pPr>
        <w:pStyle w:val="BodyText"/>
        <w:rPr>
          <w:sz w:val="30"/>
        </w:rPr>
      </w:pPr>
    </w:p>
    <w:p>
      <w:pPr>
        <w:pStyle w:val="BodyText"/>
        <w:rPr>
          <w:sz w:val="30"/>
        </w:rPr>
      </w:pPr>
    </w:p>
    <w:p>
      <w:pPr>
        <w:pStyle w:val="Heading1"/>
        <w:numPr>
          <w:ilvl w:val="2"/>
          <w:numId w:val="27"/>
        </w:numPr>
        <w:tabs>
          <w:tab w:pos="1995" w:val="left" w:leader="none"/>
        </w:tabs>
        <w:spacing w:line="240" w:lineRule="auto" w:before="192" w:after="0"/>
        <w:ind w:left="1994" w:right="0" w:hanging="700"/>
        <w:jc w:val="left"/>
      </w:pPr>
      <w:r>
        <w:rPr/>
        <w:t>Ближайшие и отдаленные результаты</w:t>
      </w:r>
      <w:r>
        <w:rPr>
          <w:spacing w:val="-10"/>
        </w:rPr>
        <w:t> </w:t>
      </w:r>
      <w:r>
        <w:rPr/>
        <w:t>лечения</w:t>
      </w:r>
    </w:p>
    <w:p>
      <w:pPr>
        <w:pStyle w:val="BodyText"/>
        <w:rPr>
          <w:b/>
          <w:sz w:val="30"/>
        </w:rPr>
      </w:pPr>
    </w:p>
    <w:p>
      <w:pPr>
        <w:pStyle w:val="BodyText"/>
        <w:rPr>
          <w:b/>
          <w:sz w:val="30"/>
        </w:rPr>
      </w:pPr>
    </w:p>
    <w:p>
      <w:pPr>
        <w:pStyle w:val="BodyText"/>
        <w:spacing w:before="5"/>
        <w:rPr>
          <w:b/>
          <w:sz w:val="30"/>
        </w:rPr>
      </w:pPr>
    </w:p>
    <w:p>
      <w:pPr>
        <w:pStyle w:val="BodyText"/>
        <w:spacing w:line="360" w:lineRule="auto" w:before="1"/>
        <w:ind w:left="102" w:right="98" w:firstLine="707"/>
        <w:jc w:val="both"/>
      </w:pPr>
      <w:r>
        <w:rPr/>
        <w:t>Все больные, вошедшие в данный раздел работы были прослежены в сроки от 24 до 36 мес. За время наблюдения зарегистрировано 4 (5,3%) рецидива заболевания после лапароскопических радикальных гистерэктомий по поводу рака шейки матки I стадии. У 3-х больных через 6, 7 и 17 месяцев после комбинированного лечения развился местный рецидив. У одной пациентки выявлено метастатическое поражение обоих легких. После радикальных гистерэктомий, выполненных лапаротомным доступом зарегистрировано 4 (4,7%) местных рецидива заболевания через 6, 11, 12 и 18 месяцев после комбинированного лечения. Таким образом, частота рецидивов заболевания оказалась одинаковой в обеих группах</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tabs>
          <w:tab w:pos="1443" w:val="left" w:leader="none"/>
          <w:tab w:pos="2479" w:val="left" w:leader="none"/>
          <w:tab w:pos="4024" w:val="left" w:leader="none"/>
          <w:tab w:pos="5982" w:val="left" w:leader="none"/>
          <w:tab w:pos="7386" w:val="left" w:leader="none"/>
          <w:tab w:pos="8097" w:val="left" w:leader="none"/>
          <w:tab w:pos="8471" w:val="left" w:leader="none"/>
        </w:tabs>
        <w:spacing w:line="360" w:lineRule="auto" w:before="224"/>
        <w:ind w:left="122" w:right="438"/>
      </w:pPr>
      <w:r>
        <w:rPr/>
        <w:t>больных.</w:t>
        <w:tab/>
        <w:t>Общая</w:t>
        <w:tab/>
        <w:t>трехлетняя</w:t>
        <w:tab/>
        <w:t>выживаемость</w:t>
        <w:tab/>
        <w:t>составила</w:t>
        <w:tab/>
        <w:t>98,7</w:t>
        <w:tab/>
        <w:t>и</w:t>
        <w:tab/>
        <w:t>96,5% соответственно (Рис.</w:t>
      </w:r>
      <w:r>
        <w:rPr>
          <w:spacing w:val="-6"/>
        </w:rPr>
        <w:t> </w:t>
      </w:r>
      <w:r>
        <w:rPr/>
        <w:t>4.18)</w:t>
      </w:r>
    </w:p>
    <w:p>
      <w:pPr>
        <w:pStyle w:val="BodyText"/>
        <w:rPr>
          <w:sz w:val="30"/>
        </w:rPr>
      </w:pPr>
    </w:p>
    <w:p>
      <w:pPr>
        <w:pStyle w:val="BodyText"/>
        <w:rPr>
          <w:sz w:val="30"/>
        </w:rPr>
      </w:pPr>
    </w:p>
    <w:p>
      <w:pPr>
        <w:pStyle w:val="BodyText"/>
        <w:spacing w:line="508" w:lineRule="auto" w:before="198"/>
        <w:ind w:left="1281" w:right="427" w:firstLine="6356"/>
      </w:pPr>
      <w:r>
        <w:rPr/>
        <w:t>Рисунок 4.18 Трехлетняя  выживаемость больных раком шейки матки</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pStyle w:val="ListParagraph"/>
        <w:numPr>
          <w:ilvl w:val="0"/>
          <w:numId w:val="28"/>
        </w:numPr>
        <w:tabs>
          <w:tab w:pos="7881" w:val="left" w:leader="none"/>
        </w:tabs>
        <w:spacing w:line="240" w:lineRule="auto" w:before="89" w:after="0"/>
        <w:ind w:left="7880" w:right="109" w:hanging="163"/>
        <w:jc w:val="right"/>
        <w:rPr>
          <w:sz w:val="28"/>
        </w:rPr>
      </w:pPr>
      <w:r>
        <w:rPr/>
        <w:pict>
          <v:group style="position:absolute;margin-left:84.675003pt;margin-top:-14.214697pt;width:369.8pt;height:192.5pt;mso-position-horizontal-relative:page;mso-position-vertical-relative:paragraph;z-index:6040" coordorigin="1694,-284" coordsize="7396,3850">
            <v:shape style="position:absolute;left:2292;top:-159;width:5873;height:3497" coordorigin="2292,-159" coordsize="5873,3497" path="m2354,1557l8165,1557m2354,-159l8165,-159m2354,3275l2354,-159m2292,3275l2354,3275m2292,1557l2354,1557m2292,-159l2354,-159m2354,3275l8165,3275m2354,3275l2354,3337m3806,3275l3806,3337m5261,3275l5261,3337m6713,3275l6713,3337m8165,3275l8165,3337e" filled="false" stroked="true" strokeweight=".72pt" strokecolor="#858585">
              <v:path arrowok="t"/>
              <v:stroke dashstyle="solid"/>
            </v:shape>
            <v:shape style="position:absolute;left:3080;top:-161;width:4359;height:224" coordorigin="3080,-161" coordsize="4359,224" path="m3080,-161l4532,63,5987,63,7439,63e" filled="false" stroked="true" strokeweight="3.72pt" strokecolor="#943937">
              <v:path arrowok="t"/>
              <v:stroke dashstyle="solid"/>
            </v:shape>
            <v:shape style="position:absolute;left:1701;top:-277;width:7381;height:3835" coordorigin="1701,-277" coordsize="7381,3835" path="m1701,3558l9082,3558m9082,-277l1701,-277,1701,3558e" filled="false" stroked="true" strokeweight=".75pt" strokecolor="#4f81bc">
              <v:path arrowok="t"/>
              <v:stroke dashstyle="solid"/>
            </v:shape>
            <v:shape style="position:absolute;left:3077;top:-39;width:4279;height:554" type="#_x0000_t75" stroked="false">
              <v:imagedata r:id="rId146" o:title=""/>
            </v:shape>
            <v:line style="position:absolute" from="3146,27" to="7286,387" stroked="true" strokeweight="3pt" strokecolor="#4f81bc">
              <v:stroke dashstyle="solid"/>
            </v:line>
            <v:shape style="position:absolute;left:8652;top:690;width:430;height:326" type="#_x0000_t75" stroked="false">
              <v:imagedata r:id="rId147" o:title=""/>
            </v:shape>
            <v:shape style="position:absolute;left:8803;top:897;width:134;height:134" type="#_x0000_t75" stroked="false">
              <v:imagedata r:id="rId148" o:title=""/>
            </v:shape>
            <v:shape style="position:absolute;left:8726;top:728;width:356;height:177" type="#_x0000_t75" stroked="false">
              <v:imagedata r:id="rId149" o:title=""/>
            </v:shape>
            <v:shape style="position:absolute;left:8726;top:728;width:356;height:177" coordorigin="8726,728" coordsize="356,177" path="m8726,905l9082,905m9082,728l8726,728,8726,905e" filled="false" stroked="true" strokeweight=".75pt" strokecolor="#497dba">
              <v:path arrowok="t"/>
              <v:stroke dashstyle="solid"/>
            </v:shape>
            <v:shape style="position:absolute;left:8652;top:157;width:430;height:326" type="#_x0000_t75" stroked="false">
              <v:imagedata r:id="rId150" o:title=""/>
            </v:shape>
            <v:rect style="position:absolute;left:8726;top:197;width:356;height:177" filled="true" fillcolor="#ff0000" stroked="false">
              <v:fill type="solid"/>
            </v:rect>
            <v:shape style="position:absolute;left:8726;top:197;width:356;height:177" coordorigin="8726,197" coordsize="356,177" path="m8726,374l9082,374m9082,197l8726,197,8726,374e" filled="false" stroked="true" strokeweight=".75pt" strokecolor="#ff0000">
              <v:path arrowok="t"/>
              <v:stroke dashstyle="solid"/>
            </v:shape>
            <v:shape style="position:absolute;left:1842;top:-284;width:352;height:234" type="#_x0000_t202" filled="false" stroked="false">
              <v:textbox inset="0,0,0,0">
                <w:txbxContent>
                  <w:p>
                    <w:pPr>
                      <w:spacing w:line="234" w:lineRule="exact" w:before="0"/>
                      <w:ind w:left="0" w:right="0" w:firstLine="0"/>
                      <w:jc w:val="left"/>
                      <w:rPr>
                        <w:rFonts w:ascii="Cambria"/>
                        <w:sz w:val="20"/>
                      </w:rPr>
                    </w:pPr>
                    <w:r>
                      <w:rPr>
                        <w:rFonts w:ascii="Cambria"/>
                        <w:sz w:val="20"/>
                      </w:rPr>
                      <w:t>100</w:t>
                    </w:r>
                  </w:p>
                </w:txbxContent>
              </v:textbox>
              <w10:wrap type="none"/>
            </v:shape>
            <v:shape style="position:absolute;left:1953;top:1433;width:241;height:234" type="#_x0000_t202" filled="false" stroked="false">
              <v:textbox inset="0,0,0,0">
                <w:txbxContent>
                  <w:p>
                    <w:pPr>
                      <w:spacing w:line="234" w:lineRule="exact" w:before="0"/>
                      <w:ind w:left="0" w:right="0" w:firstLine="0"/>
                      <w:jc w:val="left"/>
                      <w:rPr>
                        <w:rFonts w:ascii="Cambria"/>
                        <w:sz w:val="20"/>
                      </w:rPr>
                    </w:pPr>
                    <w:r>
                      <w:rPr>
                        <w:rFonts w:ascii="Cambria"/>
                        <w:sz w:val="20"/>
                      </w:rPr>
                      <w:t>90</w:t>
                    </w:r>
                  </w:p>
                </w:txbxContent>
              </v:textbox>
              <w10:wrap type="none"/>
            </v:shape>
            <v:shape style="position:absolute;left:1953;top:3150;width:241;height:234" type="#_x0000_t202" filled="false" stroked="false">
              <v:textbox inset="0,0,0,0">
                <w:txbxContent>
                  <w:p>
                    <w:pPr>
                      <w:spacing w:line="234" w:lineRule="exact" w:before="0"/>
                      <w:ind w:left="0" w:right="0" w:firstLine="0"/>
                      <w:jc w:val="left"/>
                      <w:rPr>
                        <w:rFonts w:ascii="Cambria"/>
                        <w:sz w:val="20"/>
                      </w:rPr>
                    </w:pPr>
                    <w:r>
                      <w:rPr>
                        <w:rFonts w:ascii="Cambria"/>
                        <w:sz w:val="20"/>
                      </w:rPr>
                      <w:t>80</w:t>
                    </w:r>
                  </w:p>
                </w:txbxContent>
              </v:textbox>
              <w10:wrap type="none"/>
            </v:shape>
            <w10:wrap type="none"/>
          </v:group>
        </w:pict>
      </w:r>
      <w:r>
        <w:rPr>
          <w:spacing w:val="-1"/>
          <w:sz w:val="28"/>
        </w:rPr>
        <w:t>лапароскопия</w:t>
      </w:r>
    </w:p>
    <w:p>
      <w:pPr>
        <w:pStyle w:val="ListParagraph"/>
        <w:numPr>
          <w:ilvl w:val="0"/>
          <w:numId w:val="28"/>
        </w:numPr>
        <w:tabs>
          <w:tab w:pos="7881" w:val="left" w:leader="none"/>
        </w:tabs>
        <w:spacing w:line="240" w:lineRule="auto" w:before="251" w:after="0"/>
        <w:ind w:left="7880" w:right="221" w:hanging="163"/>
        <w:jc w:val="right"/>
        <w:rPr>
          <w:sz w:val="28"/>
        </w:rPr>
      </w:pPr>
      <w:r>
        <w:rPr>
          <w:spacing w:val="-1"/>
          <w:sz w:val="28"/>
        </w:rPr>
        <w:t>лапаротомия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tabs>
          <w:tab w:pos="4106" w:val="left" w:leader="none"/>
          <w:tab w:pos="6146" w:val="left" w:leader="none"/>
        </w:tabs>
        <w:spacing w:before="0"/>
        <w:ind w:left="1886" w:right="0" w:firstLine="0"/>
        <w:jc w:val="left"/>
        <w:rPr>
          <w:sz w:val="24"/>
        </w:rPr>
      </w:pPr>
      <w:r>
        <w:rPr>
          <w:sz w:val="24"/>
        </w:rPr>
        <w:t>12</w:t>
        <w:tab/>
        <w:t>24</w:t>
        <w:tab/>
        <w:t>36мес</w:t>
      </w:r>
    </w:p>
    <w:p>
      <w:pPr>
        <w:pStyle w:val="BodyText"/>
        <w:rPr>
          <w:sz w:val="20"/>
        </w:rPr>
      </w:pPr>
    </w:p>
    <w:p>
      <w:pPr>
        <w:pStyle w:val="BodyText"/>
        <w:rPr>
          <w:sz w:val="20"/>
        </w:rPr>
      </w:pPr>
    </w:p>
    <w:p>
      <w:pPr>
        <w:pStyle w:val="BodyText"/>
        <w:spacing w:before="4"/>
        <w:rPr>
          <w:sz w:val="23"/>
        </w:rPr>
      </w:pPr>
    </w:p>
    <w:p>
      <w:pPr>
        <w:pStyle w:val="BodyText"/>
        <w:tabs>
          <w:tab w:pos="2661" w:val="left" w:leader="none"/>
          <w:tab w:pos="2792" w:val="left" w:leader="none"/>
        </w:tabs>
        <w:spacing w:line="360" w:lineRule="auto" w:before="89"/>
        <w:ind w:left="122" w:right="445" w:firstLine="69"/>
        <w:jc w:val="both"/>
      </w:pPr>
      <w:r>
        <w:rPr/>
        <w:t>Эту главу завершает оценка качества жизни больных раком шейки матки, получивших</w:t>
        <w:tab/>
        <w:t>хирургическое     лечение   </w:t>
      </w:r>
      <w:r>
        <w:rPr>
          <w:spacing w:val="51"/>
        </w:rPr>
        <w:t> </w:t>
      </w:r>
      <w:r>
        <w:rPr/>
        <w:t>лапароскопической   </w:t>
      </w:r>
      <w:r>
        <w:rPr>
          <w:spacing w:val="59"/>
        </w:rPr>
        <w:t> </w:t>
      </w:r>
      <w:r>
        <w:rPr/>
        <w:t>или</w:t>
      </w:r>
      <w:r>
        <w:rPr>
          <w:w w:val="100"/>
        </w:rPr>
        <w:t> </w:t>
      </w:r>
      <w:r>
        <w:rPr/>
        <w:t>традиционным</w:t>
        <w:tab/>
        <w:tab/>
        <w:t>доступом.    Помимо    стремления   </w:t>
      </w:r>
      <w:r>
        <w:rPr>
          <w:spacing w:val="36"/>
        </w:rPr>
        <w:t> </w:t>
      </w:r>
      <w:r>
        <w:rPr/>
        <w:t>к   </w:t>
      </w:r>
      <w:r>
        <w:rPr>
          <w:spacing w:val="12"/>
        </w:rPr>
        <w:t> </w:t>
      </w:r>
      <w:r>
        <w:rPr/>
        <w:t>достижению</w:t>
      </w:r>
      <w:r>
        <w:rPr>
          <w:w w:val="100"/>
        </w:rPr>
        <w:t> </w:t>
      </w:r>
      <w:r>
        <w:rPr/>
        <w:t>максимально возможных отдаленных результатов лечения, последние годы уделяется все больше внимания качеству жизни онкологических больных (Табл. 4.18,</w:t>
      </w:r>
      <w:r>
        <w:rPr>
          <w:spacing w:val="-6"/>
        </w:rPr>
        <w:t> </w:t>
      </w:r>
      <w:r>
        <w:rPr/>
        <w:t>4.19).</w:t>
      </w:r>
    </w:p>
    <w:p>
      <w:pPr>
        <w:spacing w:after="0" w:line="360" w:lineRule="auto"/>
        <w:jc w:val="both"/>
        <w:sectPr>
          <w:headerReference w:type="default" r:id="rId145"/>
          <w:pgSz w:w="11900" w:h="16850"/>
          <w:pgMar w:header="712" w:footer="0" w:top="1020" w:bottom="280" w:left="1580" w:right="680"/>
          <w:pgNumType w:start="200"/>
        </w:sectPr>
      </w:pPr>
    </w:p>
    <w:p>
      <w:pPr>
        <w:pStyle w:val="BodyText"/>
        <w:rPr>
          <w:sz w:val="20"/>
        </w:rPr>
      </w:pPr>
    </w:p>
    <w:p>
      <w:pPr>
        <w:pStyle w:val="BodyText"/>
        <w:rPr>
          <w:sz w:val="20"/>
        </w:rPr>
      </w:pPr>
    </w:p>
    <w:p>
      <w:pPr>
        <w:pStyle w:val="BodyText"/>
        <w:spacing w:before="224"/>
        <w:ind w:left="7730"/>
      </w:pPr>
      <w:r>
        <w:rPr/>
        <w:t>Таблица 4.18</w:t>
      </w:r>
    </w:p>
    <w:p>
      <w:pPr>
        <w:pStyle w:val="BodyText"/>
        <w:spacing w:before="3"/>
        <w:rPr>
          <w:sz w:val="31"/>
        </w:rPr>
      </w:pPr>
    </w:p>
    <w:p>
      <w:pPr>
        <w:pStyle w:val="BodyText"/>
        <w:spacing w:line="388" w:lineRule="auto" w:after="13"/>
        <w:ind w:left="1868" w:right="1381" w:hanging="656"/>
      </w:pPr>
      <w:r>
        <w:rPr/>
        <w:t>Показатели качества жизни больных раком шейки матки основной группы, наблюдение 18 мес (n = 30)</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1275"/>
        <w:gridCol w:w="1277"/>
        <w:gridCol w:w="1277"/>
        <w:gridCol w:w="1133"/>
        <w:gridCol w:w="1277"/>
        <w:gridCol w:w="1274"/>
      </w:tblGrid>
      <w:tr>
        <w:trPr>
          <w:trHeight w:val="1054" w:hRule="exact"/>
        </w:trPr>
        <w:tc>
          <w:tcPr>
            <w:tcW w:w="1668" w:type="dxa"/>
          </w:tcPr>
          <w:p>
            <w:pPr>
              <w:pStyle w:val="TableParagraph"/>
              <w:spacing w:before="93"/>
              <w:ind w:left="460" w:right="90" w:hanging="356"/>
              <w:rPr>
                <w:sz w:val="28"/>
              </w:rPr>
            </w:pPr>
            <w:r>
              <w:rPr>
                <w:sz w:val="28"/>
              </w:rPr>
              <w:t>Показатели, баллы</w:t>
            </w:r>
          </w:p>
        </w:tc>
        <w:tc>
          <w:tcPr>
            <w:tcW w:w="1275" w:type="dxa"/>
          </w:tcPr>
          <w:p>
            <w:pPr>
              <w:pStyle w:val="TableParagraph"/>
              <w:spacing w:before="93"/>
              <w:ind w:left="153" w:right="134" w:firstLine="312"/>
              <w:rPr>
                <w:sz w:val="28"/>
              </w:rPr>
            </w:pPr>
            <w:r>
              <w:rPr>
                <w:sz w:val="28"/>
              </w:rPr>
              <w:t>До лечения</w:t>
            </w:r>
          </w:p>
        </w:tc>
        <w:tc>
          <w:tcPr>
            <w:tcW w:w="1277" w:type="dxa"/>
          </w:tcPr>
          <w:p>
            <w:pPr>
              <w:pStyle w:val="TableParagraph"/>
              <w:spacing w:line="388" w:lineRule="auto"/>
              <w:ind w:left="314" w:right="276" w:hanging="24"/>
              <w:rPr>
                <w:sz w:val="28"/>
              </w:rPr>
            </w:pPr>
            <w:r>
              <w:rPr>
                <w:sz w:val="28"/>
              </w:rPr>
              <w:t>Через 3 мес</w:t>
            </w:r>
          </w:p>
        </w:tc>
        <w:tc>
          <w:tcPr>
            <w:tcW w:w="1277" w:type="dxa"/>
          </w:tcPr>
          <w:p>
            <w:pPr>
              <w:pStyle w:val="TableParagraph"/>
              <w:spacing w:line="388" w:lineRule="auto"/>
              <w:ind w:left="314" w:right="276" w:hanging="24"/>
              <w:rPr>
                <w:sz w:val="28"/>
              </w:rPr>
            </w:pPr>
            <w:r>
              <w:rPr>
                <w:sz w:val="28"/>
              </w:rPr>
              <w:t>Через 6 мес</w:t>
            </w:r>
          </w:p>
        </w:tc>
        <w:tc>
          <w:tcPr>
            <w:tcW w:w="1133" w:type="dxa"/>
          </w:tcPr>
          <w:p>
            <w:pPr>
              <w:pStyle w:val="TableParagraph"/>
              <w:spacing w:line="388" w:lineRule="auto"/>
              <w:ind w:left="240" w:right="206" w:hanging="24"/>
              <w:rPr>
                <w:sz w:val="28"/>
              </w:rPr>
            </w:pPr>
            <w:r>
              <w:rPr>
                <w:sz w:val="28"/>
              </w:rPr>
              <w:t>Через 9 мес</w:t>
            </w:r>
          </w:p>
        </w:tc>
        <w:tc>
          <w:tcPr>
            <w:tcW w:w="1277" w:type="dxa"/>
          </w:tcPr>
          <w:p>
            <w:pPr>
              <w:pStyle w:val="TableParagraph"/>
              <w:spacing w:line="388" w:lineRule="auto"/>
              <w:ind w:left="244" w:right="228" w:firstLine="45"/>
              <w:rPr>
                <w:sz w:val="28"/>
              </w:rPr>
            </w:pPr>
            <w:r>
              <w:rPr>
                <w:sz w:val="28"/>
              </w:rPr>
              <w:t>Через 12 мес</w:t>
            </w:r>
          </w:p>
        </w:tc>
        <w:tc>
          <w:tcPr>
            <w:tcW w:w="1274" w:type="dxa"/>
          </w:tcPr>
          <w:p>
            <w:pPr>
              <w:pStyle w:val="TableParagraph"/>
              <w:spacing w:line="388" w:lineRule="auto"/>
              <w:ind w:left="244" w:right="225" w:firstLine="45"/>
              <w:rPr>
                <w:sz w:val="28"/>
              </w:rPr>
            </w:pPr>
            <w:r>
              <w:rPr>
                <w:sz w:val="28"/>
              </w:rPr>
              <w:t>Через 18 мес</w:t>
            </w:r>
          </w:p>
        </w:tc>
      </w:tr>
      <w:tr>
        <w:trPr>
          <w:trHeight w:val="1899" w:hRule="exact"/>
        </w:trPr>
        <w:tc>
          <w:tcPr>
            <w:tcW w:w="1668" w:type="dxa"/>
          </w:tcPr>
          <w:p>
            <w:pPr>
              <w:pStyle w:val="TableParagraph"/>
              <w:rPr>
                <w:sz w:val="30"/>
              </w:rPr>
            </w:pPr>
          </w:p>
          <w:p>
            <w:pPr>
              <w:pStyle w:val="TableParagraph"/>
              <w:spacing w:before="10"/>
              <w:rPr>
                <w:sz w:val="28"/>
              </w:rPr>
            </w:pPr>
          </w:p>
          <w:p>
            <w:pPr>
              <w:pStyle w:val="TableParagraph"/>
              <w:ind w:left="323"/>
              <w:rPr>
                <w:sz w:val="28"/>
              </w:rPr>
            </w:pPr>
            <w:r>
              <w:rPr>
                <w:sz w:val="28"/>
              </w:rPr>
              <w:t>FACT-G</w:t>
            </w:r>
          </w:p>
        </w:tc>
        <w:tc>
          <w:tcPr>
            <w:tcW w:w="1275" w:type="dxa"/>
          </w:tcPr>
          <w:p>
            <w:pPr>
              <w:pStyle w:val="TableParagraph"/>
              <w:rPr>
                <w:sz w:val="30"/>
              </w:rPr>
            </w:pPr>
          </w:p>
          <w:p>
            <w:pPr>
              <w:pStyle w:val="TableParagraph"/>
              <w:spacing w:before="10"/>
              <w:rPr>
                <w:sz w:val="28"/>
              </w:rPr>
            </w:pPr>
          </w:p>
          <w:p>
            <w:pPr>
              <w:pStyle w:val="TableParagraph"/>
              <w:ind w:left="170"/>
              <w:rPr>
                <w:sz w:val="28"/>
              </w:rPr>
            </w:pPr>
            <w:r>
              <w:rPr>
                <w:sz w:val="28"/>
              </w:rPr>
              <w:t>78 ± 2,6</w:t>
            </w:r>
          </w:p>
        </w:tc>
        <w:tc>
          <w:tcPr>
            <w:tcW w:w="1277" w:type="dxa"/>
          </w:tcPr>
          <w:p>
            <w:pPr>
              <w:pStyle w:val="TableParagraph"/>
              <w:rPr>
                <w:sz w:val="32"/>
              </w:rPr>
            </w:pPr>
          </w:p>
          <w:p>
            <w:pPr>
              <w:pStyle w:val="TableParagraph"/>
              <w:spacing w:before="3"/>
              <w:rPr>
                <w:sz w:val="27"/>
              </w:rPr>
            </w:pPr>
          </w:p>
          <w:p>
            <w:pPr>
              <w:pStyle w:val="TableParagraph"/>
              <w:spacing w:before="1"/>
              <w:ind w:left="143"/>
              <w:rPr>
                <w:sz w:val="28"/>
              </w:rPr>
            </w:pPr>
            <w:r>
              <w:rPr>
                <w:sz w:val="28"/>
              </w:rPr>
              <w:t>68   </w:t>
            </w:r>
            <w:r>
              <w:rPr>
                <w:spacing w:val="69"/>
                <w:sz w:val="28"/>
              </w:rPr>
              <w:t> </w:t>
            </w:r>
            <w:r>
              <w:rPr>
                <w:sz w:val="28"/>
              </w:rPr>
              <w:t>3,7</w:t>
            </w:r>
          </w:p>
        </w:tc>
        <w:tc>
          <w:tcPr>
            <w:tcW w:w="1277" w:type="dxa"/>
          </w:tcPr>
          <w:p>
            <w:pPr>
              <w:pStyle w:val="TableParagraph"/>
              <w:spacing w:before="2"/>
              <w:rPr>
                <w:sz w:val="36"/>
              </w:rPr>
            </w:pPr>
          </w:p>
          <w:p>
            <w:pPr>
              <w:pStyle w:val="TableParagraph"/>
              <w:ind w:left="157" w:right="157"/>
              <w:jc w:val="center"/>
              <w:rPr>
                <w:sz w:val="28"/>
              </w:rPr>
            </w:pPr>
            <w:r>
              <w:rPr>
                <w:sz w:val="28"/>
              </w:rPr>
              <w:t>68 ±</w:t>
            </w:r>
          </w:p>
          <w:p>
            <w:pPr>
              <w:pStyle w:val="TableParagraph"/>
              <w:spacing w:before="201"/>
              <w:ind w:left="158" w:right="157"/>
              <w:jc w:val="center"/>
              <w:rPr>
                <w:sz w:val="28"/>
              </w:rPr>
            </w:pPr>
            <w:r>
              <w:rPr>
                <w:sz w:val="28"/>
              </w:rPr>
              <w:t>1,8</w:t>
            </w:r>
          </w:p>
        </w:tc>
        <w:tc>
          <w:tcPr>
            <w:tcW w:w="1133" w:type="dxa"/>
          </w:tcPr>
          <w:p>
            <w:pPr>
              <w:pStyle w:val="TableParagraph"/>
              <w:spacing w:before="10"/>
              <w:rPr>
                <w:sz w:val="44"/>
              </w:rPr>
            </w:pPr>
          </w:p>
          <w:p>
            <w:pPr>
              <w:pStyle w:val="TableParagraph"/>
              <w:spacing w:line="322" w:lineRule="exact" w:before="1"/>
              <w:ind w:left="54" w:right="58"/>
              <w:jc w:val="center"/>
              <w:rPr>
                <w:sz w:val="28"/>
              </w:rPr>
            </w:pPr>
            <w:r>
              <w:rPr>
                <w:sz w:val="28"/>
              </w:rPr>
              <w:t>73 ±</w:t>
            </w:r>
          </w:p>
          <w:p>
            <w:pPr>
              <w:pStyle w:val="TableParagraph"/>
              <w:ind w:left="57" w:right="58"/>
              <w:jc w:val="center"/>
              <w:rPr>
                <w:sz w:val="28"/>
              </w:rPr>
            </w:pPr>
            <w:r>
              <w:rPr>
                <w:sz w:val="28"/>
              </w:rPr>
              <w:t>1,8</w:t>
            </w:r>
          </w:p>
        </w:tc>
        <w:tc>
          <w:tcPr>
            <w:tcW w:w="1277" w:type="dxa"/>
          </w:tcPr>
          <w:p>
            <w:pPr>
              <w:pStyle w:val="TableParagraph"/>
              <w:spacing w:before="2"/>
              <w:rPr>
                <w:sz w:val="36"/>
              </w:rPr>
            </w:pPr>
          </w:p>
          <w:p>
            <w:pPr>
              <w:pStyle w:val="TableParagraph"/>
              <w:ind w:left="106" w:right="106"/>
              <w:jc w:val="center"/>
              <w:rPr>
                <w:sz w:val="28"/>
              </w:rPr>
            </w:pPr>
            <w:r>
              <w:rPr>
                <w:sz w:val="28"/>
              </w:rPr>
              <w:t>78 ±</w:t>
            </w:r>
          </w:p>
          <w:p>
            <w:pPr>
              <w:pStyle w:val="TableParagraph"/>
              <w:spacing w:before="201"/>
              <w:ind w:left="106" w:right="106"/>
              <w:jc w:val="center"/>
              <w:rPr>
                <w:sz w:val="28"/>
              </w:rPr>
            </w:pPr>
            <w:r>
              <w:rPr>
                <w:sz w:val="28"/>
              </w:rPr>
              <w:t>1,3</w:t>
            </w:r>
          </w:p>
        </w:tc>
        <w:tc>
          <w:tcPr>
            <w:tcW w:w="1274" w:type="dxa"/>
          </w:tcPr>
          <w:p>
            <w:pPr>
              <w:pStyle w:val="TableParagraph"/>
              <w:spacing w:before="10"/>
              <w:rPr>
                <w:sz w:val="44"/>
              </w:rPr>
            </w:pPr>
          </w:p>
          <w:p>
            <w:pPr>
              <w:pStyle w:val="TableParagraph"/>
              <w:spacing w:line="322" w:lineRule="exact" w:before="1"/>
              <w:ind w:left="224" w:right="224"/>
              <w:jc w:val="center"/>
              <w:rPr>
                <w:sz w:val="28"/>
              </w:rPr>
            </w:pPr>
            <w:r>
              <w:rPr>
                <w:sz w:val="28"/>
              </w:rPr>
              <w:t>94,3 ±</w:t>
            </w:r>
          </w:p>
          <w:p>
            <w:pPr>
              <w:pStyle w:val="TableParagraph"/>
              <w:ind w:left="224" w:right="224"/>
              <w:jc w:val="center"/>
              <w:rPr>
                <w:sz w:val="28"/>
              </w:rPr>
            </w:pPr>
            <w:r>
              <w:rPr>
                <w:sz w:val="28"/>
              </w:rPr>
              <w:t>1,7</w:t>
            </w:r>
          </w:p>
        </w:tc>
      </w:tr>
      <w:tr>
        <w:trPr>
          <w:trHeight w:val="1176" w:hRule="exact"/>
        </w:trPr>
        <w:tc>
          <w:tcPr>
            <w:tcW w:w="1668" w:type="dxa"/>
          </w:tcPr>
          <w:p>
            <w:pPr>
              <w:pStyle w:val="TableParagraph"/>
              <w:ind w:left="117" w:right="116"/>
              <w:jc w:val="center"/>
              <w:rPr>
                <w:sz w:val="28"/>
              </w:rPr>
            </w:pPr>
            <w:r>
              <w:rPr>
                <w:sz w:val="28"/>
              </w:rPr>
              <w:t>Физическое благополу- чие</w:t>
            </w:r>
          </w:p>
        </w:tc>
        <w:tc>
          <w:tcPr>
            <w:tcW w:w="1275" w:type="dxa"/>
          </w:tcPr>
          <w:p>
            <w:pPr>
              <w:pStyle w:val="TableParagraph"/>
              <w:spacing w:before="55"/>
              <w:ind w:left="129" w:right="129"/>
              <w:jc w:val="center"/>
              <w:rPr>
                <w:sz w:val="28"/>
              </w:rPr>
            </w:pPr>
            <w:r>
              <w:rPr>
                <w:sz w:val="28"/>
              </w:rPr>
              <w:t>20 ±</w:t>
            </w:r>
          </w:p>
          <w:p>
            <w:pPr>
              <w:pStyle w:val="TableParagraph"/>
              <w:spacing w:before="198"/>
              <w:ind w:left="128" w:right="129"/>
              <w:jc w:val="center"/>
              <w:rPr>
                <w:sz w:val="28"/>
              </w:rPr>
            </w:pPr>
            <w:r>
              <w:rPr>
                <w:sz w:val="28"/>
              </w:rPr>
              <w:t>2,8</w:t>
            </w:r>
          </w:p>
        </w:tc>
        <w:tc>
          <w:tcPr>
            <w:tcW w:w="1277" w:type="dxa"/>
          </w:tcPr>
          <w:p>
            <w:pPr>
              <w:pStyle w:val="TableParagraph"/>
              <w:spacing w:before="57"/>
              <w:ind w:left="225" w:right="226"/>
              <w:jc w:val="center"/>
              <w:rPr>
                <w:rFonts w:ascii="Cambria Math"/>
                <w:sz w:val="28"/>
              </w:rPr>
            </w:pPr>
            <w:r>
              <w:rPr>
                <w:sz w:val="28"/>
              </w:rPr>
              <w:t>15 </w:t>
            </w:r>
            <w:r>
              <w:rPr>
                <w:rFonts w:ascii="Cambria Math"/>
                <w:w w:val="340"/>
                <w:sz w:val="28"/>
              </w:rPr>
              <w:t> </w:t>
            </w:r>
          </w:p>
          <w:p>
            <w:pPr>
              <w:pStyle w:val="TableParagraph"/>
              <w:spacing w:before="200"/>
              <w:ind w:left="227" w:right="226"/>
              <w:jc w:val="center"/>
              <w:rPr>
                <w:sz w:val="28"/>
              </w:rPr>
            </w:pPr>
            <w:r>
              <w:rPr>
                <w:sz w:val="28"/>
              </w:rPr>
              <w:t>2,5</w:t>
            </w:r>
          </w:p>
        </w:tc>
        <w:tc>
          <w:tcPr>
            <w:tcW w:w="1277" w:type="dxa"/>
          </w:tcPr>
          <w:p>
            <w:pPr>
              <w:pStyle w:val="TableParagraph"/>
              <w:spacing w:before="55"/>
              <w:ind w:left="157" w:right="157"/>
              <w:jc w:val="center"/>
              <w:rPr>
                <w:sz w:val="28"/>
              </w:rPr>
            </w:pPr>
            <w:r>
              <w:rPr>
                <w:sz w:val="28"/>
              </w:rPr>
              <w:t>17 ±</w:t>
            </w:r>
          </w:p>
          <w:p>
            <w:pPr>
              <w:pStyle w:val="TableParagraph"/>
              <w:spacing w:before="198"/>
              <w:ind w:left="158" w:right="157"/>
              <w:jc w:val="center"/>
              <w:rPr>
                <w:sz w:val="28"/>
              </w:rPr>
            </w:pPr>
            <w:r>
              <w:rPr>
                <w:sz w:val="28"/>
              </w:rPr>
              <w:t>3,9</w:t>
            </w:r>
          </w:p>
        </w:tc>
        <w:tc>
          <w:tcPr>
            <w:tcW w:w="1133" w:type="dxa"/>
          </w:tcPr>
          <w:p>
            <w:pPr>
              <w:pStyle w:val="TableParagraph"/>
              <w:spacing w:before="153"/>
              <w:ind w:left="54" w:right="58"/>
              <w:jc w:val="center"/>
              <w:rPr>
                <w:sz w:val="28"/>
              </w:rPr>
            </w:pPr>
            <w:r>
              <w:rPr>
                <w:sz w:val="28"/>
              </w:rPr>
              <w:t>21 ±</w:t>
            </w:r>
          </w:p>
          <w:p>
            <w:pPr>
              <w:pStyle w:val="TableParagraph"/>
              <w:spacing w:before="1"/>
              <w:ind w:left="57" w:right="58"/>
              <w:jc w:val="center"/>
              <w:rPr>
                <w:sz w:val="28"/>
              </w:rPr>
            </w:pPr>
            <w:r>
              <w:rPr>
                <w:sz w:val="28"/>
              </w:rPr>
              <w:t>2,3</w:t>
            </w:r>
          </w:p>
        </w:tc>
        <w:tc>
          <w:tcPr>
            <w:tcW w:w="1277" w:type="dxa"/>
          </w:tcPr>
          <w:p>
            <w:pPr>
              <w:pStyle w:val="TableParagraph"/>
              <w:spacing w:before="55"/>
              <w:ind w:left="106" w:right="106"/>
              <w:jc w:val="center"/>
              <w:rPr>
                <w:sz w:val="28"/>
              </w:rPr>
            </w:pPr>
            <w:r>
              <w:rPr>
                <w:sz w:val="28"/>
              </w:rPr>
              <w:t>21 ±</w:t>
            </w:r>
          </w:p>
          <w:p>
            <w:pPr>
              <w:pStyle w:val="TableParagraph"/>
              <w:spacing w:before="198"/>
              <w:ind w:left="106" w:right="106"/>
              <w:jc w:val="center"/>
              <w:rPr>
                <w:sz w:val="28"/>
              </w:rPr>
            </w:pPr>
            <w:r>
              <w:rPr>
                <w:sz w:val="28"/>
              </w:rPr>
              <w:t>2,1</w:t>
            </w:r>
          </w:p>
        </w:tc>
        <w:tc>
          <w:tcPr>
            <w:tcW w:w="1274" w:type="dxa"/>
          </w:tcPr>
          <w:p>
            <w:pPr>
              <w:pStyle w:val="TableParagraph"/>
              <w:spacing w:before="153"/>
              <w:ind w:left="224" w:right="224"/>
              <w:jc w:val="center"/>
              <w:rPr>
                <w:sz w:val="28"/>
              </w:rPr>
            </w:pPr>
            <w:r>
              <w:rPr>
                <w:sz w:val="28"/>
              </w:rPr>
              <w:t>26,8 ±</w:t>
            </w:r>
          </w:p>
          <w:p>
            <w:pPr>
              <w:pStyle w:val="TableParagraph"/>
              <w:spacing w:before="1"/>
              <w:ind w:left="224" w:right="224"/>
              <w:jc w:val="center"/>
              <w:rPr>
                <w:sz w:val="28"/>
              </w:rPr>
            </w:pPr>
            <w:r>
              <w:rPr>
                <w:sz w:val="28"/>
              </w:rPr>
              <w:t>4,3</w:t>
            </w:r>
          </w:p>
        </w:tc>
      </w:tr>
      <w:tr>
        <w:trPr>
          <w:trHeight w:val="1498" w:hRule="exact"/>
        </w:trPr>
        <w:tc>
          <w:tcPr>
            <w:tcW w:w="1668" w:type="dxa"/>
          </w:tcPr>
          <w:p>
            <w:pPr>
              <w:pStyle w:val="TableParagraph"/>
              <w:ind w:left="117" w:right="115"/>
              <w:jc w:val="center"/>
              <w:rPr>
                <w:sz w:val="28"/>
              </w:rPr>
            </w:pPr>
            <w:r>
              <w:rPr>
                <w:sz w:val="28"/>
              </w:rPr>
              <w:t>Социально- семейное благополу- чие</w:t>
            </w:r>
          </w:p>
        </w:tc>
        <w:tc>
          <w:tcPr>
            <w:tcW w:w="1275" w:type="dxa"/>
          </w:tcPr>
          <w:p>
            <w:pPr>
              <w:pStyle w:val="TableParagraph"/>
              <w:spacing w:before="216"/>
              <w:ind w:left="128" w:right="129"/>
              <w:jc w:val="center"/>
              <w:rPr>
                <w:sz w:val="28"/>
              </w:rPr>
            </w:pPr>
            <w:r>
              <w:rPr>
                <w:sz w:val="28"/>
              </w:rPr>
              <w:t>19±</w:t>
            </w:r>
          </w:p>
          <w:p>
            <w:pPr>
              <w:pStyle w:val="TableParagraph"/>
              <w:spacing w:before="199"/>
              <w:ind w:left="128" w:right="129"/>
              <w:jc w:val="center"/>
              <w:rPr>
                <w:sz w:val="28"/>
              </w:rPr>
            </w:pPr>
            <w:r>
              <w:rPr>
                <w:sz w:val="28"/>
              </w:rPr>
              <w:t>3,4</w:t>
            </w:r>
          </w:p>
        </w:tc>
        <w:tc>
          <w:tcPr>
            <w:tcW w:w="1277" w:type="dxa"/>
          </w:tcPr>
          <w:p>
            <w:pPr>
              <w:pStyle w:val="TableParagraph"/>
              <w:spacing w:before="216"/>
              <w:ind w:left="225" w:right="226"/>
              <w:jc w:val="center"/>
              <w:rPr>
                <w:sz w:val="28"/>
              </w:rPr>
            </w:pPr>
            <w:r>
              <w:rPr>
                <w:sz w:val="28"/>
              </w:rPr>
              <w:t>13 ±</w:t>
            </w:r>
          </w:p>
          <w:p>
            <w:pPr>
              <w:pStyle w:val="TableParagraph"/>
              <w:spacing w:before="199"/>
              <w:ind w:left="227" w:right="226"/>
              <w:jc w:val="center"/>
              <w:rPr>
                <w:sz w:val="28"/>
              </w:rPr>
            </w:pPr>
            <w:r>
              <w:rPr>
                <w:sz w:val="28"/>
              </w:rPr>
              <w:t>2,6</w:t>
            </w:r>
          </w:p>
        </w:tc>
        <w:tc>
          <w:tcPr>
            <w:tcW w:w="1277" w:type="dxa"/>
          </w:tcPr>
          <w:p>
            <w:pPr>
              <w:pStyle w:val="TableParagraph"/>
              <w:spacing w:before="216"/>
              <w:ind w:left="157" w:right="157"/>
              <w:jc w:val="center"/>
              <w:rPr>
                <w:sz w:val="28"/>
              </w:rPr>
            </w:pPr>
            <w:r>
              <w:rPr>
                <w:sz w:val="28"/>
              </w:rPr>
              <w:t>18 ±</w:t>
            </w:r>
          </w:p>
          <w:p>
            <w:pPr>
              <w:pStyle w:val="TableParagraph"/>
              <w:spacing w:before="199"/>
              <w:ind w:left="158" w:right="157"/>
              <w:jc w:val="center"/>
              <w:rPr>
                <w:sz w:val="28"/>
              </w:rPr>
            </w:pPr>
            <w:r>
              <w:rPr>
                <w:sz w:val="28"/>
              </w:rPr>
              <w:t>2,7</w:t>
            </w:r>
          </w:p>
        </w:tc>
        <w:tc>
          <w:tcPr>
            <w:tcW w:w="1133" w:type="dxa"/>
          </w:tcPr>
          <w:p>
            <w:pPr>
              <w:pStyle w:val="TableParagraph"/>
              <w:spacing w:before="4"/>
              <w:rPr>
                <w:sz w:val="27"/>
              </w:rPr>
            </w:pPr>
          </w:p>
          <w:p>
            <w:pPr>
              <w:pStyle w:val="TableParagraph"/>
              <w:ind w:left="54" w:right="58"/>
              <w:jc w:val="center"/>
              <w:rPr>
                <w:sz w:val="28"/>
              </w:rPr>
            </w:pPr>
            <w:r>
              <w:rPr>
                <w:sz w:val="28"/>
              </w:rPr>
              <w:t>20 ±</w:t>
            </w:r>
          </w:p>
          <w:p>
            <w:pPr>
              <w:pStyle w:val="TableParagraph"/>
              <w:spacing w:before="2"/>
              <w:ind w:left="57" w:right="58"/>
              <w:jc w:val="center"/>
              <w:rPr>
                <w:sz w:val="28"/>
              </w:rPr>
            </w:pPr>
            <w:r>
              <w:rPr>
                <w:sz w:val="28"/>
              </w:rPr>
              <w:t>3,1</w:t>
            </w:r>
          </w:p>
        </w:tc>
        <w:tc>
          <w:tcPr>
            <w:tcW w:w="1277" w:type="dxa"/>
          </w:tcPr>
          <w:p>
            <w:pPr>
              <w:pStyle w:val="TableParagraph"/>
              <w:spacing w:before="216"/>
              <w:ind w:left="106" w:right="106"/>
              <w:jc w:val="center"/>
              <w:rPr>
                <w:sz w:val="28"/>
              </w:rPr>
            </w:pPr>
            <w:r>
              <w:rPr>
                <w:sz w:val="28"/>
              </w:rPr>
              <w:t>18 ±</w:t>
            </w:r>
          </w:p>
          <w:p>
            <w:pPr>
              <w:pStyle w:val="TableParagraph"/>
              <w:spacing w:before="199"/>
              <w:ind w:left="106" w:right="106"/>
              <w:jc w:val="center"/>
              <w:rPr>
                <w:sz w:val="28"/>
              </w:rPr>
            </w:pPr>
            <w:r>
              <w:rPr>
                <w:sz w:val="28"/>
              </w:rPr>
              <w:t>2,2</w:t>
            </w:r>
          </w:p>
        </w:tc>
        <w:tc>
          <w:tcPr>
            <w:tcW w:w="1274" w:type="dxa"/>
          </w:tcPr>
          <w:p>
            <w:pPr>
              <w:pStyle w:val="TableParagraph"/>
              <w:spacing w:before="4"/>
              <w:rPr>
                <w:sz w:val="27"/>
              </w:rPr>
            </w:pPr>
          </w:p>
          <w:p>
            <w:pPr>
              <w:pStyle w:val="TableParagraph"/>
              <w:ind w:left="224" w:right="224"/>
              <w:jc w:val="center"/>
              <w:rPr>
                <w:sz w:val="28"/>
              </w:rPr>
            </w:pPr>
            <w:r>
              <w:rPr>
                <w:sz w:val="28"/>
              </w:rPr>
              <w:t>21,8 ±</w:t>
            </w:r>
          </w:p>
          <w:p>
            <w:pPr>
              <w:pStyle w:val="TableParagraph"/>
              <w:spacing w:before="2"/>
              <w:ind w:left="224" w:right="224"/>
              <w:jc w:val="center"/>
              <w:rPr>
                <w:sz w:val="28"/>
              </w:rPr>
            </w:pPr>
            <w:r>
              <w:rPr>
                <w:sz w:val="28"/>
              </w:rPr>
              <w:t>1,5</w:t>
            </w:r>
          </w:p>
        </w:tc>
      </w:tr>
      <w:tr>
        <w:trPr>
          <w:trHeight w:val="1498" w:hRule="exact"/>
        </w:trPr>
        <w:tc>
          <w:tcPr>
            <w:tcW w:w="1668" w:type="dxa"/>
          </w:tcPr>
          <w:p>
            <w:pPr>
              <w:pStyle w:val="TableParagraph"/>
              <w:ind w:left="117" w:right="112"/>
              <w:jc w:val="center"/>
              <w:rPr>
                <w:sz w:val="28"/>
              </w:rPr>
            </w:pPr>
            <w:r>
              <w:rPr>
                <w:sz w:val="28"/>
              </w:rPr>
              <w:t>Эмоционал ьное благополу- чие</w:t>
            </w:r>
          </w:p>
        </w:tc>
        <w:tc>
          <w:tcPr>
            <w:tcW w:w="1275" w:type="dxa"/>
          </w:tcPr>
          <w:p>
            <w:pPr>
              <w:pStyle w:val="TableParagraph"/>
              <w:spacing w:before="216"/>
              <w:ind w:left="128" w:right="129"/>
              <w:jc w:val="center"/>
              <w:rPr>
                <w:sz w:val="28"/>
              </w:rPr>
            </w:pPr>
            <w:r>
              <w:rPr>
                <w:sz w:val="28"/>
              </w:rPr>
              <w:t>16±</w:t>
            </w:r>
          </w:p>
          <w:p>
            <w:pPr>
              <w:pStyle w:val="TableParagraph"/>
              <w:spacing w:before="198"/>
              <w:ind w:left="128" w:right="129"/>
              <w:jc w:val="center"/>
              <w:rPr>
                <w:sz w:val="28"/>
              </w:rPr>
            </w:pPr>
            <w:r>
              <w:rPr>
                <w:sz w:val="28"/>
              </w:rPr>
              <w:t>2,3</w:t>
            </w:r>
          </w:p>
        </w:tc>
        <w:tc>
          <w:tcPr>
            <w:tcW w:w="1277" w:type="dxa"/>
          </w:tcPr>
          <w:p>
            <w:pPr>
              <w:pStyle w:val="TableParagraph"/>
              <w:spacing w:before="221"/>
              <w:ind w:left="225" w:right="226"/>
              <w:jc w:val="center"/>
              <w:rPr>
                <w:rFonts w:ascii="Cambria Math"/>
                <w:sz w:val="28"/>
              </w:rPr>
            </w:pPr>
            <w:r>
              <w:rPr>
                <w:sz w:val="28"/>
              </w:rPr>
              <w:t>20 </w:t>
            </w:r>
            <w:r>
              <w:rPr>
                <w:rFonts w:ascii="Cambria Math"/>
                <w:w w:val="340"/>
                <w:sz w:val="28"/>
              </w:rPr>
              <w:t> </w:t>
            </w:r>
          </w:p>
          <w:p>
            <w:pPr>
              <w:pStyle w:val="TableParagraph"/>
              <w:spacing w:before="199"/>
              <w:ind w:left="227" w:right="226"/>
              <w:jc w:val="center"/>
              <w:rPr>
                <w:sz w:val="28"/>
              </w:rPr>
            </w:pPr>
            <w:r>
              <w:rPr>
                <w:sz w:val="28"/>
              </w:rPr>
              <w:t>1,8</w:t>
            </w:r>
          </w:p>
        </w:tc>
        <w:tc>
          <w:tcPr>
            <w:tcW w:w="1277" w:type="dxa"/>
          </w:tcPr>
          <w:p>
            <w:pPr>
              <w:pStyle w:val="TableParagraph"/>
              <w:spacing w:before="216"/>
              <w:ind w:left="157" w:right="157"/>
              <w:jc w:val="center"/>
              <w:rPr>
                <w:sz w:val="28"/>
              </w:rPr>
            </w:pPr>
            <w:r>
              <w:rPr>
                <w:sz w:val="28"/>
              </w:rPr>
              <w:t>23 ±</w:t>
            </w:r>
          </w:p>
          <w:p>
            <w:pPr>
              <w:pStyle w:val="TableParagraph"/>
              <w:spacing w:before="198"/>
              <w:ind w:left="158" w:right="157"/>
              <w:jc w:val="center"/>
              <w:rPr>
                <w:sz w:val="28"/>
              </w:rPr>
            </w:pPr>
            <w:r>
              <w:rPr>
                <w:sz w:val="28"/>
              </w:rPr>
              <w:t>2,8</w:t>
            </w:r>
          </w:p>
        </w:tc>
        <w:tc>
          <w:tcPr>
            <w:tcW w:w="1133" w:type="dxa"/>
          </w:tcPr>
          <w:p>
            <w:pPr>
              <w:pStyle w:val="TableParagraph"/>
              <w:spacing w:before="6"/>
              <w:rPr>
                <w:sz w:val="27"/>
              </w:rPr>
            </w:pPr>
          </w:p>
          <w:p>
            <w:pPr>
              <w:pStyle w:val="TableParagraph"/>
              <w:spacing w:line="322" w:lineRule="exact"/>
              <w:ind w:left="54" w:right="58"/>
              <w:jc w:val="center"/>
              <w:rPr>
                <w:sz w:val="28"/>
              </w:rPr>
            </w:pPr>
            <w:r>
              <w:rPr>
                <w:sz w:val="28"/>
              </w:rPr>
              <w:t>22 ±</w:t>
            </w:r>
          </w:p>
          <w:p>
            <w:pPr>
              <w:pStyle w:val="TableParagraph"/>
              <w:ind w:left="57" w:right="58"/>
              <w:jc w:val="center"/>
              <w:rPr>
                <w:sz w:val="28"/>
              </w:rPr>
            </w:pPr>
            <w:r>
              <w:rPr>
                <w:sz w:val="28"/>
              </w:rPr>
              <w:t>2,4</w:t>
            </w:r>
          </w:p>
        </w:tc>
        <w:tc>
          <w:tcPr>
            <w:tcW w:w="1277" w:type="dxa"/>
          </w:tcPr>
          <w:p>
            <w:pPr>
              <w:pStyle w:val="TableParagraph"/>
              <w:spacing w:before="216"/>
              <w:ind w:left="106" w:right="106"/>
              <w:jc w:val="center"/>
              <w:rPr>
                <w:sz w:val="28"/>
              </w:rPr>
            </w:pPr>
            <w:r>
              <w:rPr>
                <w:sz w:val="28"/>
              </w:rPr>
              <w:t>17 ±</w:t>
            </w:r>
          </w:p>
          <w:p>
            <w:pPr>
              <w:pStyle w:val="TableParagraph"/>
              <w:spacing w:before="198"/>
              <w:ind w:left="106" w:right="106"/>
              <w:jc w:val="center"/>
              <w:rPr>
                <w:sz w:val="28"/>
              </w:rPr>
            </w:pPr>
            <w:r>
              <w:rPr>
                <w:sz w:val="28"/>
              </w:rPr>
              <w:t>2,7</w:t>
            </w:r>
          </w:p>
        </w:tc>
        <w:tc>
          <w:tcPr>
            <w:tcW w:w="1274" w:type="dxa"/>
          </w:tcPr>
          <w:p>
            <w:pPr>
              <w:pStyle w:val="TableParagraph"/>
              <w:spacing w:before="6"/>
              <w:rPr>
                <w:sz w:val="27"/>
              </w:rPr>
            </w:pPr>
          </w:p>
          <w:p>
            <w:pPr>
              <w:pStyle w:val="TableParagraph"/>
              <w:spacing w:line="322" w:lineRule="exact"/>
              <w:ind w:left="224" w:right="224"/>
              <w:jc w:val="center"/>
              <w:rPr>
                <w:sz w:val="28"/>
              </w:rPr>
            </w:pPr>
            <w:r>
              <w:rPr>
                <w:sz w:val="28"/>
              </w:rPr>
              <w:t>22,3 ±</w:t>
            </w:r>
          </w:p>
          <w:p>
            <w:pPr>
              <w:pStyle w:val="TableParagraph"/>
              <w:ind w:left="224" w:right="224"/>
              <w:jc w:val="center"/>
              <w:rPr>
                <w:sz w:val="28"/>
              </w:rPr>
            </w:pPr>
            <w:r>
              <w:rPr>
                <w:sz w:val="28"/>
              </w:rPr>
              <w:t>1,8</w:t>
            </w:r>
          </w:p>
        </w:tc>
      </w:tr>
      <w:tr>
        <w:trPr>
          <w:trHeight w:val="1501" w:hRule="exact"/>
        </w:trPr>
        <w:tc>
          <w:tcPr>
            <w:tcW w:w="1668" w:type="dxa"/>
          </w:tcPr>
          <w:p>
            <w:pPr>
              <w:pStyle w:val="TableParagraph"/>
              <w:ind w:left="117" w:right="115"/>
              <w:jc w:val="center"/>
              <w:rPr>
                <w:sz w:val="28"/>
              </w:rPr>
            </w:pPr>
            <w:r>
              <w:rPr>
                <w:sz w:val="28"/>
              </w:rPr>
              <w:t>Благополу- чие в повседнев- ной жизни</w:t>
            </w:r>
          </w:p>
        </w:tc>
        <w:tc>
          <w:tcPr>
            <w:tcW w:w="1275" w:type="dxa"/>
          </w:tcPr>
          <w:p>
            <w:pPr>
              <w:pStyle w:val="TableParagraph"/>
              <w:spacing w:before="216"/>
              <w:ind w:left="129" w:right="129"/>
              <w:jc w:val="center"/>
              <w:rPr>
                <w:sz w:val="28"/>
              </w:rPr>
            </w:pPr>
            <w:r>
              <w:rPr>
                <w:sz w:val="28"/>
              </w:rPr>
              <w:t>18 ±</w:t>
            </w:r>
          </w:p>
          <w:p>
            <w:pPr>
              <w:pStyle w:val="TableParagraph"/>
              <w:spacing w:before="201"/>
              <w:ind w:left="128" w:right="129"/>
              <w:jc w:val="center"/>
              <w:rPr>
                <w:sz w:val="28"/>
              </w:rPr>
            </w:pPr>
            <w:r>
              <w:rPr>
                <w:sz w:val="28"/>
              </w:rPr>
              <w:t>3,1</w:t>
            </w:r>
          </w:p>
        </w:tc>
        <w:tc>
          <w:tcPr>
            <w:tcW w:w="1277" w:type="dxa"/>
          </w:tcPr>
          <w:p>
            <w:pPr>
              <w:pStyle w:val="TableParagraph"/>
              <w:spacing w:before="221"/>
              <w:ind w:left="225" w:right="226"/>
              <w:jc w:val="center"/>
              <w:rPr>
                <w:rFonts w:ascii="Cambria Math"/>
                <w:sz w:val="28"/>
              </w:rPr>
            </w:pPr>
            <w:r>
              <w:rPr>
                <w:sz w:val="28"/>
              </w:rPr>
              <w:t>20 </w:t>
            </w:r>
            <w:r>
              <w:rPr>
                <w:rFonts w:ascii="Cambria Math"/>
                <w:w w:val="340"/>
                <w:sz w:val="28"/>
              </w:rPr>
              <w:t> </w:t>
            </w:r>
          </w:p>
          <w:p>
            <w:pPr>
              <w:pStyle w:val="TableParagraph"/>
              <w:spacing w:before="199"/>
              <w:ind w:left="227" w:right="226"/>
              <w:jc w:val="center"/>
              <w:rPr>
                <w:sz w:val="28"/>
              </w:rPr>
            </w:pPr>
            <w:r>
              <w:rPr>
                <w:sz w:val="28"/>
              </w:rPr>
              <w:t>2,8</w:t>
            </w:r>
          </w:p>
        </w:tc>
        <w:tc>
          <w:tcPr>
            <w:tcW w:w="1277" w:type="dxa"/>
          </w:tcPr>
          <w:p>
            <w:pPr>
              <w:pStyle w:val="TableParagraph"/>
              <w:spacing w:before="216"/>
              <w:ind w:left="157" w:right="157"/>
              <w:jc w:val="center"/>
              <w:rPr>
                <w:sz w:val="28"/>
              </w:rPr>
            </w:pPr>
            <w:r>
              <w:rPr>
                <w:sz w:val="28"/>
              </w:rPr>
              <w:t>20 ±</w:t>
            </w:r>
          </w:p>
          <w:p>
            <w:pPr>
              <w:pStyle w:val="TableParagraph"/>
              <w:spacing w:before="201"/>
              <w:ind w:left="158" w:right="157"/>
              <w:jc w:val="center"/>
              <w:rPr>
                <w:sz w:val="28"/>
              </w:rPr>
            </w:pPr>
            <w:r>
              <w:rPr>
                <w:sz w:val="28"/>
              </w:rPr>
              <w:t>2,6</w:t>
            </w:r>
          </w:p>
        </w:tc>
        <w:tc>
          <w:tcPr>
            <w:tcW w:w="1133" w:type="dxa"/>
          </w:tcPr>
          <w:p>
            <w:pPr>
              <w:pStyle w:val="TableParagraph"/>
              <w:spacing w:before="6"/>
              <w:rPr>
                <w:sz w:val="27"/>
              </w:rPr>
            </w:pPr>
          </w:p>
          <w:p>
            <w:pPr>
              <w:pStyle w:val="TableParagraph"/>
              <w:spacing w:line="322" w:lineRule="exact"/>
              <w:ind w:left="54" w:right="58"/>
              <w:jc w:val="center"/>
              <w:rPr>
                <w:sz w:val="28"/>
              </w:rPr>
            </w:pPr>
            <w:r>
              <w:rPr>
                <w:sz w:val="28"/>
              </w:rPr>
              <w:t>21 ±</w:t>
            </w:r>
          </w:p>
          <w:p>
            <w:pPr>
              <w:pStyle w:val="TableParagraph"/>
              <w:ind w:left="57" w:right="58"/>
              <w:jc w:val="center"/>
              <w:rPr>
                <w:sz w:val="28"/>
              </w:rPr>
            </w:pPr>
            <w:r>
              <w:rPr>
                <w:sz w:val="28"/>
              </w:rPr>
              <w:t>2,8</w:t>
            </w:r>
          </w:p>
        </w:tc>
        <w:tc>
          <w:tcPr>
            <w:tcW w:w="1277" w:type="dxa"/>
          </w:tcPr>
          <w:p>
            <w:pPr>
              <w:pStyle w:val="TableParagraph"/>
              <w:spacing w:before="216"/>
              <w:ind w:left="106" w:right="106"/>
              <w:jc w:val="center"/>
              <w:rPr>
                <w:sz w:val="28"/>
              </w:rPr>
            </w:pPr>
            <w:r>
              <w:rPr>
                <w:sz w:val="28"/>
              </w:rPr>
              <w:t>21±</w:t>
            </w:r>
          </w:p>
          <w:p>
            <w:pPr>
              <w:pStyle w:val="TableParagraph"/>
              <w:spacing w:before="201"/>
              <w:ind w:left="106" w:right="106"/>
              <w:jc w:val="center"/>
              <w:rPr>
                <w:sz w:val="28"/>
              </w:rPr>
            </w:pPr>
            <w:r>
              <w:rPr>
                <w:sz w:val="28"/>
              </w:rPr>
              <w:t>2,7</w:t>
            </w:r>
          </w:p>
        </w:tc>
        <w:tc>
          <w:tcPr>
            <w:tcW w:w="1274" w:type="dxa"/>
          </w:tcPr>
          <w:p>
            <w:pPr>
              <w:pStyle w:val="TableParagraph"/>
              <w:spacing w:before="6"/>
              <w:rPr>
                <w:sz w:val="27"/>
              </w:rPr>
            </w:pPr>
          </w:p>
          <w:p>
            <w:pPr>
              <w:pStyle w:val="TableParagraph"/>
              <w:spacing w:line="322" w:lineRule="exact"/>
              <w:ind w:left="224" w:right="224"/>
              <w:jc w:val="center"/>
              <w:rPr>
                <w:sz w:val="28"/>
              </w:rPr>
            </w:pPr>
            <w:r>
              <w:rPr>
                <w:sz w:val="28"/>
              </w:rPr>
              <w:t>23,2 ±</w:t>
            </w:r>
          </w:p>
          <w:p>
            <w:pPr>
              <w:pStyle w:val="TableParagraph"/>
              <w:ind w:left="224" w:right="224"/>
              <w:jc w:val="center"/>
              <w:rPr>
                <w:sz w:val="28"/>
              </w:rPr>
            </w:pPr>
            <w:r>
              <w:rPr>
                <w:sz w:val="28"/>
              </w:rPr>
              <w:t>2,2</w:t>
            </w:r>
          </w:p>
        </w:tc>
      </w:tr>
    </w:tbl>
    <w:p>
      <w:pPr>
        <w:spacing w:after="0"/>
        <w:jc w:val="center"/>
        <w:rPr>
          <w:sz w:val="28"/>
        </w:rPr>
        <w:sectPr>
          <w:pgSz w:w="11900" w:h="16850"/>
          <w:pgMar w:header="712" w:footer="0" w:top="1020" w:bottom="280" w:left="1480" w:right="1000"/>
        </w:sectPr>
      </w:pPr>
    </w:p>
    <w:p>
      <w:pPr>
        <w:pStyle w:val="BodyText"/>
        <w:rPr>
          <w:sz w:val="20"/>
        </w:rPr>
      </w:pPr>
    </w:p>
    <w:p>
      <w:pPr>
        <w:pStyle w:val="BodyText"/>
        <w:rPr>
          <w:sz w:val="20"/>
        </w:rPr>
      </w:pPr>
    </w:p>
    <w:p>
      <w:pPr>
        <w:pStyle w:val="BodyText"/>
        <w:spacing w:before="224"/>
        <w:ind w:left="7449"/>
      </w:pPr>
      <w:r>
        <w:rPr/>
        <w:t>Таблица 4.19</w:t>
      </w:r>
    </w:p>
    <w:p>
      <w:pPr>
        <w:pStyle w:val="BodyText"/>
        <w:spacing w:before="3"/>
        <w:rPr>
          <w:sz w:val="31"/>
        </w:rPr>
      </w:pPr>
    </w:p>
    <w:p>
      <w:pPr>
        <w:pStyle w:val="BodyText"/>
        <w:spacing w:line="388" w:lineRule="auto"/>
        <w:ind w:left="3275" w:right="1028" w:hanging="1710"/>
      </w:pPr>
      <w:r>
        <w:rPr/>
        <w:t>Показатели качества жизни больных раком шейки матки контрольной группы (n = 35)</w:t>
      </w:r>
    </w:p>
    <w:p>
      <w:pPr>
        <w:pStyle w:val="BodyText"/>
        <w:rPr>
          <w:sz w:val="20"/>
        </w:rPr>
      </w:pPr>
    </w:p>
    <w:p>
      <w:pPr>
        <w:pStyle w:val="BodyText"/>
        <w:rPr>
          <w:sz w:val="20"/>
        </w:rPr>
      </w:pPr>
    </w:p>
    <w:p>
      <w:pPr>
        <w:pStyle w:val="BodyText"/>
        <w:spacing w:before="7"/>
        <w:rPr>
          <w:sz w:val="2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1277"/>
        <w:gridCol w:w="991"/>
        <w:gridCol w:w="1419"/>
        <w:gridCol w:w="1274"/>
        <w:gridCol w:w="1277"/>
        <w:gridCol w:w="991"/>
      </w:tblGrid>
      <w:tr>
        <w:trPr>
          <w:trHeight w:val="1054" w:hRule="exact"/>
        </w:trPr>
        <w:tc>
          <w:tcPr>
            <w:tcW w:w="1951" w:type="dxa"/>
          </w:tcPr>
          <w:p>
            <w:pPr>
              <w:pStyle w:val="TableParagraph"/>
              <w:spacing w:before="93"/>
              <w:ind w:left="602" w:right="231" w:hanging="356"/>
              <w:rPr>
                <w:sz w:val="28"/>
              </w:rPr>
            </w:pPr>
            <w:r>
              <w:rPr>
                <w:sz w:val="28"/>
              </w:rPr>
              <w:t>Показатели, баллы</w:t>
            </w:r>
          </w:p>
        </w:tc>
        <w:tc>
          <w:tcPr>
            <w:tcW w:w="1277" w:type="dxa"/>
          </w:tcPr>
          <w:p>
            <w:pPr>
              <w:pStyle w:val="TableParagraph"/>
              <w:spacing w:before="93"/>
              <w:ind w:left="153" w:right="137" w:firstLine="312"/>
              <w:rPr>
                <w:sz w:val="28"/>
              </w:rPr>
            </w:pPr>
            <w:r>
              <w:rPr>
                <w:sz w:val="28"/>
              </w:rPr>
              <w:t>До лечения</w:t>
            </w:r>
          </w:p>
        </w:tc>
        <w:tc>
          <w:tcPr>
            <w:tcW w:w="991" w:type="dxa"/>
          </w:tcPr>
          <w:p>
            <w:pPr>
              <w:pStyle w:val="TableParagraph"/>
              <w:spacing w:line="388" w:lineRule="auto"/>
              <w:ind w:left="168" w:right="134" w:hanging="22"/>
              <w:rPr>
                <w:sz w:val="28"/>
              </w:rPr>
            </w:pPr>
            <w:r>
              <w:rPr>
                <w:sz w:val="28"/>
              </w:rPr>
              <w:t>Через 3 мес</w:t>
            </w:r>
          </w:p>
        </w:tc>
        <w:tc>
          <w:tcPr>
            <w:tcW w:w="1419" w:type="dxa"/>
          </w:tcPr>
          <w:p>
            <w:pPr>
              <w:pStyle w:val="TableParagraph"/>
              <w:spacing w:line="388" w:lineRule="auto"/>
              <w:ind w:left="419" w:right="334" w:hanging="58"/>
              <w:rPr>
                <w:sz w:val="28"/>
              </w:rPr>
            </w:pPr>
            <w:r>
              <w:rPr>
                <w:sz w:val="28"/>
              </w:rPr>
              <w:t>Через 6 мес</w:t>
            </w:r>
          </w:p>
        </w:tc>
        <w:tc>
          <w:tcPr>
            <w:tcW w:w="1274" w:type="dxa"/>
          </w:tcPr>
          <w:p>
            <w:pPr>
              <w:pStyle w:val="TableParagraph"/>
              <w:spacing w:line="388" w:lineRule="auto"/>
              <w:ind w:left="311" w:right="276" w:hanging="24"/>
              <w:rPr>
                <w:sz w:val="28"/>
              </w:rPr>
            </w:pPr>
            <w:r>
              <w:rPr>
                <w:sz w:val="28"/>
              </w:rPr>
              <w:t>Через 9 мес</w:t>
            </w:r>
          </w:p>
        </w:tc>
        <w:tc>
          <w:tcPr>
            <w:tcW w:w="1277" w:type="dxa"/>
          </w:tcPr>
          <w:p>
            <w:pPr>
              <w:pStyle w:val="TableParagraph"/>
              <w:spacing w:line="388" w:lineRule="auto"/>
              <w:ind w:left="244" w:right="228" w:firstLine="45"/>
              <w:rPr>
                <w:sz w:val="28"/>
              </w:rPr>
            </w:pPr>
            <w:r>
              <w:rPr>
                <w:sz w:val="28"/>
              </w:rPr>
              <w:t>Через 12 мес</w:t>
            </w:r>
          </w:p>
        </w:tc>
        <w:tc>
          <w:tcPr>
            <w:tcW w:w="991" w:type="dxa"/>
          </w:tcPr>
          <w:p>
            <w:pPr>
              <w:pStyle w:val="TableParagraph"/>
              <w:spacing w:line="388" w:lineRule="auto"/>
              <w:ind w:left="100" w:right="85" w:firstLine="45"/>
              <w:rPr>
                <w:sz w:val="28"/>
              </w:rPr>
            </w:pPr>
            <w:r>
              <w:rPr>
                <w:sz w:val="28"/>
              </w:rPr>
              <w:t>Через 18 мес</w:t>
            </w:r>
          </w:p>
        </w:tc>
      </w:tr>
      <w:tr>
        <w:trPr>
          <w:trHeight w:val="1898" w:hRule="exact"/>
        </w:trPr>
        <w:tc>
          <w:tcPr>
            <w:tcW w:w="1951" w:type="dxa"/>
          </w:tcPr>
          <w:p>
            <w:pPr>
              <w:pStyle w:val="TableParagraph"/>
              <w:rPr>
                <w:sz w:val="30"/>
              </w:rPr>
            </w:pPr>
          </w:p>
          <w:p>
            <w:pPr>
              <w:pStyle w:val="TableParagraph"/>
              <w:spacing w:before="10"/>
              <w:rPr>
                <w:sz w:val="28"/>
              </w:rPr>
            </w:pPr>
          </w:p>
          <w:p>
            <w:pPr>
              <w:pStyle w:val="TableParagraph"/>
              <w:ind w:left="465"/>
              <w:rPr>
                <w:sz w:val="28"/>
              </w:rPr>
            </w:pPr>
            <w:r>
              <w:rPr>
                <w:sz w:val="28"/>
              </w:rPr>
              <w:t>FACT-G</w:t>
            </w:r>
          </w:p>
        </w:tc>
        <w:tc>
          <w:tcPr>
            <w:tcW w:w="1277" w:type="dxa"/>
          </w:tcPr>
          <w:p>
            <w:pPr>
              <w:pStyle w:val="TableParagraph"/>
              <w:spacing w:before="1"/>
              <w:rPr>
                <w:sz w:val="36"/>
              </w:rPr>
            </w:pPr>
          </w:p>
          <w:p>
            <w:pPr>
              <w:pStyle w:val="TableParagraph"/>
              <w:ind w:left="386"/>
              <w:rPr>
                <w:sz w:val="28"/>
              </w:rPr>
            </w:pPr>
            <w:r>
              <w:rPr>
                <w:sz w:val="28"/>
              </w:rPr>
              <w:t>74,7</w:t>
            </w:r>
          </w:p>
          <w:p>
            <w:pPr>
              <w:pStyle w:val="TableParagraph"/>
              <w:spacing w:before="198"/>
              <w:ind w:left="346"/>
              <w:rPr>
                <w:sz w:val="28"/>
              </w:rPr>
            </w:pPr>
            <w:r>
              <w:rPr>
                <w:sz w:val="28"/>
              </w:rPr>
              <w:t>± 6,9</w:t>
            </w:r>
          </w:p>
        </w:tc>
        <w:tc>
          <w:tcPr>
            <w:tcW w:w="991" w:type="dxa"/>
          </w:tcPr>
          <w:p>
            <w:pPr>
              <w:pStyle w:val="TableParagraph"/>
              <w:spacing w:before="10"/>
              <w:rPr>
                <w:sz w:val="44"/>
              </w:rPr>
            </w:pPr>
          </w:p>
          <w:p>
            <w:pPr>
              <w:pStyle w:val="TableParagraph"/>
              <w:spacing w:line="322" w:lineRule="exact"/>
              <w:ind w:left="242"/>
              <w:rPr>
                <w:sz w:val="28"/>
              </w:rPr>
            </w:pPr>
            <w:r>
              <w:rPr>
                <w:sz w:val="28"/>
              </w:rPr>
              <w:t>66,7</w:t>
            </w:r>
          </w:p>
          <w:p>
            <w:pPr>
              <w:pStyle w:val="TableParagraph"/>
              <w:ind w:left="165"/>
              <w:rPr>
                <w:sz w:val="28"/>
              </w:rPr>
            </w:pPr>
            <w:r>
              <w:rPr>
                <w:sz w:val="28"/>
              </w:rPr>
              <w:t>±14,8</w:t>
            </w:r>
          </w:p>
        </w:tc>
        <w:tc>
          <w:tcPr>
            <w:tcW w:w="1419" w:type="dxa"/>
          </w:tcPr>
          <w:p>
            <w:pPr>
              <w:pStyle w:val="TableParagraph"/>
              <w:spacing w:before="10"/>
              <w:rPr>
                <w:sz w:val="44"/>
              </w:rPr>
            </w:pPr>
          </w:p>
          <w:p>
            <w:pPr>
              <w:pStyle w:val="TableParagraph"/>
              <w:spacing w:line="322" w:lineRule="exact"/>
              <w:ind w:left="458"/>
              <w:rPr>
                <w:sz w:val="28"/>
              </w:rPr>
            </w:pPr>
            <w:r>
              <w:rPr>
                <w:sz w:val="28"/>
              </w:rPr>
              <w:t>70,6</w:t>
            </w:r>
          </w:p>
          <w:p>
            <w:pPr>
              <w:pStyle w:val="TableParagraph"/>
              <w:ind w:left="381"/>
              <w:rPr>
                <w:sz w:val="28"/>
              </w:rPr>
            </w:pPr>
            <w:r>
              <w:rPr>
                <w:sz w:val="28"/>
              </w:rPr>
              <w:t>±13,4</w:t>
            </w:r>
          </w:p>
        </w:tc>
        <w:tc>
          <w:tcPr>
            <w:tcW w:w="1274" w:type="dxa"/>
          </w:tcPr>
          <w:p>
            <w:pPr>
              <w:pStyle w:val="TableParagraph"/>
              <w:spacing w:before="10"/>
              <w:rPr>
                <w:sz w:val="44"/>
              </w:rPr>
            </w:pPr>
          </w:p>
          <w:p>
            <w:pPr>
              <w:pStyle w:val="TableParagraph"/>
              <w:spacing w:line="322" w:lineRule="exact"/>
              <w:ind w:left="383"/>
              <w:rPr>
                <w:sz w:val="28"/>
              </w:rPr>
            </w:pPr>
            <w:r>
              <w:rPr>
                <w:sz w:val="28"/>
              </w:rPr>
              <w:t>71,6</w:t>
            </w:r>
          </w:p>
          <w:p>
            <w:pPr>
              <w:pStyle w:val="TableParagraph"/>
              <w:ind w:left="307"/>
              <w:rPr>
                <w:sz w:val="28"/>
              </w:rPr>
            </w:pPr>
            <w:r>
              <w:rPr>
                <w:sz w:val="28"/>
              </w:rPr>
              <w:t>±13,4</w:t>
            </w:r>
          </w:p>
        </w:tc>
        <w:tc>
          <w:tcPr>
            <w:tcW w:w="1277" w:type="dxa"/>
          </w:tcPr>
          <w:p>
            <w:pPr>
              <w:pStyle w:val="TableParagraph"/>
              <w:spacing w:before="10"/>
              <w:rPr>
                <w:sz w:val="44"/>
              </w:rPr>
            </w:pPr>
          </w:p>
          <w:p>
            <w:pPr>
              <w:pStyle w:val="TableParagraph"/>
              <w:spacing w:line="322" w:lineRule="exact"/>
              <w:ind w:left="386"/>
              <w:rPr>
                <w:sz w:val="28"/>
              </w:rPr>
            </w:pPr>
            <w:r>
              <w:rPr>
                <w:sz w:val="28"/>
              </w:rPr>
              <w:t>70,6</w:t>
            </w:r>
          </w:p>
          <w:p>
            <w:pPr>
              <w:pStyle w:val="TableParagraph"/>
              <w:ind w:left="311"/>
              <w:rPr>
                <w:sz w:val="28"/>
              </w:rPr>
            </w:pPr>
            <w:r>
              <w:rPr>
                <w:sz w:val="28"/>
              </w:rPr>
              <w:t>±13,4</w:t>
            </w:r>
          </w:p>
        </w:tc>
        <w:tc>
          <w:tcPr>
            <w:tcW w:w="991" w:type="dxa"/>
          </w:tcPr>
          <w:p>
            <w:pPr>
              <w:pStyle w:val="TableParagraph"/>
              <w:spacing w:before="1"/>
              <w:rPr>
                <w:sz w:val="36"/>
              </w:rPr>
            </w:pPr>
          </w:p>
          <w:p>
            <w:pPr>
              <w:pStyle w:val="TableParagraph"/>
              <w:ind w:left="242"/>
              <w:rPr>
                <w:sz w:val="28"/>
              </w:rPr>
            </w:pPr>
            <w:r>
              <w:rPr>
                <w:sz w:val="28"/>
              </w:rPr>
              <w:t>88,9</w:t>
            </w:r>
          </w:p>
          <w:p>
            <w:pPr>
              <w:pStyle w:val="TableParagraph"/>
              <w:spacing w:before="198"/>
              <w:ind w:left="201"/>
              <w:rPr>
                <w:sz w:val="28"/>
              </w:rPr>
            </w:pPr>
            <w:r>
              <w:rPr>
                <w:sz w:val="28"/>
              </w:rPr>
              <w:t>± 9,4</w:t>
            </w:r>
          </w:p>
        </w:tc>
      </w:tr>
      <w:tr>
        <w:trPr>
          <w:trHeight w:val="1054" w:hRule="exact"/>
        </w:trPr>
        <w:tc>
          <w:tcPr>
            <w:tcW w:w="1951" w:type="dxa"/>
          </w:tcPr>
          <w:p>
            <w:pPr>
              <w:pStyle w:val="TableParagraph"/>
              <w:spacing w:before="93"/>
              <w:ind w:left="146" w:right="129" w:firstLine="112"/>
              <w:rPr>
                <w:sz w:val="28"/>
              </w:rPr>
            </w:pPr>
            <w:r>
              <w:rPr>
                <w:sz w:val="28"/>
              </w:rPr>
              <w:t>Физическое благополучие</w:t>
            </w:r>
          </w:p>
        </w:tc>
        <w:tc>
          <w:tcPr>
            <w:tcW w:w="1277" w:type="dxa"/>
          </w:tcPr>
          <w:p>
            <w:pPr>
              <w:pStyle w:val="TableParagraph"/>
              <w:spacing w:line="315" w:lineRule="exact"/>
              <w:ind w:left="389"/>
              <w:rPr>
                <w:sz w:val="28"/>
              </w:rPr>
            </w:pPr>
            <w:r>
              <w:rPr>
                <w:sz w:val="28"/>
              </w:rPr>
              <w:t>22,8</w:t>
            </w:r>
          </w:p>
          <w:p>
            <w:pPr>
              <w:pStyle w:val="TableParagraph"/>
              <w:spacing w:before="199"/>
              <w:ind w:left="382"/>
              <w:rPr>
                <w:sz w:val="28"/>
              </w:rPr>
            </w:pPr>
            <w:r>
              <w:rPr>
                <w:sz w:val="28"/>
              </w:rPr>
              <w:t>± 2,7</w:t>
            </w:r>
          </w:p>
        </w:tc>
        <w:tc>
          <w:tcPr>
            <w:tcW w:w="991" w:type="dxa"/>
          </w:tcPr>
          <w:p>
            <w:pPr>
              <w:pStyle w:val="TableParagraph"/>
              <w:spacing w:line="315" w:lineRule="exact"/>
              <w:ind w:left="86" w:right="91"/>
              <w:jc w:val="center"/>
              <w:rPr>
                <w:sz w:val="28"/>
              </w:rPr>
            </w:pPr>
            <w:r>
              <w:rPr>
                <w:sz w:val="28"/>
              </w:rPr>
              <w:t>18</w:t>
            </w:r>
          </w:p>
          <w:p>
            <w:pPr>
              <w:pStyle w:val="TableParagraph"/>
              <w:spacing w:before="199"/>
              <w:ind w:left="86" w:right="87"/>
              <w:jc w:val="center"/>
              <w:rPr>
                <w:sz w:val="28"/>
              </w:rPr>
            </w:pPr>
            <w:r>
              <w:rPr>
                <w:sz w:val="28"/>
              </w:rPr>
              <w:t>± 2,3</w:t>
            </w:r>
          </w:p>
        </w:tc>
        <w:tc>
          <w:tcPr>
            <w:tcW w:w="1419" w:type="dxa"/>
          </w:tcPr>
          <w:p>
            <w:pPr>
              <w:pStyle w:val="TableParagraph"/>
              <w:spacing w:line="315" w:lineRule="exact"/>
              <w:ind w:left="118" w:right="118"/>
              <w:jc w:val="center"/>
              <w:rPr>
                <w:sz w:val="28"/>
              </w:rPr>
            </w:pPr>
            <w:r>
              <w:rPr>
                <w:sz w:val="28"/>
              </w:rPr>
              <w:t>19</w:t>
            </w:r>
          </w:p>
          <w:p>
            <w:pPr>
              <w:pStyle w:val="TableParagraph"/>
              <w:spacing w:before="199"/>
              <w:ind w:left="119" w:right="118"/>
              <w:jc w:val="center"/>
              <w:rPr>
                <w:sz w:val="28"/>
              </w:rPr>
            </w:pPr>
            <w:r>
              <w:rPr>
                <w:sz w:val="28"/>
              </w:rPr>
              <w:t>± 2,1</w:t>
            </w:r>
          </w:p>
        </w:tc>
        <w:tc>
          <w:tcPr>
            <w:tcW w:w="1274" w:type="dxa"/>
          </w:tcPr>
          <w:p>
            <w:pPr>
              <w:pStyle w:val="TableParagraph"/>
              <w:spacing w:line="315" w:lineRule="exact"/>
              <w:ind w:left="224" w:right="229"/>
              <w:jc w:val="center"/>
              <w:rPr>
                <w:sz w:val="28"/>
              </w:rPr>
            </w:pPr>
            <w:r>
              <w:rPr>
                <w:sz w:val="28"/>
              </w:rPr>
              <w:t>20</w:t>
            </w:r>
          </w:p>
          <w:p>
            <w:pPr>
              <w:pStyle w:val="TableParagraph"/>
              <w:spacing w:before="199"/>
              <w:ind w:left="224" w:right="225"/>
              <w:jc w:val="center"/>
              <w:rPr>
                <w:sz w:val="28"/>
              </w:rPr>
            </w:pPr>
            <w:r>
              <w:rPr>
                <w:sz w:val="28"/>
              </w:rPr>
              <w:t>± 1,8</w:t>
            </w:r>
          </w:p>
        </w:tc>
        <w:tc>
          <w:tcPr>
            <w:tcW w:w="1277" w:type="dxa"/>
          </w:tcPr>
          <w:p>
            <w:pPr>
              <w:pStyle w:val="TableParagraph"/>
              <w:spacing w:line="315" w:lineRule="exact"/>
              <w:ind w:left="106" w:right="106"/>
              <w:jc w:val="center"/>
              <w:rPr>
                <w:sz w:val="28"/>
              </w:rPr>
            </w:pPr>
            <w:r>
              <w:rPr>
                <w:sz w:val="28"/>
              </w:rPr>
              <w:t>19</w:t>
            </w:r>
          </w:p>
          <w:p>
            <w:pPr>
              <w:pStyle w:val="TableParagraph"/>
              <w:spacing w:before="199"/>
              <w:ind w:left="106" w:right="107"/>
              <w:jc w:val="center"/>
              <w:rPr>
                <w:sz w:val="28"/>
              </w:rPr>
            </w:pPr>
            <w:r>
              <w:rPr>
                <w:sz w:val="28"/>
              </w:rPr>
              <w:t>± 2,1</w:t>
            </w:r>
          </w:p>
        </w:tc>
        <w:tc>
          <w:tcPr>
            <w:tcW w:w="991" w:type="dxa"/>
          </w:tcPr>
          <w:p>
            <w:pPr>
              <w:pStyle w:val="TableParagraph"/>
              <w:spacing w:line="315" w:lineRule="exact"/>
              <w:ind w:left="242"/>
              <w:rPr>
                <w:sz w:val="28"/>
              </w:rPr>
            </w:pPr>
            <w:r>
              <w:rPr>
                <w:sz w:val="28"/>
              </w:rPr>
              <w:t>25,5</w:t>
            </w:r>
          </w:p>
          <w:p>
            <w:pPr>
              <w:pStyle w:val="TableParagraph"/>
              <w:spacing w:before="199"/>
              <w:ind w:left="201"/>
              <w:rPr>
                <w:sz w:val="28"/>
              </w:rPr>
            </w:pPr>
            <w:r>
              <w:rPr>
                <w:sz w:val="28"/>
              </w:rPr>
              <w:t>± 2,4</w:t>
            </w:r>
          </w:p>
        </w:tc>
      </w:tr>
      <w:tr>
        <w:trPr>
          <w:trHeight w:val="1176" w:hRule="exact"/>
        </w:trPr>
        <w:tc>
          <w:tcPr>
            <w:tcW w:w="1951" w:type="dxa"/>
          </w:tcPr>
          <w:p>
            <w:pPr>
              <w:pStyle w:val="TableParagraph"/>
              <w:ind w:left="146" w:right="147" w:firstLine="3"/>
              <w:jc w:val="center"/>
              <w:rPr>
                <w:sz w:val="28"/>
              </w:rPr>
            </w:pPr>
            <w:r>
              <w:rPr>
                <w:sz w:val="28"/>
              </w:rPr>
              <w:t>Социально- семейное благополучие</w:t>
            </w:r>
          </w:p>
        </w:tc>
        <w:tc>
          <w:tcPr>
            <w:tcW w:w="1277" w:type="dxa"/>
          </w:tcPr>
          <w:p>
            <w:pPr>
              <w:pStyle w:val="TableParagraph"/>
              <w:spacing w:before="53"/>
              <w:ind w:left="386"/>
              <w:rPr>
                <w:sz w:val="28"/>
              </w:rPr>
            </w:pPr>
            <w:r>
              <w:rPr>
                <w:sz w:val="28"/>
              </w:rPr>
              <w:t>18,8</w:t>
            </w:r>
          </w:p>
          <w:p>
            <w:pPr>
              <w:pStyle w:val="TableParagraph"/>
              <w:spacing w:before="201"/>
              <w:ind w:left="346"/>
              <w:rPr>
                <w:sz w:val="28"/>
              </w:rPr>
            </w:pPr>
            <w:r>
              <w:rPr>
                <w:sz w:val="28"/>
              </w:rPr>
              <w:t>± 3,3</w:t>
            </w:r>
          </w:p>
        </w:tc>
        <w:tc>
          <w:tcPr>
            <w:tcW w:w="991" w:type="dxa"/>
          </w:tcPr>
          <w:p>
            <w:pPr>
              <w:pStyle w:val="TableParagraph"/>
              <w:spacing w:before="53"/>
              <w:jc w:val="center"/>
              <w:rPr>
                <w:sz w:val="28"/>
              </w:rPr>
            </w:pPr>
            <w:r>
              <w:rPr>
                <w:sz w:val="28"/>
              </w:rPr>
              <w:t>18</w:t>
            </w:r>
          </w:p>
          <w:p>
            <w:pPr>
              <w:pStyle w:val="TableParagraph"/>
              <w:spacing w:before="201"/>
              <w:ind w:left="63"/>
              <w:jc w:val="center"/>
              <w:rPr>
                <w:sz w:val="28"/>
              </w:rPr>
            </w:pPr>
            <w:r>
              <w:rPr>
                <w:sz w:val="28"/>
              </w:rPr>
              <w:t>± 3,1</w:t>
            </w:r>
          </w:p>
        </w:tc>
        <w:tc>
          <w:tcPr>
            <w:tcW w:w="1419" w:type="dxa"/>
          </w:tcPr>
          <w:p>
            <w:pPr>
              <w:pStyle w:val="TableParagraph"/>
              <w:spacing w:before="53"/>
              <w:ind w:left="118" w:right="118"/>
              <w:jc w:val="center"/>
              <w:rPr>
                <w:sz w:val="28"/>
              </w:rPr>
            </w:pPr>
            <w:r>
              <w:rPr>
                <w:sz w:val="28"/>
              </w:rPr>
              <w:t>17</w:t>
            </w:r>
          </w:p>
          <w:p>
            <w:pPr>
              <w:pStyle w:val="TableParagraph"/>
              <w:spacing w:before="201"/>
              <w:ind w:left="119" w:right="118"/>
              <w:jc w:val="center"/>
              <w:rPr>
                <w:sz w:val="28"/>
              </w:rPr>
            </w:pPr>
            <w:r>
              <w:rPr>
                <w:sz w:val="28"/>
              </w:rPr>
              <w:t>± 2,2</w:t>
            </w:r>
          </w:p>
        </w:tc>
        <w:tc>
          <w:tcPr>
            <w:tcW w:w="1274" w:type="dxa"/>
          </w:tcPr>
          <w:p>
            <w:pPr>
              <w:pStyle w:val="TableParagraph"/>
              <w:spacing w:before="53"/>
              <w:ind w:left="224" w:right="224"/>
              <w:jc w:val="center"/>
              <w:rPr>
                <w:sz w:val="28"/>
              </w:rPr>
            </w:pPr>
            <w:r>
              <w:rPr>
                <w:sz w:val="28"/>
              </w:rPr>
              <w:t>18</w:t>
            </w:r>
          </w:p>
          <w:p>
            <w:pPr>
              <w:pStyle w:val="TableParagraph"/>
              <w:spacing w:before="201"/>
              <w:ind w:left="224" w:right="161"/>
              <w:jc w:val="center"/>
              <w:rPr>
                <w:sz w:val="28"/>
              </w:rPr>
            </w:pPr>
            <w:r>
              <w:rPr>
                <w:sz w:val="28"/>
              </w:rPr>
              <w:t>± 1,5</w:t>
            </w:r>
          </w:p>
        </w:tc>
        <w:tc>
          <w:tcPr>
            <w:tcW w:w="1277" w:type="dxa"/>
          </w:tcPr>
          <w:p>
            <w:pPr>
              <w:pStyle w:val="TableParagraph"/>
              <w:spacing w:before="53"/>
              <w:ind w:left="106" w:right="106"/>
              <w:jc w:val="center"/>
              <w:rPr>
                <w:sz w:val="28"/>
              </w:rPr>
            </w:pPr>
            <w:r>
              <w:rPr>
                <w:sz w:val="28"/>
              </w:rPr>
              <w:t>17</w:t>
            </w:r>
          </w:p>
          <w:p>
            <w:pPr>
              <w:pStyle w:val="TableParagraph"/>
              <w:spacing w:before="201"/>
              <w:ind w:left="106" w:right="107"/>
              <w:jc w:val="center"/>
              <w:rPr>
                <w:sz w:val="28"/>
              </w:rPr>
            </w:pPr>
            <w:r>
              <w:rPr>
                <w:sz w:val="28"/>
              </w:rPr>
              <w:t>± 2,2</w:t>
            </w:r>
          </w:p>
        </w:tc>
        <w:tc>
          <w:tcPr>
            <w:tcW w:w="991" w:type="dxa"/>
          </w:tcPr>
          <w:p>
            <w:pPr>
              <w:pStyle w:val="TableParagraph"/>
              <w:spacing w:before="53"/>
              <w:ind w:left="242"/>
              <w:rPr>
                <w:sz w:val="28"/>
              </w:rPr>
            </w:pPr>
            <w:r>
              <w:rPr>
                <w:sz w:val="28"/>
              </w:rPr>
              <w:t>20,1</w:t>
            </w:r>
          </w:p>
          <w:p>
            <w:pPr>
              <w:pStyle w:val="TableParagraph"/>
              <w:spacing w:before="201"/>
              <w:ind w:left="201"/>
              <w:rPr>
                <w:sz w:val="28"/>
              </w:rPr>
            </w:pPr>
            <w:r>
              <w:rPr>
                <w:sz w:val="28"/>
              </w:rPr>
              <w:t>± 3,1</w:t>
            </w:r>
          </w:p>
        </w:tc>
      </w:tr>
      <w:tr>
        <w:trPr>
          <w:trHeight w:val="1176" w:hRule="exact"/>
        </w:trPr>
        <w:tc>
          <w:tcPr>
            <w:tcW w:w="1951" w:type="dxa"/>
          </w:tcPr>
          <w:p>
            <w:pPr>
              <w:pStyle w:val="TableParagraph"/>
              <w:ind w:left="146" w:right="147" w:firstLine="5"/>
              <w:jc w:val="center"/>
              <w:rPr>
                <w:sz w:val="28"/>
              </w:rPr>
            </w:pPr>
            <w:r>
              <w:rPr>
                <w:sz w:val="28"/>
              </w:rPr>
              <w:t>Эмоциональ- ное   благополучие</w:t>
            </w:r>
          </w:p>
        </w:tc>
        <w:tc>
          <w:tcPr>
            <w:tcW w:w="1277" w:type="dxa"/>
          </w:tcPr>
          <w:p>
            <w:pPr>
              <w:pStyle w:val="TableParagraph"/>
              <w:spacing w:before="53"/>
              <w:ind w:left="389"/>
              <w:rPr>
                <w:sz w:val="28"/>
              </w:rPr>
            </w:pPr>
            <w:r>
              <w:rPr>
                <w:sz w:val="28"/>
              </w:rPr>
              <w:t>15,9</w:t>
            </w:r>
          </w:p>
          <w:p>
            <w:pPr>
              <w:pStyle w:val="TableParagraph"/>
              <w:spacing w:before="201"/>
              <w:ind w:left="346"/>
              <w:rPr>
                <w:sz w:val="28"/>
              </w:rPr>
            </w:pPr>
            <w:r>
              <w:rPr>
                <w:sz w:val="28"/>
              </w:rPr>
              <w:t>± 2,9</w:t>
            </w:r>
          </w:p>
        </w:tc>
        <w:tc>
          <w:tcPr>
            <w:tcW w:w="991" w:type="dxa"/>
          </w:tcPr>
          <w:p>
            <w:pPr>
              <w:pStyle w:val="TableParagraph"/>
              <w:spacing w:before="53"/>
              <w:jc w:val="center"/>
              <w:rPr>
                <w:sz w:val="28"/>
              </w:rPr>
            </w:pPr>
            <w:r>
              <w:rPr>
                <w:sz w:val="28"/>
              </w:rPr>
              <w:t>18</w:t>
            </w:r>
          </w:p>
          <w:p>
            <w:pPr>
              <w:pStyle w:val="TableParagraph"/>
              <w:spacing w:before="201"/>
              <w:ind w:left="63"/>
              <w:jc w:val="center"/>
              <w:rPr>
                <w:sz w:val="28"/>
              </w:rPr>
            </w:pPr>
            <w:r>
              <w:rPr>
                <w:sz w:val="28"/>
              </w:rPr>
              <w:t>± 2,4</w:t>
            </w:r>
          </w:p>
        </w:tc>
        <w:tc>
          <w:tcPr>
            <w:tcW w:w="1419" w:type="dxa"/>
          </w:tcPr>
          <w:p>
            <w:pPr>
              <w:pStyle w:val="TableParagraph"/>
              <w:spacing w:before="53"/>
              <w:ind w:left="118" w:right="118"/>
              <w:jc w:val="center"/>
              <w:rPr>
                <w:sz w:val="28"/>
              </w:rPr>
            </w:pPr>
            <w:r>
              <w:rPr>
                <w:sz w:val="28"/>
              </w:rPr>
              <w:t>17</w:t>
            </w:r>
          </w:p>
          <w:p>
            <w:pPr>
              <w:pStyle w:val="TableParagraph"/>
              <w:spacing w:before="201"/>
              <w:ind w:left="119" w:right="118"/>
              <w:jc w:val="center"/>
              <w:rPr>
                <w:sz w:val="28"/>
              </w:rPr>
            </w:pPr>
            <w:r>
              <w:rPr>
                <w:sz w:val="28"/>
              </w:rPr>
              <w:t>± 2,7</w:t>
            </w:r>
          </w:p>
        </w:tc>
        <w:tc>
          <w:tcPr>
            <w:tcW w:w="1274" w:type="dxa"/>
          </w:tcPr>
          <w:p>
            <w:pPr>
              <w:pStyle w:val="TableParagraph"/>
              <w:spacing w:before="53"/>
              <w:ind w:left="224" w:right="229"/>
              <w:jc w:val="center"/>
              <w:rPr>
                <w:sz w:val="28"/>
              </w:rPr>
            </w:pPr>
            <w:r>
              <w:rPr>
                <w:sz w:val="28"/>
              </w:rPr>
              <w:t>18</w:t>
            </w:r>
          </w:p>
          <w:p>
            <w:pPr>
              <w:pStyle w:val="TableParagraph"/>
              <w:spacing w:before="201"/>
              <w:ind w:left="224" w:right="225"/>
              <w:jc w:val="center"/>
              <w:rPr>
                <w:sz w:val="28"/>
              </w:rPr>
            </w:pPr>
            <w:r>
              <w:rPr>
                <w:sz w:val="28"/>
              </w:rPr>
              <w:t>± 1,8</w:t>
            </w:r>
          </w:p>
        </w:tc>
        <w:tc>
          <w:tcPr>
            <w:tcW w:w="1277" w:type="dxa"/>
          </w:tcPr>
          <w:p>
            <w:pPr>
              <w:pStyle w:val="TableParagraph"/>
              <w:spacing w:before="4"/>
              <w:rPr>
                <w:sz w:val="27"/>
              </w:rPr>
            </w:pPr>
          </w:p>
          <w:p>
            <w:pPr>
              <w:pStyle w:val="TableParagraph"/>
              <w:ind w:left="170"/>
              <w:rPr>
                <w:sz w:val="28"/>
              </w:rPr>
            </w:pPr>
            <w:r>
              <w:rPr>
                <w:sz w:val="28"/>
              </w:rPr>
              <w:t>17 ± 2,7</w:t>
            </w:r>
          </w:p>
        </w:tc>
        <w:tc>
          <w:tcPr>
            <w:tcW w:w="991" w:type="dxa"/>
          </w:tcPr>
          <w:p>
            <w:pPr>
              <w:pStyle w:val="TableParagraph"/>
              <w:spacing w:line="322" w:lineRule="exact" w:before="153"/>
              <w:ind w:left="242"/>
              <w:rPr>
                <w:sz w:val="28"/>
              </w:rPr>
            </w:pPr>
            <w:r>
              <w:rPr>
                <w:sz w:val="28"/>
              </w:rPr>
              <w:t>21,2</w:t>
            </w:r>
          </w:p>
          <w:p>
            <w:pPr>
              <w:pStyle w:val="TableParagraph"/>
              <w:ind w:left="235"/>
              <w:rPr>
                <w:sz w:val="28"/>
              </w:rPr>
            </w:pPr>
            <w:r>
              <w:rPr>
                <w:sz w:val="28"/>
              </w:rPr>
              <w:t>±3,1</w:t>
            </w:r>
          </w:p>
        </w:tc>
      </w:tr>
      <w:tr>
        <w:trPr>
          <w:trHeight w:val="1498" w:hRule="exact"/>
        </w:trPr>
        <w:tc>
          <w:tcPr>
            <w:tcW w:w="1951" w:type="dxa"/>
          </w:tcPr>
          <w:p>
            <w:pPr>
              <w:pStyle w:val="TableParagraph"/>
              <w:ind w:left="136" w:right="138"/>
              <w:jc w:val="center"/>
              <w:rPr>
                <w:sz w:val="28"/>
              </w:rPr>
            </w:pPr>
            <w:r>
              <w:rPr>
                <w:sz w:val="28"/>
              </w:rPr>
              <w:t>Благополучие в          повседневной жизни</w:t>
            </w:r>
          </w:p>
        </w:tc>
        <w:tc>
          <w:tcPr>
            <w:tcW w:w="1277" w:type="dxa"/>
          </w:tcPr>
          <w:p>
            <w:pPr>
              <w:pStyle w:val="TableParagraph"/>
              <w:spacing w:before="213"/>
              <w:ind w:left="389"/>
              <w:rPr>
                <w:sz w:val="28"/>
              </w:rPr>
            </w:pPr>
            <w:r>
              <w:rPr>
                <w:sz w:val="28"/>
              </w:rPr>
              <w:t>17,2</w:t>
            </w:r>
          </w:p>
          <w:p>
            <w:pPr>
              <w:pStyle w:val="TableParagraph"/>
              <w:spacing w:before="200"/>
              <w:ind w:left="382"/>
              <w:rPr>
                <w:sz w:val="28"/>
              </w:rPr>
            </w:pPr>
            <w:r>
              <w:rPr>
                <w:sz w:val="28"/>
              </w:rPr>
              <w:t>± 3,5</w:t>
            </w:r>
          </w:p>
        </w:tc>
        <w:tc>
          <w:tcPr>
            <w:tcW w:w="991" w:type="dxa"/>
          </w:tcPr>
          <w:p>
            <w:pPr>
              <w:pStyle w:val="TableParagraph"/>
              <w:spacing w:before="213"/>
              <w:ind w:left="86" w:right="91"/>
              <w:jc w:val="center"/>
              <w:rPr>
                <w:sz w:val="28"/>
              </w:rPr>
            </w:pPr>
            <w:r>
              <w:rPr>
                <w:sz w:val="28"/>
              </w:rPr>
              <w:t>16</w:t>
            </w:r>
          </w:p>
          <w:p>
            <w:pPr>
              <w:pStyle w:val="TableParagraph"/>
              <w:spacing w:before="200"/>
              <w:ind w:left="86" w:right="87"/>
              <w:jc w:val="center"/>
              <w:rPr>
                <w:sz w:val="28"/>
              </w:rPr>
            </w:pPr>
            <w:r>
              <w:rPr>
                <w:sz w:val="28"/>
              </w:rPr>
              <w:t>± 2,8</w:t>
            </w:r>
          </w:p>
        </w:tc>
        <w:tc>
          <w:tcPr>
            <w:tcW w:w="1419" w:type="dxa"/>
          </w:tcPr>
          <w:p>
            <w:pPr>
              <w:pStyle w:val="TableParagraph"/>
              <w:spacing w:before="213"/>
              <w:ind w:left="118" w:right="118"/>
              <w:jc w:val="center"/>
              <w:rPr>
                <w:sz w:val="28"/>
              </w:rPr>
            </w:pPr>
            <w:r>
              <w:rPr>
                <w:sz w:val="28"/>
              </w:rPr>
              <w:t>17</w:t>
            </w:r>
          </w:p>
          <w:p>
            <w:pPr>
              <w:pStyle w:val="TableParagraph"/>
              <w:spacing w:before="200"/>
              <w:ind w:left="119" w:right="118"/>
              <w:jc w:val="center"/>
              <w:rPr>
                <w:sz w:val="28"/>
              </w:rPr>
            </w:pPr>
            <w:r>
              <w:rPr>
                <w:sz w:val="28"/>
              </w:rPr>
              <w:t>± 2,7</w:t>
            </w:r>
          </w:p>
        </w:tc>
        <w:tc>
          <w:tcPr>
            <w:tcW w:w="1274" w:type="dxa"/>
          </w:tcPr>
          <w:p>
            <w:pPr>
              <w:pStyle w:val="TableParagraph"/>
              <w:spacing w:before="213"/>
              <w:ind w:left="224" w:right="229"/>
              <w:jc w:val="center"/>
              <w:rPr>
                <w:sz w:val="28"/>
              </w:rPr>
            </w:pPr>
            <w:r>
              <w:rPr>
                <w:sz w:val="28"/>
              </w:rPr>
              <w:t>20</w:t>
            </w:r>
          </w:p>
          <w:p>
            <w:pPr>
              <w:pStyle w:val="TableParagraph"/>
              <w:spacing w:before="200"/>
              <w:ind w:left="224" w:right="225"/>
              <w:jc w:val="center"/>
              <w:rPr>
                <w:sz w:val="28"/>
              </w:rPr>
            </w:pPr>
            <w:r>
              <w:rPr>
                <w:sz w:val="28"/>
              </w:rPr>
              <w:t>± 2,2</w:t>
            </w:r>
          </w:p>
        </w:tc>
        <w:tc>
          <w:tcPr>
            <w:tcW w:w="1277" w:type="dxa"/>
          </w:tcPr>
          <w:p>
            <w:pPr>
              <w:pStyle w:val="TableParagraph"/>
              <w:spacing w:before="213"/>
              <w:ind w:left="106" w:right="106"/>
              <w:jc w:val="center"/>
              <w:rPr>
                <w:sz w:val="28"/>
              </w:rPr>
            </w:pPr>
            <w:r>
              <w:rPr>
                <w:sz w:val="28"/>
              </w:rPr>
              <w:t>17</w:t>
            </w:r>
          </w:p>
          <w:p>
            <w:pPr>
              <w:pStyle w:val="TableParagraph"/>
              <w:spacing w:before="200"/>
              <w:ind w:left="106" w:right="107"/>
              <w:jc w:val="center"/>
              <w:rPr>
                <w:sz w:val="28"/>
              </w:rPr>
            </w:pPr>
            <w:r>
              <w:rPr>
                <w:sz w:val="28"/>
              </w:rPr>
              <w:t>± 2,7</w:t>
            </w:r>
          </w:p>
        </w:tc>
        <w:tc>
          <w:tcPr>
            <w:tcW w:w="991" w:type="dxa"/>
          </w:tcPr>
          <w:p>
            <w:pPr>
              <w:pStyle w:val="TableParagraph"/>
              <w:spacing w:before="213"/>
              <w:ind w:left="242"/>
              <w:rPr>
                <w:sz w:val="28"/>
              </w:rPr>
            </w:pPr>
            <w:r>
              <w:rPr>
                <w:sz w:val="28"/>
              </w:rPr>
              <w:t>22,1</w:t>
            </w:r>
          </w:p>
          <w:p>
            <w:pPr>
              <w:pStyle w:val="TableParagraph"/>
              <w:spacing w:before="200"/>
              <w:ind w:left="201"/>
              <w:rPr>
                <w:sz w:val="28"/>
              </w:rPr>
            </w:pPr>
            <w:r>
              <w:rPr>
                <w:sz w:val="28"/>
              </w:rPr>
              <w:t>± 3,3</w:t>
            </w:r>
          </w:p>
        </w:tc>
      </w:tr>
      <w:tr>
        <w:trPr>
          <w:trHeight w:val="1054" w:hRule="exact"/>
        </w:trPr>
        <w:tc>
          <w:tcPr>
            <w:tcW w:w="1951" w:type="dxa"/>
          </w:tcPr>
          <w:p>
            <w:pPr>
              <w:pStyle w:val="TableParagraph"/>
              <w:spacing w:before="93"/>
              <w:ind w:left="403" w:right="207" w:hanging="195"/>
              <w:rPr>
                <w:sz w:val="28"/>
              </w:rPr>
            </w:pPr>
            <w:r>
              <w:rPr>
                <w:sz w:val="28"/>
              </w:rPr>
              <w:t>Модифицир. FACT-Cx</w:t>
            </w:r>
          </w:p>
        </w:tc>
        <w:tc>
          <w:tcPr>
            <w:tcW w:w="1277" w:type="dxa"/>
          </w:tcPr>
          <w:p>
            <w:pPr>
              <w:pStyle w:val="TableParagraph"/>
              <w:spacing w:line="322" w:lineRule="exact" w:before="93"/>
              <w:ind w:left="106" w:right="106"/>
              <w:jc w:val="center"/>
              <w:rPr>
                <w:sz w:val="28"/>
              </w:rPr>
            </w:pPr>
            <w:r>
              <w:rPr>
                <w:sz w:val="28"/>
              </w:rPr>
              <w:t>36,1 ±</w:t>
            </w:r>
          </w:p>
          <w:p>
            <w:pPr>
              <w:pStyle w:val="TableParagraph"/>
              <w:ind w:left="106" w:right="104"/>
              <w:jc w:val="center"/>
              <w:rPr>
                <w:sz w:val="28"/>
              </w:rPr>
            </w:pPr>
            <w:r>
              <w:rPr>
                <w:sz w:val="28"/>
              </w:rPr>
              <w:t>3,1</w:t>
            </w:r>
          </w:p>
        </w:tc>
        <w:tc>
          <w:tcPr>
            <w:tcW w:w="991" w:type="dxa"/>
          </w:tcPr>
          <w:p>
            <w:pPr>
              <w:pStyle w:val="TableParagraph"/>
              <w:spacing w:line="315" w:lineRule="exact"/>
              <w:ind w:left="86" w:right="91"/>
              <w:jc w:val="center"/>
              <w:rPr>
                <w:sz w:val="28"/>
              </w:rPr>
            </w:pPr>
            <w:r>
              <w:rPr>
                <w:sz w:val="28"/>
              </w:rPr>
              <w:t>41</w:t>
            </w:r>
          </w:p>
          <w:p>
            <w:pPr>
              <w:pStyle w:val="TableParagraph"/>
              <w:spacing w:before="201"/>
              <w:ind w:left="86" w:right="87"/>
              <w:jc w:val="center"/>
              <w:rPr>
                <w:sz w:val="28"/>
              </w:rPr>
            </w:pPr>
            <w:r>
              <w:rPr>
                <w:sz w:val="28"/>
              </w:rPr>
              <w:t>± 2,8</w:t>
            </w:r>
          </w:p>
        </w:tc>
        <w:tc>
          <w:tcPr>
            <w:tcW w:w="1419" w:type="dxa"/>
          </w:tcPr>
          <w:p>
            <w:pPr>
              <w:pStyle w:val="TableParagraph"/>
              <w:spacing w:line="315" w:lineRule="exact"/>
              <w:ind w:left="118" w:right="118"/>
              <w:jc w:val="center"/>
              <w:rPr>
                <w:sz w:val="28"/>
              </w:rPr>
            </w:pPr>
            <w:r>
              <w:rPr>
                <w:sz w:val="28"/>
              </w:rPr>
              <w:t>38</w:t>
            </w:r>
          </w:p>
          <w:p>
            <w:pPr>
              <w:pStyle w:val="TableParagraph"/>
              <w:spacing w:before="201"/>
              <w:ind w:left="119" w:right="118"/>
              <w:jc w:val="center"/>
              <w:rPr>
                <w:sz w:val="28"/>
              </w:rPr>
            </w:pPr>
            <w:r>
              <w:rPr>
                <w:sz w:val="28"/>
              </w:rPr>
              <w:t>± 1,8</w:t>
            </w:r>
          </w:p>
        </w:tc>
        <w:tc>
          <w:tcPr>
            <w:tcW w:w="1274" w:type="dxa"/>
          </w:tcPr>
          <w:p>
            <w:pPr>
              <w:pStyle w:val="TableParagraph"/>
              <w:spacing w:line="315" w:lineRule="exact"/>
              <w:ind w:left="224" w:right="229"/>
              <w:jc w:val="center"/>
              <w:rPr>
                <w:sz w:val="28"/>
              </w:rPr>
            </w:pPr>
            <w:r>
              <w:rPr>
                <w:sz w:val="28"/>
              </w:rPr>
              <w:t>43</w:t>
            </w:r>
          </w:p>
          <w:p>
            <w:pPr>
              <w:pStyle w:val="TableParagraph"/>
              <w:spacing w:before="201"/>
              <w:ind w:left="224" w:right="225"/>
              <w:jc w:val="center"/>
              <w:rPr>
                <w:sz w:val="28"/>
              </w:rPr>
            </w:pPr>
            <w:r>
              <w:rPr>
                <w:sz w:val="28"/>
              </w:rPr>
              <w:t>± 2,2</w:t>
            </w:r>
          </w:p>
        </w:tc>
        <w:tc>
          <w:tcPr>
            <w:tcW w:w="1277" w:type="dxa"/>
          </w:tcPr>
          <w:p>
            <w:pPr>
              <w:pStyle w:val="TableParagraph"/>
              <w:spacing w:line="315" w:lineRule="exact"/>
              <w:ind w:left="106" w:right="106"/>
              <w:jc w:val="center"/>
              <w:rPr>
                <w:sz w:val="28"/>
              </w:rPr>
            </w:pPr>
            <w:r>
              <w:rPr>
                <w:sz w:val="28"/>
              </w:rPr>
              <w:t>38</w:t>
            </w:r>
          </w:p>
          <w:p>
            <w:pPr>
              <w:pStyle w:val="TableParagraph"/>
              <w:spacing w:before="201"/>
              <w:ind w:left="106" w:right="107"/>
              <w:jc w:val="center"/>
              <w:rPr>
                <w:sz w:val="28"/>
              </w:rPr>
            </w:pPr>
            <w:r>
              <w:rPr>
                <w:sz w:val="28"/>
              </w:rPr>
              <w:t>± 1,8</w:t>
            </w:r>
          </w:p>
        </w:tc>
        <w:tc>
          <w:tcPr>
            <w:tcW w:w="991" w:type="dxa"/>
          </w:tcPr>
          <w:p>
            <w:pPr>
              <w:pStyle w:val="TableParagraph"/>
              <w:spacing w:line="315" w:lineRule="exact"/>
              <w:ind w:left="86" w:right="91"/>
              <w:jc w:val="center"/>
              <w:rPr>
                <w:sz w:val="28"/>
              </w:rPr>
            </w:pPr>
            <w:r>
              <w:rPr>
                <w:sz w:val="28"/>
              </w:rPr>
              <w:t>47</w:t>
            </w:r>
          </w:p>
          <w:p>
            <w:pPr>
              <w:pStyle w:val="TableParagraph"/>
              <w:spacing w:before="201"/>
              <w:ind w:left="86" w:right="87"/>
              <w:jc w:val="center"/>
              <w:rPr>
                <w:sz w:val="28"/>
              </w:rPr>
            </w:pPr>
            <w:r>
              <w:rPr>
                <w:sz w:val="28"/>
              </w:rPr>
              <w:t>± 2,1</w:t>
            </w:r>
          </w:p>
        </w:tc>
      </w:tr>
    </w:tbl>
    <w:p>
      <w:pPr>
        <w:spacing w:after="0"/>
        <w:jc w:val="center"/>
        <w:rPr>
          <w:sz w:val="28"/>
        </w:rPr>
        <w:sectPr>
          <w:pgSz w:w="11900" w:h="16850"/>
          <w:pgMar w:header="712" w:footer="0" w:top="1020" w:bottom="280" w:left="1480" w:right="1000"/>
        </w:sectPr>
      </w:pPr>
    </w:p>
    <w:p>
      <w:pPr>
        <w:pStyle w:val="BodyText"/>
        <w:rPr>
          <w:sz w:val="20"/>
        </w:rPr>
      </w:pPr>
    </w:p>
    <w:p>
      <w:pPr>
        <w:pStyle w:val="BodyText"/>
        <w:rPr>
          <w:sz w:val="20"/>
        </w:rPr>
      </w:pPr>
    </w:p>
    <w:p>
      <w:pPr>
        <w:pStyle w:val="BodyText"/>
        <w:spacing w:line="360" w:lineRule="auto" w:before="224"/>
        <w:ind w:left="102" w:right="559" w:firstLine="417"/>
        <w:jc w:val="both"/>
      </w:pPr>
      <w:r>
        <w:rPr/>
        <w:t>На следующем рисунке суммированы показатели качества жизни больных раком шейки матки после лапароскопических и лапаротомных операций (Рис. 4.19).</w:t>
      </w:r>
    </w:p>
    <w:p>
      <w:pPr>
        <w:pStyle w:val="BodyText"/>
        <w:rPr>
          <w:sz w:val="30"/>
        </w:rPr>
      </w:pPr>
    </w:p>
    <w:p>
      <w:pPr>
        <w:pStyle w:val="BodyText"/>
        <w:spacing w:line="680" w:lineRule="atLeast" w:before="185"/>
        <w:ind w:left="306" w:right="84" w:firstLine="7314"/>
      </w:pPr>
      <w:r>
        <w:rPr/>
        <w:t>Рисунок 4.19 Показатели качества жизни у больных раком шейки матки исследуемых</w:t>
      </w:r>
    </w:p>
    <w:p>
      <w:pPr>
        <w:pStyle w:val="BodyText"/>
        <w:spacing w:before="159"/>
        <w:ind w:left="379" w:right="380"/>
        <w:jc w:val="center"/>
      </w:pPr>
      <w:r>
        <w:rPr/>
        <w:pict>
          <v:group style="position:absolute;margin-left:106.474998pt;margin-top:76.18531pt;width:409.25pt;height:167.05pt;mso-position-horizontal-relative:page;mso-position-vertical-relative:paragraph;z-index:6136" coordorigin="2129,1524" coordsize="8185,3341">
            <v:shape style="position:absolute;left:3281;top:1751;width:4808;height:2381" coordorigin="3281,1751" coordsize="4808,2381" path="m3281,3892l8088,3892m3281,3655l8088,3655m3281,3417l8088,3417m3281,3179l8088,3179m3281,2942l8088,2942m3281,2702l8088,2702m3281,2464l5215,2464m3281,2227l8088,2227m3281,1989l8088,1989m3281,1751l8088,1751m3281,4132l3281,1751m3281,4132l8088,4132m6957,2464l8088,2464m6156,2464l6817,2464m5355,2464l6016,2464e" filled="false" stroked="true" strokeweight=".72pt" strokecolor="#858585">
              <v:path arrowok="t"/>
              <v:stroke dashstyle="solid"/>
            </v:shape>
            <v:shape style="position:absolute;left:3682;top:1893;width:4006;height:524" coordorigin="3682,1893" coordsize="4006,524" path="m3682,2416l4483,2251,5285,2131,6084,2392,6886,2275,7687,1893e" filled="false" stroked="true" strokeweight="2.16pt" strokecolor="#497dba">
              <v:path arrowok="t"/>
              <v:stroke dashstyle="solid"/>
            </v:shape>
            <v:shape style="position:absolute;left:3605;top:2340;width:155;height:155" type="#_x0000_t75" stroked="false">
              <v:imagedata r:id="rId151" o:title=""/>
            </v:shape>
            <v:shape style="position:absolute;left:4406;top:2174;width:155;height:155" type="#_x0000_t75" stroked="false">
              <v:imagedata r:id="rId152" o:title=""/>
            </v:shape>
            <v:shape style="position:absolute;left:5207;top:2055;width:155;height:155" type="#_x0000_t75" stroked="false">
              <v:imagedata r:id="rId152" o:title=""/>
            </v:shape>
            <v:shape style="position:absolute;left:6008;top:2317;width:155;height:155" type="#_x0000_t75" stroked="false">
              <v:imagedata r:id="rId152" o:title=""/>
            </v:shape>
            <v:shape style="position:absolute;left:6810;top:2198;width:155;height:155" type="#_x0000_t75" stroked="false">
              <v:imagedata r:id="rId152" o:title=""/>
            </v:shape>
            <v:shape style="position:absolute;left:7611;top:1817;width:155;height:155" type="#_x0000_t75" stroked="false">
              <v:imagedata r:id="rId151" o:title=""/>
            </v:shape>
            <v:shape style="position:absolute;left:3682;top:2037;width:4006;height:524" coordorigin="3682,2037" coordsize="4006,524" path="m3682,2371l4483,2560,5285,2464,6084,2440,6886,2464,7687,2037e" filled="false" stroked="true" strokeweight="2.16pt" strokecolor="#bd4a47">
              <v:path arrowok="t"/>
              <v:stroke dashstyle="solid"/>
            </v:shape>
            <v:rect style="position:absolute;left:3612;top:2300;width:140;height:140" filled="true" fillcolor="#c0504d" stroked="false">
              <v:fill type="solid"/>
            </v:rect>
            <v:rect style="position:absolute;left:3612;top:2300;width:140;height:140" filled="false" stroked="true" strokeweight=".75pt" strokecolor="#bd4a47">
              <v:stroke dashstyle="solid"/>
            </v:rect>
            <v:rect style="position:absolute;left:4413;top:2491;width:140;height:140" filled="true" fillcolor="#c0504d" stroked="false">
              <v:fill type="solid"/>
            </v:rect>
            <v:rect style="position:absolute;left:4413;top:2491;width:140;height:140" filled="false" stroked="true" strokeweight=".75pt" strokecolor="#bd4a47">
              <v:stroke dashstyle="solid"/>
            </v:rect>
            <v:rect style="position:absolute;left:5215;top:2395;width:140;height:140" filled="true" fillcolor="#c0504d" stroked="false">
              <v:fill type="solid"/>
            </v:rect>
            <v:rect style="position:absolute;left:5215;top:2395;width:140;height:140" filled="false" stroked="true" strokeweight=".75pt" strokecolor="#bd4a47">
              <v:stroke dashstyle="solid"/>
            </v:rect>
            <v:rect style="position:absolute;left:6016;top:2372;width:140;height:140" filled="true" fillcolor="#c0504d" stroked="false">
              <v:fill type="solid"/>
            </v:rect>
            <v:rect style="position:absolute;left:6016;top:2372;width:140;height:140" filled="false" stroked="true" strokeweight=".75pt" strokecolor="#bd4a47">
              <v:stroke dashstyle="solid"/>
            </v:rect>
            <v:rect style="position:absolute;left:6817;top:2395;width:140;height:140" filled="true" fillcolor="#c0504d" stroked="false">
              <v:fill type="solid"/>
            </v:rect>
            <v:rect style="position:absolute;left:6817;top:2395;width:140;height:140" filled="false" stroked="true" strokeweight=".75pt" strokecolor="#bd4a47">
              <v:stroke dashstyle="solid"/>
            </v:rect>
            <v:rect style="position:absolute;left:7618;top:1967;width:140;height:140" filled="true" fillcolor="#c0504d" stroked="false">
              <v:fill type="solid"/>
            </v:rect>
            <v:rect style="position:absolute;left:7618;top:1967;width:140;height:140" filled="false" stroked="true" strokeweight=".75pt" strokecolor="#bd4a47">
              <v:stroke dashstyle="solid"/>
            </v:rect>
            <v:shape style="position:absolute;left:8378;top:2951;width:427;height:134" type="#_x0000_t75" stroked="false">
              <v:imagedata r:id="rId153" o:title=""/>
            </v:shape>
            <v:shape style="position:absolute;left:8400;top:3369;width:384;height:2" coordorigin="8400,3369" coordsize="384,0" path="m8652,3369l8784,3369m8400,3369l8532,3369e" filled="false" stroked="true" strokeweight="2.16pt" strokecolor="#bd4a47">
              <v:path arrowok="t"/>
              <v:stroke dashstyle="solid"/>
            </v:shape>
            <v:rect style="position:absolute;left:8532;top:3309;width:120;height:120" filled="true" fillcolor="#c0504d" stroked="false">
              <v:fill type="solid"/>
            </v:rect>
            <v:rect style="position:absolute;left:8532;top:3309;width:120;height:120" filled="false" stroked="true" strokeweight=".72pt" strokecolor="#bd4a47">
              <v:stroke dashstyle="solid"/>
            </v:rect>
            <v:rect style="position:absolute;left:2137;top:1531;width:8170;height:3326" filled="false" stroked="true" strokeweight=".75pt" strokecolor="#858585">
              <v:stroke dashstyle="solid"/>
            </v:rect>
            <v:shape style="position:absolute;left:2770;top:1627;width:352;height:2615" type="#_x0000_t202" filled="false" stroked="false">
              <v:textbox inset="0,0,0,0">
                <w:txbxContent>
                  <w:p>
                    <w:pPr>
                      <w:spacing w:line="234" w:lineRule="exact" w:before="0"/>
                      <w:ind w:left="-1" w:right="18" w:firstLine="0"/>
                      <w:jc w:val="center"/>
                      <w:rPr>
                        <w:rFonts w:ascii="Cambria"/>
                        <w:sz w:val="20"/>
                      </w:rPr>
                    </w:pPr>
                    <w:r>
                      <w:rPr>
                        <w:rFonts w:ascii="Cambria"/>
                        <w:sz w:val="20"/>
                      </w:rPr>
                      <w:t>100</w:t>
                    </w:r>
                  </w:p>
                  <w:p>
                    <w:pPr>
                      <w:spacing w:before="4"/>
                      <w:ind w:left="90" w:right="0" w:firstLine="0"/>
                      <w:jc w:val="center"/>
                      <w:rPr>
                        <w:rFonts w:ascii="Cambria"/>
                        <w:sz w:val="20"/>
                      </w:rPr>
                    </w:pPr>
                    <w:r>
                      <w:rPr>
                        <w:rFonts w:ascii="Cambria"/>
                        <w:sz w:val="20"/>
                      </w:rPr>
                      <w:t>90</w:t>
                    </w:r>
                  </w:p>
                  <w:p>
                    <w:pPr>
                      <w:spacing w:before="3"/>
                      <w:ind w:left="90" w:right="0" w:firstLine="0"/>
                      <w:jc w:val="center"/>
                      <w:rPr>
                        <w:rFonts w:ascii="Cambria"/>
                        <w:sz w:val="20"/>
                      </w:rPr>
                    </w:pPr>
                    <w:r>
                      <w:rPr>
                        <w:rFonts w:ascii="Cambria"/>
                        <w:sz w:val="20"/>
                      </w:rPr>
                      <w:t>80</w:t>
                    </w:r>
                  </w:p>
                  <w:p>
                    <w:pPr>
                      <w:spacing w:before="2"/>
                      <w:ind w:left="90" w:right="0" w:firstLine="0"/>
                      <w:jc w:val="center"/>
                      <w:rPr>
                        <w:rFonts w:ascii="Cambria"/>
                        <w:sz w:val="20"/>
                      </w:rPr>
                    </w:pPr>
                    <w:r>
                      <w:rPr>
                        <w:rFonts w:ascii="Cambria"/>
                        <w:sz w:val="20"/>
                      </w:rPr>
                      <w:t>70</w:t>
                    </w:r>
                  </w:p>
                  <w:p>
                    <w:pPr>
                      <w:spacing w:before="3"/>
                      <w:ind w:left="90" w:right="0" w:firstLine="0"/>
                      <w:jc w:val="center"/>
                      <w:rPr>
                        <w:rFonts w:ascii="Cambria"/>
                        <w:sz w:val="20"/>
                      </w:rPr>
                    </w:pPr>
                    <w:r>
                      <w:rPr>
                        <w:rFonts w:ascii="Cambria"/>
                        <w:sz w:val="20"/>
                      </w:rPr>
                      <w:t>60</w:t>
                    </w:r>
                  </w:p>
                  <w:p>
                    <w:pPr>
                      <w:spacing w:before="3"/>
                      <w:ind w:left="90" w:right="0" w:firstLine="0"/>
                      <w:jc w:val="center"/>
                      <w:rPr>
                        <w:rFonts w:ascii="Cambria"/>
                        <w:sz w:val="20"/>
                      </w:rPr>
                    </w:pPr>
                    <w:r>
                      <w:rPr>
                        <w:rFonts w:ascii="Cambria"/>
                        <w:sz w:val="20"/>
                      </w:rPr>
                      <w:t>50</w:t>
                    </w:r>
                  </w:p>
                  <w:p>
                    <w:pPr>
                      <w:spacing w:before="3"/>
                      <w:ind w:left="90" w:right="0" w:firstLine="0"/>
                      <w:jc w:val="center"/>
                      <w:rPr>
                        <w:rFonts w:ascii="Cambria"/>
                        <w:sz w:val="20"/>
                      </w:rPr>
                    </w:pPr>
                    <w:r>
                      <w:rPr>
                        <w:rFonts w:ascii="Cambria"/>
                        <w:sz w:val="20"/>
                      </w:rPr>
                      <w:t>40</w:t>
                    </w:r>
                  </w:p>
                  <w:p>
                    <w:pPr>
                      <w:spacing w:before="3"/>
                      <w:ind w:left="90" w:right="0" w:firstLine="0"/>
                      <w:jc w:val="center"/>
                      <w:rPr>
                        <w:rFonts w:ascii="Cambria"/>
                        <w:sz w:val="20"/>
                      </w:rPr>
                    </w:pPr>
                    <w:r>
                      <w:rPr>
                        <w:rFonts w:ascii="Cambria"/>
                        <w:sz w:val="20"/>
                      </w:rPr>
                      <w:t>30</w:t>
                    </w:r>
                  </w:p>
                  <w:p>
                    <w:pPr>
                      <w:spacing w:before="2"/>
                      <w:ind w:left="90" w:right="0" w:firstLine="0"/>
                      <w:jc w:val="center"/>
                      <w:rPr>
                        <w:rFonts w:ascii="Cambria"/>
                        <w:sz w:val="20"/>
                      </w:rPr>
                    </w:pPr>
                    <w:r>
                      <w:rPr>
                        <w:rFonts w:ascii="Cambria"/>
                        <w:sz w:val="20"/>
                      </w:rPr>
                      <w:t>20</w:t>
                    </w:r>
                  </w:p>
                  <w:p>
                    <w:pPr>
                      <w:spacing w:before="3"/>
                      <w:ind w:left="90" w:right="0" w:firstLine="0"/>
                      <w:jc w:val="center"/>
                      <w:rPr>
                        <w:rFonts w:ascii="Cambria"/>
                        <w:sz w:val="20"/>
                      </w:rPr>
                    </w:pPr>
                    <w:r>
                      <w:rPr>
                        <w:rFonts w:ascii="Cambria"/>
                        <w:sz w:val="20"/>
                      </w:rPr>
                      <w:t>10</w:t>
                    </w:r>
                  </w:p>
                  <w:p>
                    <w:pPr>
                      <w:spacing w:before="3"/>
                      <w:ind w:left="201" w:right="0" w:firstLine="0"/>
                      <w:jc w:val="center"/>
                      <w:rPr>
                        <w:rFonts w:ascii="Cambria"/>
                        <w:sz w:val="20"/>
                      </w:rPr>
                    </w:pPr>
                    <w:r>
                      <w:rPr>
                        <w:rFonts w:ascii="Cambria"/>
                        <w:w w:val="99"/>
                        <w:sz w:val="20"/>
                      </w:rPr>
                      <w:t>0</w:t>
                    </w:r>
                  </w:p>
                </w:txbxContent>
              </v:textbox>
              <w10:wrap type="none"/>
            </v:shape>
            <v:shape style="position:absolute;left:8828;top:2894;width:1295;height:586" type="#_x0000_t202" filled="false" stroked="false">
              <v:textbox inset="0,0,0,0">
                <w:txbxContent>
                  <w:p>
                    <w:pPr>
                      <w:spacing w:line="234" w:lineRule="exact" w:before="0"/>
                      <w:ind w:left="0" w:right="0" w:firstLine="0"/>
                      <w:jc w:val="left"/>
                      <w:rPr>
                        <w:rFonts w:ascii="Cambria" w:hAnsi="Cambria"/>
                        <w:sz w:val="20"/>
                      </w:rPr>
                    </w:pPr>
                    <w:r>
                      <w:rPr>
                        <w:rFonts w:ascii="Cambria" w:hAnsi="Cambria"/>
                        <w:sz w:val="20"/>
                      </w:rPr>
                      <w:t>лапароскопия</w:t>
                    </w:r>
                  </w:p>
                  <w:p>
                    <w:pPr>
                      <w:spacing w:before="117"/>
                      <w:ind w:left="0" w:right="0" w:firstLine="0"/>
                      <w:jc w:val="left"/>
                      <w:rPr>
                        <w:rFonts w:ascii="Cambria" w:hAnsi="Cambria"/>
                        <w:sz w:val="20"/>
                      </w:rPr>
                    </w:pPr>
                    <w:r>
                      <w:rPr>
                        <w:rFonts w:ascii="Cambria" w:hAnsi="Cambria"/>
                        <w:sz w:val="20"/>
                      </w:rPr>
                      <w:t>лапаротомия</w:t>
                    </w:r>
                  </w:p>
                </w:txbxContent>
              </v:textbox>
              <w10:wrap type="none"/>
            </v:shape>
            <v:shape style="position:absolute;left:3309;top:4260;width:4783;height:469" type="#_x0000_t202" filled="false" stroked="false">
              <v:textbox inset="0,0,0,0">
                <w:txbxContent>
                  <w:p>
                    <w:pPr>
                      <w:tabs>
                        <w:tab w:pos="847" w:val="left" w:leader="none"/>
                        <w:tab w:pos="1015" w:val="left" w:leader="none"/>
                        <w:tab w:pos="1816" w:val="left" w:leader="none"/>
                        <w:tab w:pos="2617" w:val="left" w:leader="none"/>
                        <w:tab w:pos="3419" w:val="left" w:leader="none"/>
                        <w:tab w:pos="4220" w:val="left" w:leader="none"/>
                      </w:tabs>
                      <w:spacing w:before="0"/>
                      <w:ind w:left="0" w:right="18" w:firstLine="266"/>
                      <w:jc w:val="left"/>
                      <w:rPr>
                        <w:rFonts w:ascii="Cambria" w:hAnsi="Cambria"/>
                        <w:sz w:val="20"/>
                      </w:rPr>
                    </w:pPr>
                    <w:r>
                      <w:rPr>
                        <w:rFonts w:ascii="Cambria" w:hAnsi="Cambria"/>
                        <w:sz w:val="20"/>
                      </w:rPr>
                      <w:t>до</w:t>
                      <w:tab/>
                      <w:t>через 3   через 6   через 9  через 12</w:t>
                    </w:r>
                    <w:r>
                      <w:rPr>
                        <w:rFonts w:ascii="Cambria" w:hAnsi="Cambria"/>
                        <w:spacing w:val="-4"/>
                        <w:sz w:val="20"/>
                      </w:rPr>
                      <w:t> </w:t>
                    </w:r>
                    <w:r>
                      <w:rPr>
                        <w:rFonts w:ascii="Cambria" w:hAnsi="Cambria"/>
                        <w:sz w:val="20"/>
                      </w:rPr>
                      <w:t>через</w:t>
                    </w:r>
                    <w:r>
                      <w:rPr>
                        <w:rFonts w:ascii="Cambria" w:hAnsi="Cambria"/>
                        <w:spacing w:val="-2"/>
                        <w:sz w:val="20"/>
                      </w:rPr>
                      <w:t> </w:t>
                    </w:r>
                    <w:r>
                      <w:rPr>
                        <w:rFonts w:ascii="Cambria" w:hAnsi="Cambria"/>
                        <w:sz w:val="20"/>
                      </w:rPr>
                      <w:t>18</w:t>
                    </w:r>
                    <w:r>
                      <w:rPr>
                        <w:rFonts w:ascii="Cambria" w:hAnsi="Cambria"/>
                        <w:w w:val="99"/>
                        <w:sz w:val="20"/>
                      </w:rPr>
                      <w:t> </w:t>
                    </w:r>
                    <w:r>
                      <w:rPr>
                        <w:rFonts w:ascii="Cambria" w:hAnsi="Cambria"/>
                        <w:sz w:val="20"/>
                      </w:rPr>
                      <w:t>лечения</w:t>
                      <w:tab/>
                      <w:tab/>
                      <w:t>мес</w:t>
                      <w:tab/>
                      <w:t>мес</w:t>
                      <w:tab/>
                      <w:t>мес</w:t>
                      <w:tab/>
                      <w:t>мес</w:t>
                      <w:tab/>
                      <w:t>мес</w:t>
                    </w:r>
                  </w:p>
                </w:txbxContent>
              </v:textbox>
              <w10:wrap type="none"/>
            </v:shape>
            <w10:wrap type="none"/>
          </v:group>
        </w:pict>
      </w:r>
      <w:r>
        <w:rPr/>
        <w:pict>
          <v:shape style="position:absolute;margin-left:119.068771pt;margin-top:141.529236pt;width:17.55pt;height:45.25pt;mso-position-horizontal-relative:page;mso-position-vertical-relative:paragraph;z-index:6160" type="#_x0000_t202" filled="false" stroked="false">
            <v:textbox inset="0,0,0,0" style="layout-flow:vertical;mso-layout-flow-alt:bottom-to-top">
              <w:txbxContent>
                <w:p>
                  <w:pPr>
                    <w:spacing w:before="9"/>
                    <w:ind w:left="20" w:right="0" w:firstLine="0"/>
                    <w:jc w:val="left"/>
                    <w:rPr>
                      <w:b/>
                      <w:sz w:val="28"/>
                    </w:rPr>
                  </w:pPr>
                  <w:r>
                    <w:rPr>
                      <w:b/>
                      <w:w w:val="100"/>
                      <w:sz w:val="28"/>
                    </w:rPr>
                    <w:t>Б</w:t>
                  </w:r>
                  <w:r>
                    <w:rPr>
                      <w:b/>
                      <w:spacing w:val="2"/>
                      <w:w w:val="100"/>
                      <w:sz w:val="28"/>
                    </w:rPr>
                    <w:t>а</w:t>
                  </w:r>
                  <w:r>
                    <w:rPr>
                      <w:b/>
                      <w:w w:val="100"/>
                      <w:sz w:val="28"/>
                    </w:rPr>
                    <w:t>лл</w:t>
                  </w:r>
                  <w:r>
                    <w:rPr>
                      <w:b/>
                      <w:w w:val="100"/>
                      <w:sz w:val="28"/>
                    </w:rPr>
                    <w:t>ы</w:t>
                  </w:r>
                </w:p>
              </w:txbxContent>
            </v:textbox>
            <w10:wrap type="none"/>
          </v:shape>
        </w:pict>
      </w:r>
      <w:r>
        <w:rPr/>
        <w:t>групп</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8"/>
        <w:rPr>
          <w:sz w:val="23"/>
        </w:rPr>
      </w:pPr>
    </w:p>
    <w:p>
      <w:pPr>
        <w:pStyle w:val="BodyText"/>
        <w:spacing w:line="360" w:lineRule="auto"/>
        <w:ind w:left="102" w:firstLine="139"/>
      </w:pPr>
      <w:r>
        <w:rPr/>
        <w:t>Как можно увидеть, качество жизни больных оказалось несколько выше после операций, выполненных лапароскопическим доступом.</w:t>
      </w:r>
    </w:p>
    <w:p>
      <w:pPr>
        <w:pStyle w:val="BodyText"/>
        <w:spacing w:line="360" w:lineRule="auto" w:before="206"/>
        <w:ind w:left="102" w:right="99"/>
        <w:jc w:val="both"/>
      </w:pPr>
      <w:r>
        <w:rPr/>
        <w:t>На основании полученных в данном разделе исследования результатов можно сделать вывод о возможности использования лапароскопического доступа в хирургическом лечении больных раком шейки матки I стадии. Отдаленные результаты лечения описанных выше больных оказались не хуже, чем при применении традиционного хирургического  доступа. Иными словами, лапароскопия при раке шейки матки не повышает риск диссеминации опухоли и соответствует современным требованиям</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7"/>
        <w:jc w:val="both"/>
      </w:pPr>
      <w:r>
        <w:rPr/>
        <w:t>абластики и антибластики, обладая при этом целым рядом неоспоримых преимуществ. Можно предположить, что со временем эта методика будет широко использоваться у нас в стране. Необходимым условием для этого является не только воспитание целой плеяды высококвалифицированных хирургов, но и дальнейшая беспрерывная работа, направленная на раннее выявление злокачественных опухолей органов репродуктивной системы.</w:t>
      </w:r>
    </w:p>
    <w:p>
      <w:pPr>
        <w:pStyle w:val="BodyText"/>
        <w:rPr>
          <w:sz w:val="30"/>
        </w:rPr>
      </w:pPr>
    </w:p>
    <w:p>
      <w:pPr>
        <w:pStyle w:val="BodyText"/>
        <w:rPr>
          <w:sz w:val="30"/>
        </w:rPr>
      </w:pPr>
    </w:p>
    <w:p>
      <w:pPr>
        <w:pStyle w:val="Heading1"/>
        <w:spacing w:before="204"/>
        <w:ind w:right="380"/>
        <w:jc w:val="center"/>
      </w:pPr>
      <w:r>
        <w:rPr/>
        <w:t>Резюме</w:t>
      </w:r>
    </w:p>
    <w:p>
      <w:pPr>
        <w:pStyle w:val="BodyText"/>
        <w:rPr>
          <w:b/>
          <w:sz w:val="30"/>
        </w:rPr>
      </w:pPr>
    </w:p>
    <w:p>
      <w:pPr>
        <w:pStyle w:val="BodyText"/>
        <w:spacing w:before="5"/>
        <w:rPr>
          <w:b/>
          <w:sz w:val="25"/>
        </w:rPr>
      </w:pPr>
    </w:p>
    <w:p>
      <w:pPr>
        <w:pStyle w:val="BodyText"/>
        <w:spacing w:line="360" w:lineRule="auto"/>
        <w:ind w:left="102" w:right="98" w:firstLine="204"/>
        <w:jc w:val="both"/>
      </w:pPr>
      <w:r>
        <w:rPr/>
        <w:t>Ведущая роль в уточнении степени распространения опухолевого процесса отводится методам лучевой диагностики, таким как магнитно- резонансная томография, ультразвуковое исследование, компьютерная томография, рентгенография органов грудной полости. С  целью  уточнения местного распространения процесса выполняются ректороманоскопия и цистоскопия. На основании полученных при обследовании пациентки данных составляется индивидуальный план лечения. Как показали результаты, полученные в первом разделе этой главы, не всегда можно слепо доверяться заключениям неинвазивных методов исследования. Выполнение диагностической лапароскопии и парааортальной лимфаденэктомии с последующим морфологическим исследованием у ряда больных местно-распространенным раком шейки матки позволило выявить достаточно низкую информативность стандартно применяемых методов исследования. После выполнение указанных операций рестадирование потребовалось более чем у 40% больных. Модифицированные на основании вновь полученных данных план лечения в каждом конкретном наблюдении может позволить достичь значимого улучшения отдаленных</w:t>
      </w:r>
      <w:r>
        <w:rPr>
          <w:spacing w:val="-9"/>
        </w:rPr>
        <w:t> </w:t>
      </w:r>
      <w:r>
        <w:rPr/>
        <w:t>результатов.</w:t>
      </w:r>
    </w:p>
    <w:p>
      <w:pPr>
        <w:pStyle w:val="BodyText"/>
        <w:spacing w:before="7"/>
        <w:ind w:left="450"/>
      </w:pPr>
      <w:r>
        <w:rPr/>
        <w:t>На сегодняшний день можно прийти к выводу о целесообразности</w:t>
      </w:r>
    </w:p>
    <w:p>
      <w:pPr>
        <w:spacing w:after="0"/>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16"/>
        <w:jc w:val="both"/>
      </w:pPr>
      <w:r>
        <w:rPr/>
        <w:t>выполнения операций хирургического стадирования больным при местно- распространенном раке шейки матки (T3), а также во всех случаях клинически установленной тазовой или парааортальной лимфаденопатии.</w:t>
      </w:r>
    </w:p>
    <w:p>
      <w:pPr>
        <w:pStyle w:val="BodyText"/>
        <w:spacing w:line="360" w:lineRule="auto" w:before="207"/>
        <w:ind w:left="102" w:right="119" w:firstLine="417"/>
        <w:jc w:val="both"/>
      </w:pPr>
      <w:r>
        <w:rPr/>
        <w:t>Второй раздел главы демонстрирует принципиальную возможность использования лапароскопического доступа в хирургическом лечении больных начальным раком шейки матки. Основным критерием в отборе больных для лапароскопической хирургии мы, как и большинство зарубежных авторов, считаем IА-IB1 стадии при размере опухоли до 2 см. Наличие различной сопутствующей экстрагенитальной и  гинекологической патологии не повлияло на определении показаний к  тому или иному виду хирургического доступа. Более того, наиболее часто встречаемое в наше время заболевание - ожирение, наоборот, служило одним из аргументов к выбору малоинвазивного доступа. Основные преимущества лапароскопии, такие как минимальная инвазивность и характер травмы, незначительная интраоперационная кровопотеря, умеренный болевой синдром, ранняя активизация больной, минимальное число осложнений, сокращение сроков госпитализации и др. отчетливо проявились и у больных раком шейки</w:t>
      </w:r>
      <w:r>
        <w:rPr>
          <w:spacing w:val="-13"/>
        </w:rPr>
        <w:t> </w:t>
      </w:r>
      <w:r>
        <w:rPr/>
        <w:t>матки.</w:t>
      </w:r>
    </w:p>
    <w:p>
      <w:pPr>
        <w:pStyle w:val="BodyText"/>
        <w:spacing w:line="360" w:lineRule="auto" w:before="207"/>
        <w:ind w:left="102" w:right="121" w:firstLine="487"/>
        <w:jc w:val="both"/>
      </w:pPr>
      <w:r>
        <w:rPr/>
        <w:t>Анализ общей и безрецидивной выживаемости продемонстрировал отсутствие достоверных различий в двух исследуемых группах больных раком шейки матки (трехлетняя общая выживаемость составила 98% и 96%).  Количество рецидивов в обеих группах больных составило около  5% и не отличалось от результатов ведущих онкогинекологических клиник Европы и Северной</w:t>
      </w:r>
      <w:r>
        <w:rPr>
          <w:spacing w:val="-8"/>
        </w:rPr>
        <w:t> </w:t>
      </w:r>
      <w:r>
        <w:rPr/>
        <w:t>Америки.</w:t>
      </w:r>
    </w:p>
    <w:p>
      <w:pPr>
        <w:pStyle w:val="BodyText"/>
        <w:spacing w:line="360" w:lineRule="auto" w:before="204"/>
        <w:ind w:left="102" w:right="121" w:firstLine="487"/>
        <w:jc w:val="both"/>
      </w:pPr>
      <w:r>
        <w:rPr/>
        <w:t>В современной онкологии все чаще делается акцент на оценку не только отдаленных результатов лечения, но и на качество жизни больных. Минимальная травматичность операции, отсутствие осложнений и быстрая реабилитация, безусловно, отразились и  на более высоком качестве жизни</w:t>
      </w:r>
    </w:p>
    <w:p>
      <w:pPr>
        <w:spacing w:after="0" w:line="360" w:lineRule="auto"/>
        <w:jc w:val="both"/>
        <w:sectPr>
          <w:pgSz w:w="11900" w:h="16850"/>
          <w:pgMar w:header="712" w:footer="0" w:top="1020" w:bottom="280" w:left="1600" w:right="1000"/>
        </w:sectPr>
      </w:pPr>
    </w:p>
    <w:p>
      <w:pPr>
        <w:pStyle w:val="BodyText"/>
        <w:rPr>
          <w:sz w:val="20"/>
        </w:rPr>
      </w:pPr>
    </w:p>
    <w:p>
      <w:pPr>
        <w:pStyle w:val="BodyText"/>
        <w:rPr>
          <w:sz w:val="20"/>
        </w:rPr>
      </w:pPr>
    </w:p>
    <w:p>
      <w:pPr>
        <w:pStyle w:val="BodyText"/>
        <w:spacing w:line="360" w:lineRule="auto" w:before="224"/>
        <w:ind w:left="102" w:right="103"/>
        <w:jc w:val="both"/>
      </w:pPr>
      <w:r>
        <w:rPr/>
        <w:t>пациенток. Уровень качества жизни у больных раком шейки матки по шкале FACT-G, после лапароскопических операций оказался несколько выше, чем у пациенток, получивших лечение в объеме радикальной гистерэктомии традиционным лапаротомным доступом (94,3 88,9 баллов соответственно).</w:t>
      </w:r>
    </w:p>
    <w:p>
      <w:pPr>
        <w:pStyle w:val="BodyText"/>
        <w:spacing w:line="360" w:lineRule="auto" w:before="204"/>
        <w:ind w:left="102" w:right="102" w:firstLine="417"/>
        <w:jc w:val="both"/>
      </w:pPr>
      <w:r>
        <w:rPr/>
        <w:t>Всесторонняя оценка результатов лапароскопических радикальных гистерэктомий у 75 больных раком шейки матки продемонстрировала техническую возможность и онкологическую безопасность данной методики. Техникой выполнения подобных операций на сегодняшний день в совершенстве владеют единичные хирурги – онкогинекологи. В связи с этим, рекомендовать данную методику к широкому применению во всех онкологических стационарах страны представляется преждевременным. Надеемся, что с усилением материально-технической базы онкологических учреждений и с ростом мастерства и профессионализма врачей малоинвазивные хирургические технологии во многих клинических ситуациях смогут прийти на место традиционным «открытым» вмешательствам. Еще раз повторимся, что в выборе хирургического доступа, прежде всего, необходимо руководствоваться интересами больной, заключающимися в максимальной безопасности и радикальности планируемой операции.</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rPr>
          <w:sz w:val="19"/>
        </w:rPr>
      </w:pPr>
    </w:p>
    <w:p>
      <w:pPr>
        <w:pStyle w:val="Heading1"/>
        <w:spacing w:before="89"/>
        <w:ind w:left="4043"/>
      </w:pPr>
      <w:r>
        <w:rPr/>
        <w:t>ГЛАВА 5</w:t>
      </w:r>
    </w:p>
    <w:p>
      <w:pPr>
        <w:pStyle w:val="BodyText"/>
        <w:rPr>
          <w:b/>
          <w:sz w:val="30"/>
        </w:rPr>
      </w:pPr>
    </w:p>
    <w:p>
      <w:pPr>
        <w:pStyle w:val="BodyText"/>
        <w:rPr>
          <w:b/>
          <w:sz w:val="30"/>
        </w:rPr>
      </w:pPr>
    </w:p>
    <w:p>
      <w:pPr>
        <w:pStyle w:val="BodyText"/>
        <w:spacing w:before="8"/>
        <w:rPr>
          <w:b/>
          <w:sz w:val="30"/>
        </w:rPr>
      </w:pPr>
    </w:p>
    <w:p>
      <w:pPr>
        <w:spacing w:line="360" w:lineRule="auto" w:before="0"/>
        <w:ind w:left="3803" w:right="89" w:hanging="3702"/>
        <w:jc w:val="left"/>
        <w:rPr>
          <w:b/>
          <w:sz w:val="28"/>
        </w:rPr>
      </w:pPr>
      <w:r>
        <w:rPr>
          <w:b/>
          <w:sz w:val="28"/>
        </w:rPr>
        <w:t>ЭНДОВИДЕОХИРУРГИЧЕСКИЕ ОПЕРАЦИИ У БОЛЬНЫХ РАКОМ ЯИЧНИКОВ</w:t>
      </w:r>
    </w:p>
    <w:p>
      <w:pPr>
        <w:pStyle w:val="BodyText"/>
        <w:rPr>
          <w:b/>
          <w:sz w:val="30"/>
        </w:rPr>
      </w:pPr>
    </w:p>
    <w:p>
      <w:pPr>
        <w:pStyle w:val="BodyText"/>
        <w:rPr>
          <w:b/>
          <w:sz w:val="30"/>
        </w:rPr>
      </w:pPr>
    </w:p>
    <w:p>
      <w:pPr>
        <w:pStyle w:val="ListParagraph"/>
        <w:numPr>
          <w:ilvl w:val="1"/>
          <w:numId w:val="29"/>
        </w:numPr>
        <w:tabs>
          <w:tab w:pos="1036" w:val="left" w:leader="none"/>
        </w:tabs>
        <w:spacing w:line="360" w:lineRule="auto" w:before="201" w:after="0"/>
        <w:ind w:left="1294" w:right="549" w:hanging="751"/>
        <w:jc w:val="left"/>
        <w:rPr>
          <w:b/>
          <w:sz w:val="28"/>
        </w:rPr>
      </w:pPr>
      <w:r>
        <w:rPr>
          <w:b/>
          <w:sz w:val="28"/>
        </w:rPr>
        <w:t>Роль лапароскопических операций в диагностике и</w:t>
      </w:r>
      <w:r>
        <w:rPr>
          <w:b/>
          <w:spacing w:val="-17"/>
          <w:sz w:val="28"/>
        </w:rPr>
        <w:t> </w:t>
      </w:r>
      <w:r>
        <w:rPr>
          <w:b/>
          <w:sz w:val="28"/>
        </w:rPr>
        <w:t>лечении опухолей яичников с подозрением на</w:t>
      </w:r>
      <w:r>
        <w:rPr>
          <w:b/>
          <w:spacing w:val="-14"/>
          <w:sz w:val="28"/>
        </w:rPr>
        <w:t> </w:t>
      </w:r>
      <w:r>
        <w:rPr>
          <w:b/>
          <w:sz w:val="28"/>
        </w:rPr>
        <w:t>малигнизацию</w:t>
      </w:r>
    </w:p>
    <w:p>
      <w:pPr>
        <w:pStyle w:val="BodyText"/>
        <w:rPr>
          <w:b/>
          <w:sz w:val="30"/>
        </w:rPr>
      </w:pPr>
    </w:p>
    <w:p>
      <w:pPr>
        <w:pStyle w:val="BodyText"/>
        <w:rPr>
          <w:b/>
          <w:sz w:val="30"/>
        </w:rPr>
      </w:pPr>
    </w:p>
    <w:p>
      <w:pPr>
        <w:pStyle w:val="ListParagraph"/>
        <w:numPr>
          <w:ilvl w:val="2"/>
          <w:numId w:val="29"/>
        </w:numPr>
        <w:tabs>
          <w:tab w:pos="1388" w:val="left" w:leader="none"/>
        </w:tabs>
        <w:spacing w:line="360" w:lineRule="auto" w:before="198" w:after="0"/>
        <w:ind w:left="4014" w:right="691" w:hanging="3327"/>
        <w:jc w:val="left"/>
        <w:rPr>
          <w:b/>
          <w:sz w:val="28"/>
        </w:rPr>
      </w:pPr>
      <w:r>
        <w:rPr>
          <w:b/>
          <w:sz w:val="28"/>
        </w:rPr>
        <w:t>Современные возможности выявления начального рака яичников</w:t>
      </w:r>
    </w:p>
    <w:p>
      <w:pPr>
        <w:pStyle w:val="BodyText"/>
        <w:spacing w:line="360" w:lineRule="auto" w:before="202"/>
        <w:ind w:left="102" w:right="98" w:firstLine="278"/>
        <w:jc w:val="both"/>
      </w:pPr>
      <w:r>
        <w:rPr/>
        <w:t>В представленном разделе работы мы попытались оценить эффективность рекомендованных в настоящее время методов ранней диагностики рака яичников: ультразвукового исследования  органов  малого таза и определения опухолевых маркеров СА-125 и НЕ-4, а также возможную роль малоинвазивных хирургических вмешательств в своевременном выявлении и лечении начального рака</w:t>
      </w:r>
      <w:r>
        <w:rPr>
          <w:spacing w:val="-20"/>
        </w:rPr>
        <w:t> </w:t>
      </w:r>
      <w:r>
        <w:rPr/>
        <w:t>яичников.</w:t>
      </w:r>
    </w:p>
    <w:p>
      <w:pPr>
        <w:pStyle w:val="BodyText"/>
        <w:spacing w:line="360" w:lineRule="auto" w:before="204"/>
        <w:ind w:left="102" w:right="100" w:firstLine="278"/>
        <w:jc w:val="both"/>
      </w:pPr>
      <w:r>
        <w:rPr/>
        <w:t>С этой целью были подробно проанализированы результаты обследования и лечения 349 больных, обратившихся в СПбКНПЦСВМП(о) с подозрением на наличие злокачественной опухоли яичников в период с 2013 по 2015 годы.</w:t>
      </w:r>
    </w:p>
    <w:p>
      <w:pPr>
        <w:pStyle w:val="BodyText"/>
        <w:spacing w:line="360" w:lineRule="auto" w:before="206"/>
        <w:ind w:left="102" w:right="99"/>
        <w:jc w:val="both"/>
      </w:pPr>
      <w:r>
        <w:rPr/>
        <w:t>Большая часть больных находилась в репродуктивном возрасте – 67%. (подробное описание больных представлено в главе «Материалы и методы исследования»).</w:t>
      </w:r>
    </w:p>
    <w:p>
      <w:pPr>
        <w:pStyle w:val="BodyText"/>
        <w:spacing w:line="360" w:lineRule="auto" w:before="206"/>
        <w:ind w:left="102" w:firstLine="487"/>
      </w:pPr>
      <w:r>
        <w:rPr/>
        <w:t>В группе больных, находившихся в постменопаузе концентрировались случаи выраженной сопутствующей патологии.  Наиболее часто</w:t>
      </w:r>
    </w:p>
    <w:p>
      <w:pPr>
        <w:spacing w:after="0" w:line="360" w:lineRule="auto"/>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22"/>
      </w:pPr>
      <w:r>
        <w:rPr/>
        <w:t>встречаемой оказались сердечно-сосудистая патология и разнообразные нарушения в энергетическом гомеостате (Табл. 5.1).</w:t>
      </w:r>
    </w:p>
    <w:p>
      <w:pPr>
        <w:pStyle w:val="BodyText"/>
        <w:rPr>
          <w:sz w:val="20"/>
        </w:rPr>
      </w:pPr>
    </w:p>
    <w:p>
      <w:pPr>
        <w:pStyle w:val="BodyText"/>
        <w:rPr>
          <w:sz w:val="20"/>
        </w:rPr>
      </w:pPr>
    </w:p>
    <w:p>
      <w:pPr>
        <w:pStyle w:val="BodyText"/>
        <w:spacing w:before="5"/>
        <w:rPr>
          <w:sz w:val="17"/>
        </w:rPr>
      </w:pPr>
    </w:p>
    <w:p>
      <w:pPr>
        <w:pStyle w:val="BodyText"/>
        <w:spacing w:before="89"/>
        <w:ind w:right="102"/>
        <w:jc w:val="right"/>
      </w:pPr>
      <w:r>
        <w:rPr/>
        <w:t>Таблица 5.1</w:t>
      </w:r>
    </w:p>
    <w:p>
      <w:pPr>
        <w:pStyle w:val="BodyText"/>
        <w:spacing w:before="220"/>
        <w:ind w:left="1902"/>
      </w:pPr>
      <w:r>
        <w:rPr/>
        <w:t>Сопутствующая экстрагенитальная патология</w:t>
      </w:r>
    </w:p>
    <w:p>
      <w:pPr>
        <w:pStyle w:val="BodyText"/>
        <w:rPr>
          <w:sz w:val="20"/>
        </w:rPr>
      </w:pPr>
    </w:p>
    <w:p>
      <w:pPr>
        <w:pStyle w:val="BodyText"/>
        <w:spacing w:before="2" w:after="1"/>
        <w:rPr>
          <w:sz w:val="26"/>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97"/>
        <w:gridCol w:w="1712"/>
        <w:gridCol w:w="931"/>
      </w:tblGrid>
      <w:tr>
        <w:trPr>
          <w:trHeight w:val="1179" w:hRule="exact"/>
        </w:trPr>
        <w:tc>
          <w:tcPr>
            <w:tcW w:w="6397" w:type="dxa"/>
            <w:tcBorders>
              <w:bottom w:val="single" w:sz="4" w:space="0" w:color="000000"/>
            </w:tcBorders>
          </w:tcPr>
          <w:p>
            <w:pPr>
              <w:pStyle w:val="TableParagraph"/>
              <w:spacing w:before="236"/>
              <w:ind w:left="129" w:right="129"/>
              <w:jc w:val="center"/>
              <w:rPr>
                <w:sz w:val="28"/>
              </w:rPr>
            </w:pPr>
            <w:r>
              <w:rPr>
                <w:sz w:val="28"/>
              </w:rPr>
              <w:t>Сопутствующая экстрагенитальная патология</w:t>
            </w:r>
          </w:p>
        </w:tc>
        <w:tc>
          <w:tcPr>
            <w:tcW w:w="1712" w:type="dxa"/>
            <w:tcBorders>
              <w:bottom w:val="single" w:sz="4" w:space="0" w:color="000000"/>
            </w:tcBorders>
          </w:tcPr>
          <w:p>
            <w:pPr>
              <w:pStyle w:val="TableParagraph"/>
              <w:spacing w:line="360" w:lineRule="auto"/>
              <w:ind w:left="100" w:right="549" w:firstLine="69"/>
              <w:rPr>
                <w:sz w:val="28"/>
              </w:rPr>
            </w:pPr>
            <w:r>
              <w:rPr>
                <w:sz w:val="28"/>
              </w:rPr>
              <w:t>Число больных</w:t>
            </w:r>
          </w:p>
        </w:tc>
        <w:tc>
          <w:tcPr>
            <w:tcW w:w="931" w:type="dxa"/>
            <w:tcBorders>
              <w:bottom w:val="single" w:sz="4" w:space="0" w:color="000000"/>
            </w:tcBorders>
          </w:tcPr>
          <w:p>
            <w:pPr>
              <w:pStyle w:val="TableParagraph"/>
              <w:spacing w:before="236"/>
              <w:ind w:right="1"/>
              <w:jc w:val="center"/>
              <w:rPr>
                <w:sz w:val="28"/>
              </w:rPr>
            </w:pPr>
            <w:r>
              <w:rPr>
                <w:w w:val="100"/>
                <w:sz w:val="28"/>
              </w:rPr>
              <w:t>%</w:t>
            </w:r>
          </w:p>
        </w:tc>
      </w:tr>
      <w:tr>
        <w:trPr>
          <w:trHeight w:val="696" w:hRule="exact"/>
        </w:trPr>
        <w:tc>
          <w:tcPr>
            <w:tcW w:w="6397" w:type="dxa"/>
            <w:tcBorders>
              <w:top w:val="single" w:sz="4" w:space="0" w:color="000000"/>
            </w:tcBorders>
          </w:tcPr>
          <w:p>
            <w:pPr>
              <w:pStyle w:val="TableParagraph"/>
              <w:spacing w:line="315" w:lineRule="exact"/>
              <w:ind w:left="129" w:right="129"/>
              <w:jc w:val="center"/>
              <w:rPr>
                <w:sz w:val="28"/>
              </w:rPr>
            </w:pPr>
            <w:r>
              <w:rPr>
                <w:sz w:val="28"/>
              </w:rPr>
              <w:t>Ишемическая болезнь сердца</w:t>
            </w:r>
          </w:p>
        </w:tc>
        <w:tc>
          <w:tcPr>
            <w:tcW w:w="1712" w:type="dxa"/>
            <w:tcBorders>
              <w:top w:val="single" w:sz="4" w:space="0" w:color="000000"/>
            </w:tcBorders>
          </w:tcPr>
          <w:p>
            <w:pPr>
              <w:pStyle w:val="TableParagraph"/>
              <w:spacing w:line="315" w:lineRule="exact"/>
              <w:ind w:left="618" w:right="617"/>
              <w:jc w:val="center"/>
              <w:rPr>
                <w:sz w:val="28"/>
              </w:rPr>
            </w:pPr>
            <w:r>
              <w:rPr>
                <w:sz w:val="28"/>
              </w:rPr>
              <w:t>75</w:t>
            </w:r>
          </w:p>
        </w:tc>
        <w:tc>
          <w:tcPr>
            <w:tcW w:w="931" w:type="dxa"/>
            <w:tcBorders>
              <w:top w:val="single" w:sz="4" w:space="0" w:color="000000"/>
            </w:tcBorders>
          </w:tcPr>
          <w:p>
            <w:pPr>
              <w:pStyle w:val="TableParagraph"/>
              <w:spacing w:line="315" w:lineRule="exact"/>
              <w:ind w:left="193" w:right="193"/>
              <w:jc w:val="center"/>
              <w:rPr>
                <w:sz w:val="28"/>
              </w:rPr>
            </w:pPr>
            <w:r>
              <w:rPr>
                <w:sz w:val="28"/>
              </w:rPr>
              <w:t>21,4</w:t>
            </w:r>
          </w:p>
        </w:tc>
      </w:tr>
      <w:tr>
        <w:trPr>
          <w:trHeight w:val="696" w:hRule="exact"/>
        </w:trPr>
        <w:tc>
          <w:tcPr>
            <w:tcW w:w="6397" w:type="dxa"/>
          </w:tcPr>
          <w:p>
            <w:pPr>
              <w:pStyle w:val="TableParagraph"/>
              <w:spacing w:line="315" w:lineRule="exact"/>
              <w:ind w:left="128" w:right="130"/>
              <w:jc w:val="center"/>
              <w:rPr>
                <w:sz w:val="28"/>
              </w:rPr>
            </w:pPr>
            <w:r>
              <w:rPr>
                <w:sz w:val="28"/>
              </w:rPr>
              <w:t>Гипертоническая болезнь</w:t>
            </w:r>
          </w:p>
        </w:tc>
        <w:tc>
          <w:tcPr>
            <w:tcW w:w="1712" w:type="dxa"/>
          </w:tcPr>
          <w:p>
            <w:pPr>
              <w:pStyle w:val="TableParagraph"/>
              <w:spacing w:line="315" w:lineRule="exact"/>
              <w:ind w:left="618" w:right="617"/>
              <w:jc w:val="center"/>
              <w:rPr>
                <w:sz w:val="28"/>
              </w:rPr>
            </w:pPr>
            <w:r>
              <w:rPr>
                <w:sz w:val="28"/>
              </w:rPr>
              <w:t>54</w:t>
            </w:r>
          </w:p>
        </w:tc>
        <w:tc>
          <w:tcPr>
            <w:tcW w:w="931" w:type="dxa"/>
          </w:tcPr>
          <w:p>
            <w:pPr>
              <w:pStyle w:val="TableParagraph"/>
              <w:spacing w:line="315" w:lineRule="exact"/>
              <w:ind w:left="193" w:right="193"/>
              <w:jc w:val="center"/>
              <w:rPr>
                <w:sz w:val="28"/>
              </w:rPr>
            </w:pPr>
            <w:r>
              <w:rPr>
                <w:sz w:val="28"/>
              </w:rPr>
              <w:t>15,4</w:t>
            </w:r>
          </w:p>
        </w:tc>
      </w:tr>
      <w:tr>
        <w:trPr>
          <w:trHeight w:val="698" w:hRule="exact"/>
        </w:trPr>
        <w:tc>
          <w:tcPr>
            <w:tcW w:w="6397" w:type="dxa"/>
          </w:tcPr>
          <w:p>
            <w:pPr>
              <w:pStyle w:val="TableParagraph"/>
              <w:spacing w:line="317" w:lineRule="exact"/>
              <w:ind w:left="129" w:right="130"/>
              <w:jc w:val="center"/>
              <w:rPr>
                <w:sz w:val="28"/>
              </w:rPr>
            </w:pPr>
            <w:r>
              <w:rPr>
                <w:sz w:val="28"/>
              </w:rPr>
              <w:t>Сахарный диабет</w:t>
            </w:r>
          </w:p>
        </w:tc>
        <w:tc>
          <w:tcPr>
            <w:tcW w:w="1712" w:type="dxa"/>
          </w:tcPr>
          <w:p>
            <w:pPr>
              <w:pStyle w:val="TableParagraph"/>
              <w:spacing w:line="317" w:lineRule="exact"/>
              <w:ind w:right="1"/>
              <w:jc w:val="center"/>
              <w:rPr>
                <w:sz w:val="28"/>
              </w:rPr>
            </w:pPr>
            <w:r>
              <w:rPr>
                <w:w w:val="100"/>
                <w:sz w:val="28"/>
              </w:rPr>
              <w:t>8</w:t>
            </w:r>
          </w:p>
        </w:tc>
        <w:tc>
          <w:tcPr>
            <w:tcW w:w="931" w:type="dxa"/>
          </w:tcPr>
          <w:p>
            <w:pPr>
              <w:pStyle w:val="TableParagraph"/>
              <w:spacing w:line="317" w:lineRule="exact"/>
              <w:ind w:left="193" w:right="192"/>
              <w:jc w:val="center"/>
              <w:rPr>
                <w:sz w:val="28"/>
              </w:rPr>
            </w:pPr>
            <w:r>
              <w:rPr>
                <w:sz w:val="28"/>
              </w:rPr>
              <w:t>2,3</w:t>
            </w:r>
          </w:p>
        </w:tc>
      </w:tr>
      <w:tr>
        <w:trPr>
          <w:trHeight w:val="699" w:hRule="exact"/>
        </w:trPr>
        <w:tc>
          <w:tcPr>
            <w:tcW w:w="6397" w:type="dxa"/>
          </w:tcPr>
          <w:p>
            <w:pPr>
              <w:pStyle w:val="TableParagraph"/>
              <w:spacing w:line="318" w:lineRule="exact"/>
              <w:ind w:left="129" w:right="129"/>
              <w:jc w:val="center"/>
              <w:rPr>
                <w:sz w:val="28"/>
              </w:rPr>
            </w:pPr>
            <w:r>
              <w:rPr>
                <w:sz w:val="28"/>
              </w:rPr>
              <w:t>Ожирение</w:t>
            </w:r>
          </w:p>
        </w:tc>
        <w:tc>
          <w:tcPr>
            <w:tcW w:w="1712" w:type="dxa"/>
          </w:tcPr>
          <w:p>
            <w:pPr>
              <w:pStyle w:val="TableParagraph"/>
              <w:spacing w:line="318" w:lineRule="exact"/>
              <w:ind w:left="618" w:right="617"/>
              <w:jc w:val="center"/>
              <w:rPr>
                <w:sz w:val="28"/>
              </w:rPr>
            </w:pPr>
            <w:r>
              <w:rPr>
                <w:sz w:val="28"/>
              </w:rPr>
              <w:t>67</w:t>
            </w:r>
          </w:p>
        </w:tc>
        <w:tc>
          <w:tcPr>
            <w:tcW w:w="931" w:type="dxa"/>
          </w:tcPr>
          <w:p>
            <w:pPr>
              <w:pStyle w:val="TableParagraph"/>
              <w:spacing w:line="318" w:lineRule="exact"/>
              <w:ind w:left="193" w:right="193"/>
              <w:jc w:val="center"/>
              <w:rPr>
                <w:sz w:val="28"/>
              </w:rPr>
            </w:pPr>
            <w:r>
              <w:rPr>
                <w:sz w:val="28"/>
              </w:rPr>
              <w:t>19,2</w:t>
            </w:r>
          </w:p>
        </w:tc>
      </w:tr>
      <w:tr>
        <w:trPr>
          <w:trHeight w:val="1181" w:hRule="exact"/>
        </w:trPr>
        <w:tc>
          <w:tcPr>
            <w:tcW w:w="6397" w:type="dxa"/>
          </w:tcPr>
          <w:p>
            <w:pPr>
              <w:pStyle w:val="TableParagraph"/>
              <w:spacing w:line="362" w:lineRule="auto"/>
              <w:ind w:left="1413" w:right="629" w:hanging="788"/>
              <w:rPr>
                <w:sz w:val="28"/>
              </w:rPr>
            </w:pPr>
            <w:r>
              <w:rPr>
                <w:sz w:val="28"/>
              </w:rPr>
              <w:t>Хронические воспалительные заболевания желудочно-кишечного тракта</w:t>
            </w:r>
          </w:p>
        </w:tc>
        <w:tc>
          <w:tcPr>
            <w:tcW w:w="1712" w:type="dxa"/>
          </w:tcPr>
          <w:p>
            <w:pPr>
              <w:pStyle w:val="TableParagraph"/>
              <w:spacing w:before="235"/>
              <w:ind w:left="618" w:right="618"/>
              <w:jc w:val="center"/>
              <w:rPr>
                <w:sz w:val="28"/>
              </w:rPr>
            </w:pPr>
            <w:r>
              <w:rPr>
                <w:sz w:val="28"/>
              </w:rPr>
              <w:t>104</w:t>
            </w:r>
          </w:p>
        </w:tc>
        <w:tc>
          <w:tcPr>
            <w:tcW w:w="931" w:type="dxa"/>
          </w:tcPr>
          <w:p>
            <w:pPr>
              <w:pStyle w:val="TableParagraph"/>
              <w:spacing w:before="235"/>
              <w:ind w:left="193" w:right="193"/>
              <w:jc w:val="center"/>
              <w:rPr>
                <w:sz w:val="28"/>
              </w:rPr>
            </w:pPr>
            <w:r>
              <w:rPr>
                <w:sz w:val="28"/>
              </w:rPr>
              <w:t>29,8</w:t>
            </w:r>
          </w:p>
        </w:tc>
      </w:tr>
      <w:tr>
        <w:trPr>
          <w:trHeight w:val="1380" w:hRule="exact"/>
        </w:trPr>
        <w:tc>
          <w:tcPr>
            <w:tcW w:w="6397" w:type="dxa"/>
            <w:tcBorders>
              <w:left w:val="single" w:sz="4" w:space="0" w:color="000000"/>
              <w:bottom w:val="single" w:sz="4" w:space="0" w:color="000000"/>
            </w:tcBorders>
          </w:tcPr>
          <w:p>
            <w:pPr>
              <w:pStyle w:val="TableParagraph"/>
              <w:spacing w:line="315" w:lineRule="exact"/>
              <w:ind w:left="183" w:right="183"/>
              <w:jc w:val="center"/>
              <w:rPr>
                <w:sz w:val="28"/>
              </w:rPr>
            </w:pPr>
            <w:r>
              <w:rPr>
                <w:sz w:val="28"/>
              </w:rPr>
              <w:t>Доброкачественные заболевания молочных желез</w:t>
            </w:r>
          </w:p>
        </w:tc>
        <w:tc>
          <w:tcPr>
            <w:tcW w:w="1712" w:type="dxa"/>
            <w:tcBorders>
              <w:bottom w:val="single" w:sz="4" w:space="0" w:color="000000"/>
            </w:tcBorders>
          </w:tcPr>
          <w:p>
            <w:pPr>
              <w:pStyle w:val="TableParagraph"/>
              <w:spacing w:before="2"/>
              <w:rPr>
                <w:sz w:val="29"/>
              </w:rPr>
            </w:pPr>
          </w:p>
          <w:p>
            <w:pPr>
              <w:pStyle w:val="TableParagraph"/>
              <w:ind w:right="1"/>
              <w:jc w:val="center"/>
              <w:rPr>
                <w:sz w:val="28"/>
              </w:rPr>
            </w:pPr>
            <w:r>
              <w:rPr>
                <w:w w:val="100"/>
                <w:sz w:val="28"/>
              </w:rPr>
              <w:t>8</w:t>
            </w:r>
          </w:p>
        </w:tc>
        <w:tc>
          <w:tcPr>
            <w:tcW w:w="931" w:type="dxa"/>
            <w:tcBorders>
              <w:bottom w:val="single" w:sz="4" w:space="0" w:color="000000"/>
            </w:tcBorders>
          </w:tcPr>
          <w:p>
            <w:pPr>
              <w:pStyle w:val="TableParagraph"/>
              <w:spacing w:before="2"/>
              <w:rPr>
                <w:sz w:val="29"/>
              </w:rPr>
            </w:pPr>
          </w:p>
          <w:p>
            <w:pPr>
              <w:pStyle w:val="TableParagraph"/>
              <w:ind w:left="193" w:right="192"/>
              <w:jc w:val="center"/>
              <w:rPr>
                <w:sz w:val="28"/>
              </w:rPr>
            </w:pPr>
            <w:r>
              <w:rPr>
                <w:sz w:val="28"/>
              </w:rPr>
              <w:t>2,3</w:t>
            </w:r>
          </w:p>
        </w:tc>
      </w:tr>
      <w:tr>
        <w:trPr>
          <w:trHeight w:val="694" w:hRule="exact"/>
        </w:trPr>
        <w:tc>
          <w:tcPr>
            <w:tcW w:w="6397" w:type="dxa"/>
            <w:tcBorders>
              <w:top w:val="single" w:sz="4" w:space="0" w:color="000000"/>
              <w:left w:val="single" w:sz="4" w:space="0" w:color="000000"/>
            </w:tcBorders>
          </w:tcPr>
          <w:p>
            <w:pPr>
              <w:pStyle w:val="TableParagraph"/>
              <w:spacing w:line="316" w:lineRule="exact"/>
              <w:ind w:left="183" w:right="182"/>
              <w:jc w:val="center"/>
              <w:rPr>
                <w:sz w:val="28"/>
              </w:rPr>
            </w:pPr>
            <w:r>
              <w:rPr>
                <w:sz w:val="28"/>
              </w:rPr>
              <w:t>Рак молочной железы</w:t>
            </w:r>
          </w:p>
        </w:tc>
        <w:tc>
          <w:tcPr>
            <w:tcW w:w="1712" w:type="dxa"/>
            <w:tcBorders>
              <w:top w:val="single" w:sz="4" w:space="0" w:color="000000"/>
            </w:tcBorders>
          </w:tcPr>
          <w:p>
            <w:pPr>
              <w:pStyle w:val="TableParagraph"/>
              <w:spacing w:line="316" w:lineRule="exact"/>
              <w:ind w:left="618" w:right="617"/>
              <w:jc w:val="center"/>
              <w:rPr>
                <w:sz w:val="28"/>
              </w:rPr>
            </w:pPr>
            <w:r>
              <w:rPr>
                <w:sz w:val="28"/>
              </w:rPr>
              <w:t>13</w:t>
            </w:r>
          </w:p>
        </w:tc>
        <w:tc>
          <w:tcPr>
            <w:tcW w:w="931" w:type="dxa"/>
            <w:tcBorders>
              <w:top w:val="single" w:sz="4" w:space="0" w:color="000000"/>
            </w:tcBorders>
          </w:tcPr>
          <w:p>
            <w:pPr>
              <w:pStyle w:val="TableParagraph"/>
              <w:spacing w:line="316" w:lineRule="exact"/>
              <w:ind w:left="193" w:right="192"/>
              <w:jc w:val="center"/>
              <w:rPr>
                <w:sz w:val="28"/>
              </w:rPr>
            </w:pPr>
            <w:r>
              <w:rPr>
                <w:sz w:val="28"/>
              </w:rPr>
              <w:t>3,7</w:t>
            </w:r>
          </w:p>
        </w:tc>
      </w:tr>
      <w:tr>
        <w:trPr>
          <w:trHeight w:val="698" w:hRule="exact"/>
        </w:trPr>
        <w:tc>
          <w:tcPr>
            <w:tcW w:w="6397" w:type="dxa"/>
          </w:tcPr>
          <w:p>
            <w:pPr>
              <w:pStyle w:val="TableParagraph"/>
              <w:spacing w:line="317" w:lineRule="exact"/>
              <w:ind w:left="129" w:right="130"/>
              <w:jc w:val="center"/>
              <w:rPr>
                <w:sz w:val="28"/>
              </w:rPr>
            </w:pPr>
            <w:r>
              <w:rPr>
                <w:sz w:val="28"/>
              </w:rPr>
              <w:t>Злокачественные новообразования других органов</w:t>
            </w:r>
          </w:p>
        </w:tc>
        <w:tc>
          <w:tcPr>
            <w:tcW w:w="1712" w:type="dxa"/>
          </w:tcPr>
          <w:p>
            <w:pPr>
              <w:pStyle w:val="TableParagraph"/>
              <w:spacing w:line="317" w:lineRule="exact"/>
              <w:ind w:right="1"/>
              <w:jc w:val="center"/>
              <w:rPr>
                <w:sz w:val="28"/>
              </w:rPr>
            </w:pPr>
            <w:r>
              <w:rPr>
                <w:w w:val="100"/>
                <w:sz w:val="28"/>
              </w:rPr>
              <w:t>6</w:t>
            </w:r>
          </w:p>
        </w:tc>
        <w:tc>
          <w:tcPr>
            <w:tcW w:w="931" w:type="dxa"/>
          </w:tcPr>
          <w:p>
            <w:pPr>
              <w:pStyle w:val="TableParagraph"/>
              <w:spacing w:line="317" w:lineRule="exact"/>
              <w:ind w:left="193" w:right="192"/>
              <w:jc w:val="center"/>
              <w:rPr>
                <w:sz w:val="28"/>
              </w:rPr>
            </w:pPr>
            <w:r>
              <w:rPr>
                <w:sz w:val="28"/>
              </w:rPr>
              <w:t>1,7</w:t>
            </w:r>
          </w:p>
        </w:tc>
      </w:tr>
    </w:tbl>
    <w:p>
      <w:pPr>
        <w:pStyle w:val="BodyText"/>
        <w:rPr>
          <w:sz w:val="20"/>
        </w:rPr>
      </w:pPr>
    </w:p>
    <w:p>
      <w:pPr>
        <w:pStyle w:val="BodyText"/>
        <w:rPr>
          <w:sz w:val="20"/>
        </w:rPr>
      </w:pPr>
    </w:p>
    <w:p>
      <w:pPr>
        <w:pStyle w:val="BodyText"/>
        <w:spacing w:line="360" w:lineRule="auto" w:before="217"/>
        <w:ind w:left="122" w:firstLine="487"/>
      </w:pPr>
      <w:r>
        <w:rPr/>
        <w:t>В ряде случаев выявленная патология явилась противопоказанием к выполнению обширных хирургических вмешательств.</w:t>
      </w:r>
    </w:p>
    <w:p>
      <w:pPr>
        <w:pStyle w:val="BodyText"/>
        <w:spacing w:line="360" w:lineRule="auto" w:before="207"/>
        <w:ind w:left="122" w:firstLine="278"/>
      </w:pPr>
      <w:r>
        <w:rPr/>
        <w:t>Обращает на себя внимание высокая частота рака молочной железы в исследуемой группе пациентов, превышающая в 150! раз наблюдаемую</w:t>
      </w:r>
    </w:p>
    <w:p>
      <w:pPr>
        <w:spacing w:after="0" w:line="360" w:lineRule="auto"/>
        <w:sectPr>
          <w:pgSz w:w="11900" w:h="16850"/>
          <w:pgMar w:header="712" w:footer="0" w:top="1020" w:bottom="280" w:left="1580" w:right="1020"/>
        </w:sectPr>
      </w:pPr>
    </w:p>
    <w:p>
      <w:pPr>
        <w:pStyle w:val="BodyText"/>
        <w:rPr>
          <w:sz w:val="20"/>
        </w:rPr>
      </w:pPr>
    </w:p>
    <w:p>
      <w:pPr>
        <w:pStyle w:val="BodyText"/>
        <w:rPr>
          <w:sz w:val="20"/>
        </w:rPr>
      </w:pPr>
    </w:p>
    <w:p>
      <w:pPr>
        <w:pStyle w:val="BodyText"/>
        <w:spacing w:line="360" w:lineRule="auto" w:before="224"/>
        <w:ind w:left="242" w:right="240"/>
        <w:jc w:val="both"/>
      </w:pPr>
      <w:r>
        <w:rPr/>
        <w:t>заболеваемость в популяции. Это лишний раз указывает на высокую частоту гормонозависимых полинеоплазий и необходимость тщательного  и регулярного обследования женщин в группах</w:t>
      </w:r>
      <w:r>
        <w:rPr>
          <w:spacing w:val="-18"/>
        </w:rPr>
        <w:t> </w:t>
      </w:r>
      <w:r>
        <w:rPr/>
        <w:t>риска.</w:t>
      </w:r>
    </w:p>
    <w:p>
      <w:pPr>
        <w:pStyle w:val="BodyText"/>
        <w:spacing w:line="360" w:lineRule="auto" w:before="207"/>
        <w:ind w:left="242" w:right="249" w:firstLine="347"/>
        <w:jc w:val="both"/>
      </w:pPr>
      <w:r>
        <w:rPr/>
        <w:t>Каких-либо значимых нарушений в репродуктивном гомеостате отмечено не было.</w:t>
      </w:r>
    </w:p>
    <w:p>
      <w:pPr>
        <w:pStyle w:val="BodyText"/>
        <w:spacing w:line="360" w:lineRule="auto" w:before="207"/>
        <w:ind w:left="242" w:right="244" w:firstLine="417"/>
        <w:jc w:val="both"/>
      </w:pPr>
      <w:r>
        <w:rPr/>
        <w:t>Выявленная частота наиболее распространенных гинекологических заболеваний соответствовала таковой в популяции и не рассматривалась нами в качестве самостоятельных факторов риска развития новообразований яичников (Табл. 5.2).</w:t>
      </w:r>
    </w:p>
    <w:p>
      <w:pPr>
        <w:pStyle w:val="BodyText"/>
        <w:spacing w:before="207"/>
        <w:ind w:right="242"/>
        <w:jc w:val="right"/>
      </w:pPr>
      <w:r>
        <w:rPr/>
        <w:t>Таблица 5.2</w:t>
      </w:r>
    </w:p>
    <w:p>
      <w:pPr>
        <w:pStyle w:val="BodyText"/>
        <w:spacing w:before="3"/>
        <w:rPr>
          <w:sz w:val="31"/>
        </w:rPr>
      </w:pPr>
    </w:p>
    <w:p>
      <w:pPr>
        <w:pStyle w:val="BodyText"/>
        <w:ind w:left="2066"/>
      </w:pPr>
      <w:r>
        <w:rPr/>
        <w:t>Сопутствующая гинекологическая патология</w:t>
      </w:r>
    </w:p>
    <w:p>
      <w:pPr>
        <w:pStyle w:val="BodyText"/>
        <w:spacing w:before="2"/>
        <w:rPr>
          <w:sz w:val="25"/>
        </w:rPr>
      </w:pPr>
    </w:p>
    <w:tbl>
      <w:tblPr>
        <w:tblW w:w="0" w:type="auto"/>
        <w:jc w:val="left"/>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180"/>
        <w:gridCol w:w="2138"/>
        <w:gridCol w:w="2009"/>
      </w:tblGrid>
      <w:tr>
        <w:trPr>
          <w:trHeight w:val="953" w:hRule="exact"/>
        </w:trPr>
        <w:tc>
          <w:tcPr>
            <w:tcW w:w="5180" w:type="dxa"/>
            <w:tcBorders>
              <w:bottom w:val="single" w:sz="4" w:space="0" w:color="000000"/>
            </w:tcBorders>
          </w:tcPr>
          <w:p>
            <w:pPr>
              <w:pStyle w:val="TableParagraph"/>
              <w:spacing w:line="276" w:lineRule="auto"/>
              <w:ind w:left="1977" w:right="494" w:hanging="1469"/>
              <w:rPr>
                <w:sz w:val="28"/>
              </w:rPr>
            </w:pPr>
            <w:r>
              <w:rPr>
                <w:sz w:val="28"/>
              </w:rPr>
              <w:t>Сопутствующая гинекологическая патология</w:t>
            </w:r>
          </w:p>
        </w:tc>
        <w:tc>
          <w:tcPr>
            <w:tcW w:w="2138" w:type="dxa"/>
            <w:tcBorders>
              <w:bottom w:val="single" w:sz="4" w:space="0" w:color="000000"/>
            </w:tcBorders>
          </w:tcPr>
          <w:p>
            <w:pPr>
              <w:pStyle w:val="TableParagraph"/>
              <w:spacing w:before="178"/>
              <w:ind w:left="160" w:right="90"/>
              <w:jc w:val="center"/>
              <w:rPr>
                <w:sz w:val="28"/>
              </w:rPr>
            </w:pPr>
            <w:r>
              <w:rPr>
                <w:sz w:val="28"/>
              </w:rPr>
              <w:t>Число больных</w:t>
            </w:r>
          </w:p>
        </w:tc>
        <w:tc>
          <w:tcPr>
            <w:tcW w:w="2009" w:type="dxa"/>
            <w:tcBorders>
              <w:bottom w:val="single" w:sz="4" w:space="0" w:color="000000"/>
            </w:tcBorders>
          </w:tcPr>
          <w:p>
            <w:pPr>
              <w:pStyle w:val="TableParagraph"/>
              <w:spacing w:before="178"/>
              <w:ind w:left="1"/>
              <w:jc w:val="center"/>
              <w:rPr>
                <w:sz w:val="28"/>
              </w:rPr>
            </w:pPr>
            <w:r>
              <w:rPr>
                <w:w w:val="100"/>
                <w:sz w:val="28"/>
              </w:rPr>
              <w:t>%</w:t>
            </w:r>
          </w:p>
        </w:tc>
      </w:tr>
      <w:tr>
        <w:trPr>
          <w:trHeight w:val="583" w:hRule="exact"/>
        </w:trPr>
        <w:tc>
          <w:tcPr>
            <w:tcW w:w="5180" w:type="dxa"/>
            <w:tcBorders>
              <w:top w:val="single" w:sz="4" w:space="0" w:color="000000"/>
            </w:tcBorders>
          </w:tcPr>
          <w:p>
            <w:pPr>
              <w:pStyle w:val="TableParagraph"/>
              <w:spacing w:line="315" w:lineRule="exact"/>
              <w:ind w:left="170" w:right="171"/>
              <w:jc w:val="center"/>
              <w:rPr>
                <w:sz w:val="28"/>
              </w:rPr>
            </w:pPr>
            <w:r>
              <w:rPr>
                <w:sz w:val="28"/>
              </w:rPr>
              <w:t>Бесплодие</w:t>
            </w:r>
          </w:p>
        </w:tc>
        <w:tc>
          <w:tcPr>
            <w:tcW w:w="2138" w:type="dxa"/>
            <w:tcBorders>
              <w:top w:val="single" w:sz="4" w:space="0" w:color="000000"/>
            </w:tcBorders>
          </w:tcPr>
          <w:p>
            <w:pPr>
              <w:pStyle w:val="TableParagraph"/>
              <w:spacing w:line="315" w:lineRule="exact"/>
              <w:ind w:left="92" w:right="90"/>
              <w:jc w:val="center"/>
              <w:rPr>
                <w:sz w:val="28"/>
              </w:rPr>
            </w:pPr>
            <w:r>
              <w:rPr>
                <w:sz w:val="28"/>
              </w:rPr>
              <w:t>27</w:t>
            </w:r>
          </w:p>
        </w:tc>
        <w:tc>
          <w:tcPr>
            <w:tcW w:w="2009" w:type="dxa"/>
            <w:tcBorders>
              <w:top w:val="single" w:sz="4" w:space="0" w:color="000000"/>
            </w:tcBorders>
          </w:tcPr>
          <w:p>
            <w:pPr>
              <w:pStyle w:val="TableParagraph"/>
              <w:spacing w:line="315" w:lineRule="exact"/>
              <w:ind w:left="732" w:right="732"/>
              <w:jc w:val="center"/>
              <w:rPr>
                <w:sz w:val="28"/>
              </w:rPr>
            </w:pPr>
            <w:r>
              <w:rPr>
                <w:sz w:val="28"/>
              </w:rPr>
              <w:t>7,7</w:t>
            </w:r>
          </w:p>
        </w:tc>
      </w:tr>
      <w:tr>
        <w:trPr>
          <w:trHeight w:val="1325" w:hRule="exact"/>
        </w:trPr>
        <w:tc>
          <w:tcPr>
            <w:tcW w:w="5180" w:type="dxa"/>
          </w:tcPr>
          <w:p>
            <w:pPr>
              <w:pStyle w:val="TableParagraph"/>
              <w:spacing w:line="276" w:lineRule="auto"/>
              <w:ind w:left="170" w:right="172"/>
              <w:jc w:val="center"/>
              <w:rPr>
                <w:sz w:val="28"/>
              </w:rPr>
            </w:pPr>
            <w:r>
              <w:rPr>
                <w:sz w:val="28"/>
              </w:rPr>
              <w:t>Гормонозависимые заболевания (миома матки, эндометриоз, гиперпластические процессы эндометрия)</w:t>
            </w:r>
          </w:p>
        </w:tc>
        <w:tc>
          <w:tcPr>
            <w:tcW w:w="2138" w:type="dxa"/>
          </w:tcPr>
          <w:p>
            <w:pPr>
              <w:pStyle w:val="TableParagraph"/>
              <w:spacing w:before="6"/>
              <w:rPr>
                <w:sz w:val="31"/>
              </w:rPr>
            </w:pPr>
          </w:p>
          <w:p>
            <w:pPr>
              <w:pStyle w:val="TableParagraph"/>
              <w:ind w:left="92" w:right="90"/>
              <w:jc w:val="center"/>
              <w:rPr>
                <w:sz w:val="28"/>
              </w:rPr>
            </w:pPr>
            <w:r>
              <w:rPr>
                <w:sz w:val="28"/>
              </w:rPr>
              <w:t>48</w:t>
            </w:r>
          </w:p>
        </w:tc>
        <w:tc>
          <w:tcPr>
            <w:tcW w:w="2009" w:type="dxa"/>
          </w:tcPr>
          <w:p>
            <w:pPr>
              <w:pStyle w:val="TableParagraph"/>
              <w:spacing w:before="6"/>
              <w:rPr>
                <w:sz w:val="31"/>
              </w:rPr>
            </w:pPr>
          </w:p>
          <w:p>
            <w:pPr>
              <w:pStyle w:val="TableParagraph"/>
              <w:ind w:left="732" w:right="733"/>
              <w:jc w:val="center"/>
              <w:rPr>
                <w:sz w:val="28"/>
              </w:rPr>
            </w:pPr>
            <w:r>
              <w:rPr>
                <w:sz w:val="28"/>
              </w:rPr>
              <w:t>13,8</w:t>
            </w:r>
          </w:p>
        </w:tc>
      </w:tr>
      <w:tr>
        <w:trPr>
          <w:trHeight w:val="1325" w:hRule="exact"/>
        </w:trPr>
        <w:tc>
          <w:tcPr>
            <w:tcW w:w="5180" w:type="dxa"/>
          </w:tcPr>
          <w:p>
            <w:pPr>
              <w:pStyle w:val="TableParagraph"/>
              <w:spacing w:line="276" w:lineRule="auto"/>
              <w:ind w:left="170" w:right="172"/>
              <w:jc w:val="center"/>
              <w:rPr>
                <w:sz w:val="28"/>
              </w:rPr>
            </w:pPr>
            <w:r>
              <w:rPr>
                <w:sz w:val="28"/>
              </w:rPr>
              <w:t>Воспалительные заболевания гениталий (острый или хронический сальпингоофорит, метроэндометрит)</w:t>
            </w:r>
          </w:p>
        </w:tc>
        <w:tc>
          <w:tcPr>
            <w:tcW w:w="2138" w:type="dxa"/>
          </w:tcPr>
          <w:p>
            <w:pPr>
              <w:pStyle w:val="TableParagraph"/>
              <w:spacing w:before="6"/>
              <w:rPr>
                <w:sz w:val="31"/>
              </w:rPr>
            </w:pPr>
          </w:p>
          <w:p>
            <w:pPr>
              <w:pStyle w:val="TableParagraph"/>
              <w:ind w:left="92" w:right="90"/>
              <w:jc w:val="center"/>
              <w:rPr>
                <w:sz w:val="28"/>
              </w:rPr>
            </w:pPr>
            <w:r>
              <w:rPr>
                <w:sz w:val="28"/>
              </w:rPr>
              <w:t>14</w:t>
            </w:r>
          </w:p>
        </w:tc>
        <w:tc>
          <w:tcPr>
            <w:tcW w:w="2009" w:type="dxa"/>
          </w:tcPr>
          <w:p>
            <w:pPr>
              <w:pStyle w:val="TableParagraph"/>
              <w:spacing w:before="6"/>
              <w:rPr>
                <w:sz w:val="31"/>
              </w:rPr>
            </w:pPr>
          </w:p>
          <w:p>
            <w:pPr>
              <w:pStyle w:val="TableParagraph"/>
              <w:ind w:left="732" w:right="732"/>
              <w:jc w:val="center"/>
              <w:rPr>
                <w:sz w:val="28"/>
              </w:rPr>
            </w:pPr>
            <w:r>
              <w:rPr>
                <w:sz w:val="28"/>
              </w:rPr>
              <w:t>4,0</w:t>
            </w:r>
          </w:p>
        </w:tc>
      </w:tr>
      <w:tr>
        <w:trPr>
          <w:trHeight w:val="958" w:hRule="exact"/>
        </w:trPr>
        <w:tc>
          <w:tcPr>
            <w:tcW w:w="5180" w:type="dxa"/>
          </w:tcPr>
          <w:p>
            <w:pPr>
              <w:pStyle w:val="TableParagraph"/>
              <w:spacing w:line="276" w:lineRule="auto"/>
              <w:ind w:left="1137" w:right="482" w:hanging="639"/>
              <w:rPr>
                <w:sz w:val="28"/>
              </w:rPr>
            </w:pPr>
            <w:r>
              <w:rPr>
                <w:sz w:val="28"/>
              </w:rPr>
              <w:t>Заболевания шейки матки (эрозии, дисплазии I-III степени)</w:t>
            </w:r>
          </w:p>
        </w:tc>
        <w:tc>
          <w:tcPr>
            <w:tcW w:w="2138" w:type="dxa"/>
          </w:tcPr>
          <w:p>
            <w:pPr>
              <w:pStyle w:val="TableParagraph"/>
              <w:spacing w:before="180"/>
              <w:ind w:left="92" w:right="90"/>
              <w:jc w:val="center"/>
              <w:rPr>
                <w:sz w:val="28"/>
              </w:rPr>
            </w:pPr>
            <w:r>
              <w:rPr>
                <w:sz w:val="28"/>
              </w:rPr>
              <w:t>46</w:t>
            </w:r>
          </w:p>
        </w:tc>
        <w:tc>
          <w:tcPr>
            <w:tcW w:w="2009" w:type="dxa"/>
          </w:tcPr>
          <w:p>
            <w:pPr>
              <w:pStyle w:val="TableParagraph"/>
              <w:spacing w:before="180"/>
              <w:ind w:left="732" w:right="733"/>
              <w:jc w:val="center"/>
              <w:rPr>
                <w:sz w:val="28"/>
              </w:rPr>
            </w:pPr>
            <w:r>
              <w:rPr>
                <w:sz w:val="28"/>
              </w:rPr>
              <w:t>13,2</w:t>
            </w:r>
          </w:p>
        </w:tc>
      </w:tr>
      <w:tr>
        <w:trPr>
          <w:trHeight w:val="955" w:hRule="exact"/>
        </w:trPr>
        <w:tc>
          <w:tcPr>
            <w:tcW w:w="5180" w:type="dxa"/>
          </w:tcPr>
          <w:p>
            <w:pPr>
              <w:pStyle w:val="TableParagraph"/>
              <w:spacing w:line="276" w:lineRule="auto"/>
              <w:ind w:left="1159" w:right="760" w:hanging="382"/>
              <w:rPr>
                <w:sz w:val="28"/>
              </w:rPr>
            </w:pPr>
            <w:r>
              <w:rPr>
                <w:sz w:val="28"/>
              </w:rPr>
              <w:t>Отсутствие гинекологических заболеваний в анамнезе</w:t>
            </w:r>
          </w:p>
        </w:tc>
        <w:tc>
          <w:tcPr>
            <w:tcW w:w="2138" w:type="dxa"/>
          </w:tcPr>
          <w:p>
            <w:pPr>
              <w:pStyle w:val="TableParagraph"/>
              <w:spacing w:before="177"/>
              <w:ind w:left="92" w:right="90"/>
              <w:jc w:val="center"/>
              <w:rPr>
                <w:sz w:val="28"/>
              </w:rPr>
            </w:pPr>
            <w:r>
              <w:rPr>
                <w:sz w:val="28"/>
              </w:rPr>
              <w:t>74</w:t>
            </w:r>
          </w:p>
        </w:tc>
        <w:tc>
          <w:tcPr>
            <w:tcW w:w="2009" w:type="dxa"/>
          </w:tcPr>
          <w:p>
            <w:pPr>
              <w:pStyle w:val="TableParagraph"/>
              <w:spacing w:before="177"/>
              <w:ind w:left="732" w:right="733"/>
              <w:jc w:val="center"/>
              <w:rPr>
                <w:sz w:val="28"/>
              </w:rPr>
            </w:pPr>
            <w:r>
              <w:rPr>
                <w:sz w:val="28"/>
              </w:rPr>
              <w:t>21,2</w:t>
            </w:r>
          </w:p>
        </w:tc>
      </w:tr>
    </w:tbl>
    <w:p>
      <w:pPr>
        <w:pStyle w:val="BodyText"/>
        <w:rPr>
          <w:sz w:val="30"/>
        </w:rPr>
      </w:pPr>
    </w:p>
    <w:p>
      <w:pPr>
        <w:pStyle w:val="BodyText"/>
        <w:spacing w:before="8"/>
      </w:pPr>
    </w:p>
    <w:p>
      <w:pPr>
        <w:pStyle w:val="BodyText"/>
        <w:spacing w:line="362" w:lineRule="auto"/>
        <w:ind w:left="242" w:right="247"/>
        <w:jc w:val="both"/>
      </w:pPr>
      <w:r>
        <w:rPr/>
        <w:t>Всем больным в исследуемой группе выполнялось ультразвуковое исследование органов малого таза, определение маркера СА-125. У ряда</w:t>
      </w:r>
    </w:p>
    <w:p>
      <w:pPr>
        <w:spacing w:after="0" w:line="362" w:lineRule="auto"/>
        <w:jc w:val="both"/>
        <w:sectPr>
          <w:pgSz w:w="11900" w:h="16850"/>
          <w:pgMar w:header="712" w:footer="0" w:top="1020" w:bottom="280" w:left="1460" w:right="880"/>
        </w:sectPr>
      </w:pPr>
    </w:p>
    <w:p>
      <w:pPr>
        <w:pStyle w:val="BodyText"/>
        <w:rPr>
          <w:sz w:val="20"/>
        </w:rPr>
      </w:pPr>
    </w:p>
    <w:p>
      <w:pPr>
        <w:pStyle w:val="BodyText"/>
        <w:rPr>
          <w:sz w:val="20"/>
        </w:rPr>
      </w:pPr>
    </w:p>
    <w:p>
      <w:pPr>
        <w:pStyle w:val="BodyText"/>
        <w:spacing w:line="360" w:lineRule="auto" w:before="224"/>
        <w:ind w:left="222" w:right="221"/>
        <w:jc w:val="both"/>
      </w:pPr>
      <w:r>
        <w:rPr/>
        <w:t>больных проведена МРТ малого таза и определены маркёры НЕ-4. Все исследования осуществлялись в СПбКНПЦСВМП(о), а также в поликлиниках и лабораториях города.  При ультразвуковом исследовании  в анализируемой группе пациенток была выявлена различная патология яичников. К ультразвуковым признакам злокачественности нами были отнесены общепринятые показатели, такие как разрастания на наружной или внутренней поверхности капсулы кисты, усиление кровотока, неоднородное кистозно-солидное строение новообразований. При трактовке значений опухолевого маркера СА-125 признаком возможной малигнизации считалось его двукратное повышение. При этом учитывалось состояние репродуктивной функции и наличие в анамнезе указаний на ранее выполненную гистерэктомию. Различные возможные комбинации данных УЗИ и определения опухолевых маркеров суммированы в следующей таблице (Табл.</w:t>
      </w:r>
      <w:r>
        <w:rPr>
          <w:spacing w:val="-10"/>
        </w:rPr>
        <w:t> </w:t>
      </w:r>
      <w:r>
        <w:rPr/>
        <w:t>5.3).</w:t>
      </w:r>
    </w:p>
    <w:p>
      <w:pPr>
        <w:pStyle w:val="BodyText"/>
        <w:spacing w:line="572" w:lineRule="exact" w:before="9"/>
        <w:ind w:left="812" w:right="206" w:firstLine="7060"/>
      </w:pPr>
      <w:r>
        <w:rPr/>
        <w:t>Таблица 5.3 Результаты УЗИ и определения маркера СА-125 в зависимости от</w:t>
      </w:r>
    </w:p>
    <w:p>
      <w:pPr>
        <w:pStyle w:val="BodyText"/>
        <w:spacing w:line="316" w:lineRule="exact"/>
        <w:ind w:left="2577"/>
      </w:pPr>
      <w:r>
        <w:rPr/>
        <w:t>состояния репродуктивной функции</w:t>
      </w:r>
    </w:p>
    <w:p>
      <w:pPr>
        <w:pStyle w:val="BodyText"/>
        <w:spacing w:before="3"/>
        <w:rPr>
          <w:sz w:val="2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7"/>
        <w:gridCol w:w="1753"/>
        <w:gridCol w:w="1774"/>
        <w:gridCol w:w="1753"/>
        <w:gridCol w:w="1774"/>
      </w:tblGrid>
      <w:tr>
        <w:trPr>
          <w:trHeight w:val="1375" w:hRule="exact"/>
        </w:trPr>
        <w:tc>
          <w:tcPr>
            <w:tcW w:w="2237" w:type="dxa"/>
          </w:tcPr>
          <w:p>
            <w:pPr/>
          </w:p>
        </w:tc>
        <w:tc>
          <w:tcPr>
            <w:tcW w:w="1753" w:type="dxa"/>
          </w:tcPr>
          <w:p>
            <w:pPr>
              <w:pStyle w:val="TableParagraph"/>
              <w:spacing w:line="315" w:lineRule="exact"/>
              <w:ind w:left="193" w:right="193"/>
              <w:jc w:val="center"/>
              <w:rPr>
                <w:sz w:val="28"/>
              </w:rPr>
            </w:pPr>
            <w:r>
              <w:rPr>
                <w:sz w:val="28"/>
              </w:rPr>
              <w:t>ЭГ(-)</w:t>
            </w:r>
          </w:p>
          <w:p>
            <w:pPr>
              <w:pStyle w:val="TableParagraph"/>
              <w:spacing w:before="5"/>
              <w:rPr>
                <w:sz w:val="31"/>
              </w:rPr>
            </w:pPr>
          </w:p>
          <w:p>
            <w:pPr>
              <w:pStyle w:val="TableParagraph"/>
              <w:ind w:left="193" w:right="191"/>
              <w:jc w:val="center"/>
              <w:rPr>
                <w:sz w:val="28"/>
              </w:rPr>
            </w:pPr>
            <w:r>
              <w:rPr>
                <w:sz w:val="28"/>
              </w:rPr>
              <w:t>СА-125 (-)</w:t>
            </w:r>
          </w:p>
        </w:tc>
        <w:tc>
          <w:tcPr>
            <w:tcW w:w="1774" w:type="dxa"/>
          </w:tcPr>
          <w:p>
            <w:pPr>
              <w:pStyle w:val="TableParagraph"/>
              <w:spacing w:line="508" w:lineRule="auto"/>
              <w:ind w:left="252" w:right="254" w:firstLine="280"/>
              <w:rPr>
                <w:sz w:val="28"/>
              </w:rPr>
            </w:pPr>
            <w:r>
              <w:rPr>
                <w:sz w:val="28"/>
              </w:rPr>
              <w:t>ЭГ(+) СА-125 (-)</w:t>
            </w:r>
          </w:p>
        </w:tc>
        <w:tc>
          <w:tcPr>
            <w:tcW w:w="1753" w:type="dxa"/>
          </w:tcPr>
          <w:p>
            <w:pPr>
              <w:pStyle w:val="TableParagraph"/>
              <w:spacing w:line="315" w:lineRule="exact"/>
              <w:ind w:left="193" w:right="193"/>
              <w:jc w:val="center"/>
              <w:rPr>
                <w:sz w:val="28"/>
              </w:rPr>
            </w:pPr>
            <w:r>
              <w:rPr>
                <w:sz w:val="28"/>
              </w:rPr>
              <w:t>ЭГ(-)</w:t>
            </w:r>
          </w:p>
          <w:p>
            <w:pPr>
              <w:pStyle w:val="TableParagraph"/>
              <w:spacing w:before="5"/>
              <w:rPr>
                <w:sz w:val="31"/>
              </w:rPr>
            </w:pPr>
          </w:p>
          <w:p>
            <w:pPr>
              <w:pStyle w:val="TableParagraph"/>
              <w:ind w:left="193" w:right="193"/>
              <w:jc w:val="center"/>
              <w:rPr>
                <w:sz w:val="28"/>
              </w:rPr>
            </w:pPr>
            <w:r>
              <w:rPr>
                <w:sz w:val="28"/>
              </w:rPr>
              <w:t>СА-125 (+)</w:t>
            </w:r>
          </w:p>
        </w:tc>
        <w:tc>
          <w:tcPr>
            <w:tcW w:w="1774" w:type="dxa"/>
          </w:tcPr>
          <w:p>
            <w:pPr>
              <w:pStyle w:val="TableParagraph"/>
              <w:spacing w:line="508" w:lineRule="auto"/>
              <w:ind w:left="223" w:right="219" w:firstLine="312"/>
              <w:rPr>
                <w:sz w:val="28"/>
              </w:rPr>
            </w:pPr>
            <w:r>
              <w:rPr>
                <w:sz w:val="28"/>
              </w:rPr>
              <w:t>ЭГ(+) СА-125 (+)</w:t>
            </w:r>
          </w:p>
        </w:tc>
      </w:tr>
      <w:tr>
        <w:trPr>
          <w:trHeight w:val="1376" w:hRule="exact"/>
        </w:trPr>
        <w:tc>
          <w:tcPr>
            <w:tcW w:w="2237" w:type="dxa"/>
          </w:tcPr>
          <w:p>
            <w:pPr>
              <w:pStyle w:val="TableParagraph"/>
              <w:spacing w:line="508" w:lineRule="auto"/>
              <w:ind w:left="659" w:right="84" w:hanging="557"/>
              <w:rPr>
                <w:sz w:val="28"/>
              </w:rPr>
            </w:pPr>
            <w:r>
              <w:rPr>
                <w:sz w:val="28"/>
              </w:rPr>
              <w:t>Репродуктивный (n=234)</w:t>
            </w:r>
          </w:p>
        </w:tc>
        <w:tc>
          <w:tcPr>
            <w:tcW w:w="1753" w:type="dxa"/>
          </w:tcPr>
          <w:p>
            <w:pPr>
              <w:pStyle w:val="TableParagraph"/>
              <w:spacing w:before="3"/>
              <w:rPr>
                <w:sz w:val="29"/>
              </w:rPr>
            </w:pPr>
          </w:p>
          <w:p>
            <w:pPr>
              <w:pStyle w:val="TableParagraph"/>
              <w:ind w:right="727"/>
              <w:jc w:val="right"/>
              <w:rPr>
                <w:sz w:val="28"/>
              </w:rPr>
            </w:pPr>
            <w:r>
              <w:rPr>
                <w:sz w:val="28"/>
              </w:rPr>
              <w:t>83</w:t>
            </w:r>
          </w:p>
        </w:tc>
        <w:tc>
          <w:tcPr>
            <w:tcW w:w="1774" w:type="dxa"/>
          </w:tcPr>
          <w:p>
            <w:pPr>
              <w:pStyle w:val="TableParagraph"/>
              <w:spacing w:before="3"/>
              <w:rPr>
                <w:sz w:val="29"/>
              </w:rPr>
            </w:pPr>
          </w:p>
          <w:p>
            <w:pPr>
              <w:pStyle w:val="TableParagraph"/>
              <w:ind w:left="722" w:right="722"/>
              <w:jc w:val="center"/>
              <w:rPr>
                <w:sz w:val="28"/>
              </w:rPr>
            </w:pPr>
            <w:r>
              <w:rPr>
                <w:sz w:val="28"/>
              </w:rPr>
              <w:t>52</w:t>
            </w:r>
          </w:p>
        </w:tc>
        <w:tc>
          <w:tcPr>
            <w:tcW w:w="1753" w:type="dxa"/>
          </w:tcPr>
          <w:p>
            <w:pPr>
              <w:pStyle w:val="TableParagraph"/>
              <w:spacing w:before="3"/>
              <w:rPr>
                <w:sz w:val="29"/>
              </w:rPr>
            </w:pPr>
          </w:p>
          <w:p>
            <w:pPr>
              <w:pStyle w:val="TableParagraph"/>
              <w:ind w:left="193" w:right="193"/>
              <w:jc w:val="center"/>
              <w:rPr>
                <w:sz w:val="28"/>
              </w:rPr>
            </w:pPr>
            <w:r>
              <w:rPr>
                <w:sz w:val="28"/>
              </w:rPr>
              <w:t>35</w:t>
            </w:r>
          </w:p>
        </w:tc>
        <w:tc>
          <w:tcPr>
            <w:tcW w:w="1774" w:type="dxa"/>
          </w:tcPr>
          <w:p>
            <w:pPr>
              <w:pStyle w:val="TableParagraph"/>
              <w:spacing w:before="3"/>
              <w:rPr>
                <w:sz w:val="29"/>
              </w:rPr>
            </w:pPr>
          </w:p>
          <w:p>
            <w:pPr>
              <w:pStyle w:val="TableParagraph"/>
              <w:ind w:left="723" w:right="721"/>
              <w:jc w:val="center"/>
              <w:rPr>
                <w:sz w:val="28"/>
              </w:rPr>
            </w:pPr>
            <w:r>
              <w:rPr>
                <w:sz w:val="28"/>
              </w:rPr>
              <w:t>64</w:t>
            </w:r>
          </w:p>
        </w:tc>
      </w:tr>
      <w:tr>
        <w:trPr>
          <w:trHeight w:val="1378" w:hRule="exact"/>
        </w:trPr>
        <w:tc>
          <w:tcPr>
            <w:tcW w:w="2237" w:type="dxa"/>
          </w:tcPr>
          <w:p>
            <w:pPr>
              <w:pStyle w:val="TableParagraph"/>
              <w:spacing w:line="508" w:lineRule="auto"/>
              <w:ind w:left="659" w:right="179" w:hanging="461"/>
              <w:rPr>
                <w:sz w:val="28"/>
              </w:rPr>
            </w:pPr>
            <w:r>
              <w:rPr>
                <w:sz w:val="28"/>
              </w:rPr>
              <w:t>Постменопауза (n=115)</w:t>
            </w:r>
          </w:p>
        </w:tc>
        <w:tc>
          <w:tcPr>
            <w:tcW w:w="1753" w:type="dxa"/>
          </w:tcPr>
          <w:p>
            <w:pPr>
              <w:pStyle w:val="TableParagraph"/>
              <w:spacing w:before="2"/>
              <w:rPr>
                <w:sz w:val="29"/>
              </w:rPr>
            </w:pPr>
          </w:p>
          <w:p>
            <w:pPr>
              <w:pStyle w:val="TableParagraph"/>
              <w:ind w:right="727"/>
              <w:jc w:val="right"/>
              <w:rPr>
                <w:sz w:val="28"/>
              </w:rPr>
            </w:pPr>
            <w:r>
              <w:rPr>
                <w:sz w:val="28"/>
              </w:rPr>
              <w:t>40</w:t>
            </w:r>
          </w:p>
        </w:tc>
        <w:tc>
          <w:tcPr>
            <w:tcW w:w="1774" w:type="dxa"/>
          </w:tcPr>
          <w:p>
            <w:pPr>
              <w:pStyle w:val="TableParagraph"/>
              <w:spacing w:before="2"/>
              <w:rPr>
                <w:sz w:val="29"/>
              </w:rPr>
            </w:pPr>
          </w:p>
          <w:p>
            <w:pPr>
              <w:pStyle w:val="TableParagraph"/>
              <w:ind w:left="722" w:right="722"/>
              <w:jc w:val="center"/>
              <w:rPr>
                <w:sz w:val="28"/>
              </w:rPr>
            </w:pPr>
            <w:r>
              <w:rPr>
                <w:sz w:val="28"/>
              </w:rPr>
              <w:t>26</w:t>
            </w:r>
          </w:p>
        </w:tc>
        <w:tc>
          <w:tcPr>
            <w:tcW w:w="1753" w:type="dxa"/>
          </w:tcPr>
          <w:p>
            <w:pPr>
              <w:pStyle w:val="TableParagraph"/>
              <w:spacing w:before="2"/>
              <w:rPr>
                <w:sz w:val="29"/>
              </w:rPr>
            </w:pPr>
          </w:p>
          <w:p>
            <w:pPr>
              <w:pStyle w:val="TableParagraph"/>
              <w:ind w:left="193" w:right="193"/>
              <w:jc w:val="center"/>
              <w:rPr>
                <w:sz w:val="28"/>
              </w:rPr>
            </w:pPr>
            <w:r>
              <w:rPr>
                <w:sz w:val="28"/>
              </w:rPr>
              <w:t>17</w:t>
            </w:r>
          </w:p>
        </w:tc>
        <w:tc>
          <w:tcPr>
            <w:tcW w:w="1774" w:type="dxa"/>
          </w:tcPr>
          <w:p>
            <w:pPr>
              <w:pStyle w:val="TableParagraph"/>
              <w:spacing w:before="2"/>
              <w:rPr>
                <w:sz w:val="29"/>
              </w:rPr>
            </w:pPr>
          </w:p>
          <w:p>
            <w:pPr>
              <w:pStyle w:val="TableParagraph"/>
              <w:ind w:left="723" w:right="721"/>
              <w:jc w:val="center"/>
              <w:rPr>
                <w:sz w:val="28"/>
              </w:rPr>
            </w:pPr>
            <w:r>
              <w:rPr>
                <w:sz w:val="28"/>
              </w:rPr>
              <w:t>32</w:t>
            </w:r>
          </w:p>
        </w:tc>
      </w:tr>
      <w:tr>
        <w:trPr>
          <w:trHeight w:val="1376" w:hRule="exact"/>
        </w:trPr>
        <w:tc>
          <w:tcPr>
            <w:tcW w:w="2237" w:type="dxa"/>
          </w:tcPr>
          <w:p>
            <w:pPr>
              <w:pStyle w:val="TableParagraph"/>
              <w:spacing w:line="508" w:lineRule="auto"/>
              <w:ind w:left="659" w:right="643" w:firstLine="108"/>
              <w:rPr>
                <w:sz w:val="28"/>
              </w:rPr>
            </w:pPr>
            <w:r>
              <w:rPr>
                <w:sz w:val="28"/>
              </w:rPr>
              <w:t>Всего (n=349)</w:t>
            </w:r>
          </w:p>
        </w:tc>
        <w:tc>
          <w:tcPr>
            <w:tcW w:w="1753" w:type="dxa"/>
          </w:tcPr>
          <w:p>
            <w:pPr>
              <w:pStyle w:val="TableParagraph"/>
              <w:rPr>
                <w:sz w:val="29"/>
              </w:rPr>
            </w:pPr>
          </w:p>
          <w:p>
            <w:pPr>
              <w:pStyle w:val="TableParagraph"/>
              <w:ind w:right="659"/>
              <w:jc w:val="right"/>
              <w:rPr>
                <w:sz w:val="28"/>
              </w:rPr>
            </w:pPr>
            <w:r>
              <w:rPr>
                <w:sz w:val="28"/>
              </w:rPr>
              <w:t>123</w:t>
            </w:r>
          </w:p>
        </w:tc>
        <w:tc>
          <w:tcPr>
            <w:tcW w:w="1774" w:type="dxa"/>
          </w:tcPr>
          <w:p>
            <w:pPr>
              <w:pStyle w:val="TableParagraph"/>
              <w:rPr>
                <w:sz w:val="29"/>
              </w:rPr>
            </w:pPr>
          </w:p>
          <w:p>
            <w:pPr>
              <w:pStyle w:val="TableParagraph"/>
              <w:ind w:left="722" w:right="722"/>
              <w:jc w:val="center"/>
              <w:rPr>
                <w:sz w:val="28"/>
              </w:rPr>
            </w:pPr>
            <w:r>
              <w:rPr>
                <w:sz w:val="28"/>
              </w:rPr>
              <w:t>78</w:t>
            </w:r>
          </w:p>
        </w:tc>
        <w:tc>
          <w:tcPr>
            <w:tcW w:w="1753" w:type="dxa"/>
          </w:tcPr>
          <w:p>
            <w:pPr>
              <w:pStyle w:val="TableParagraph"/>
              <w:rPr>
                <w:sz w:val="29"/>
              </w:rPr>
            </w:pPr>
          </w:p>
          <w:p>
            <w:pPr>
              <w:pStyle w:val="TableParagraph"/>
              <w:ind w:left="193" w:right="193"/>
              <w:jc w:val="center"/>
              <w:rPr>
                <w:sz w:val="28"/>
              </w:rPr>
            </w:pPr>
            <w:r>
              <w:rPr>
                <w:sz w:val="28"/>
              </w:rPr>
              <w:t>52</w:t>
            </w:r>
          </w:p>
        </w:tc>
        <w:tc>
          <w:tcPr>
            <w:tcW w:w="1774" w:type="dxa"/>
          </w:tcPr>
          <w:p>
            <w:pPr>
              <w:pStyle w:val="TableParagraph"/>
              <w:rPr>
                <w:sz w:val="29"/>
              </w:rPr>
            </w:pPr>
          </w:p>
          <w:p>
            <w:pPr>
              <w:pStyle w:val="TableParagraph"/>
              <w:ind w:left="723" w:right="721"/>
              <w:jc w:val="center"/>
              <w:rPr>
                <w:sz w:val="28"/>
              </w:rPr>
            </w:pPr>
            <w:r>
              <w:rPr>
                <w:sz w:val="28"/>
              </w:rPr>
              <w:t>96</w:t>
            </w:r>
          </w:p>
        </w:tc>
      </w:tr>
    </w:tbl>
    <w:p>
      <w:pPr>
        <w:spacing w:after="0"/>
        <w:jc w:val="center"/>
        <w:rPr>
          <w:sz w:val="28"/>
        </w:rPr>
        <w:sectPr>
          <w:headerReference w:type="default" r:id="rId154"/>
          <w:pgSz w:w="11900" w:h="16850"/>
          <w:pgMar w:header="712" w:footer="0" w:top="1020" w:bottom="280" w:left="1480" w:right="900"/>
          <w:pgNumType w:start="210"/>
        </w:sectPr>
      </w:pPr>
    </w:p>
    <w:p>
      <w:pPr>
        <w:pStyle w:val="BodyText"/>
        <w:rPr>
          <w:sz w:val="20"/>
        </w:rPr>
      </w:pPr>
    </w:p>
    <w:p>
      <w:pPr>
        <w:pStyle w:val="BodyText"/>
        <w:rPr>
          <w:sz w:val="20"/>
        </w:rPr>
      </w:pPr>
    </w:p>
    <w:p>
      <w:pPr>
        <w:pStyle w:val="BodyText"/>
        <w:spacing w:line="360" w:lineRule="auto" w:before="224"/>
        <w:ind w:left="102" w:right="105" w:firstLine="139"/>
        <w:jc w:val="both"/>
      </w:pPr>
      <w:r>
        <w:rPr/>
        <w:t>124 больным выполнялась МРТ органов малого таза. Диагноз злокачественного новообразования яичников установлен в 76 случаях (61%).</w:t>
      </w:r>
    </w:p>
    <w:p>
      <w:pPr>
        <w:pStyle w:val="BodyText"/>
        <w:tabs>
          <w:tab w:pos="6886" w:val="left" w:leader="none"/>
        </w:tabs>
        <w:spacing w:line="360" w:lineRule="auto" w:before="207"/>
        <w:ind w:left="102" w:right="101"/>
      </w:pPr>
      <w:r>
        <w:rPr/>
        <w:t>Значения маркера СА-125 оказались повышены </w:t>
      </w:r>
      <w:r>
        <w:rPr>
          <w:spacing w:val="7"/>
        </w:rPr>
        <w:t> </w:t>
      </w:r>
      <w:r>
        <w:rPr/>
        <w:t>у</w:t>
      </w:r>
      <w:r>
        <w:rPr>
          <w:spacing w:val="11"/>
        </w:rPr>
        <w:t> </w:t>
      </w:r>
      <w:r>
        <w:rPr/>
        <w:t>211</w:t>
        <w:tab/>
        <w:t>пациенток,</w:t>
      </w:r>
      <w:r>
        <w:rPr>
          <w:spacing w:val="10"/>
        </w:rPr>
        <w:t> </w:t>
      </w:r>
      <w:r>
        <w:rPr/>
        <w:t>причем</w:t>
      </w:r>
      <w:r>
        <w:rPr>
          <w:w w:val="100"/>
        </w:rPr>
        <w:t> </w:t>
      </w:r>
      <w:r>
        <w:rPr/>
        <w:t>двукратное его повышение отмечено в 168 случаях (48,1% от всей</w:t>
      </w:r>
      <w:r>
        <w:rPr>
          <w:spacing w:val="-25"/>
        </w:rPr>
        <w:t> </w:t>
      </w:r>
      <w:r>
        <w:rPr/>
        <w:t>группы).</w:t>
      </w:r>
    </w:p>
    <w:p>
      <w:pPr>
        <w:pStyle w:val="BodyText"/>
        <w:spacing w:line="360" w:lineRule="auto" w:before="207"/>
        <w:ind w:left="102"/>
      </w:pPr>
      <w:r>
        <w:rPr/>
        <w:t>У 97 больных также исследовался уровень маркера НЕ-4 с последующим расчетом индекса ROMA.</w:t>
      </w:r>
    </w:p>
    <w:p>
      <w:pPr>
        <w:pStyle w:val="BodyText"/>
        <w:spacing w:line="360" w:lineRule="auto" w:before="204"/>
        <w:ind w:left="102" w:right="102" w:firstLine="208"/>
        <w:jc w:val="both"/>
      </w:pPr>
      <w:r>
        <w:rPr/>
        <w:t>При сопоставлении полученных данных высокий риск малигнизации образований яичников установлен у 151 больной в репродуктивном периоде и у 75 больных в постменопаузе. Забегая вперед, необходимо отметить, что повышение маркера СА-125 и ультразвуковые признаки злокачественности чаще коррелировали с выявлением рака яичников у больных, находившихся в постменопаузе. Однако, это различие оказалось недостоверным.</w:t>
      </w:r>
    </w:p>
    <w:p>
      <w:pPr>
        <w:pStyle w:val="BodyText"/>
        <w:rPr>
          <w:sz w:val="30"/>
        </w:rPr>
      </w:pPr>
    </w:p>
    <w:p>
      <w:pPr>
        <w:pStyle w:val="BodyText"/>
        <w:rPr>
          <w:sz w:val="30"/>
        </w:rPr>
      </w:pPr>
    </w:p>
    <w:p>
      <w:pPr>
        <w:pStyle w:val="BodyText"/>
        <w:rPr>
          <w:sz w:val="30"/>
        </w:rPr>
      </w:pPr>
    </w:p>
    <w:p>
      <w:pPr>
        <w:pStyle w:val="BodyText"/>
        <w:rPr>
          <w:sz w:val="30"/>
        </w:rPr>
      </w:pPr>
    </w:p>
    <w:p>
      <w:pPr>
        <w:pStyle w:val="Heading1"/>
        <w:numPr>
          <w:ilvl w:val="2"/>
          <w:numId w:val="29"/>
        </w:numPr>
        <w:tabs>
          <w:tab w:pos="1525" w:val="left" w:leader="none"/>
        </w:tabs>
        <w:spacing w:line="511" w:lineRule="auto" w:before="194" w:after="0"/>
        <w:ind w:left="2723" w:right="831" w:hanging="1899"/>
        <w:jc w:val="left"/>
      </w:pPr>
      <w:r>
        <w:rPr/>
        <w:t>Результаты лапароскопических операций у больных</w:t>
      </w:r>
      <w:r>
        <w:rPr>
          <w:spacing w:val="-19"/>
        </w:rPr>
        <w:t> </w:t>
      </w:r>
      <w:r>
        <w:rPr/>
        <w:t>с подозрением на </w:t>
      </w:r>
      <w:r>
        <w:rPr>
          <w:spacing w:val="-2"/>
        </w:rPr>
        <w:t>рак</w:t>
      </w:r>
      <w:r>
        <w:rPr>
          <w:spacing w:val="-3"/>
        </w:rPr>
        <w:t> </w:t>
      </w:r>
      <w:r>
        <w:rPr/>
        <w:t>яичников</w:t>
      </w:r>
    </w:p>
    <w:p>
      <w:pPr>
        <w:pStyle w:val="BodyText"/>
        <w:rPr>
          <w:b/>
          <w:sz w:val="30"/>
        </w:rPr>
      </w:pPr>
    </w:p>
    <w:p>
      <w:pPr>
        <w:pStyle w:val="BodyText"/>
        <w:spacing w:before="9"/>
        <w:rPr>
          <w:b/>
          <w:sz w:val="29"/>
        </w:rPr>
      </w:pPr>
    </w:p>
    <w:p>
      <w:pPr>
        <w:pStyle w:val="BodyText"/>
        <w:spacing w:line="360" w:lineRule="auto"/>
        <w:ind w:left="102" w:right="100" w:firstLine="278"/>
        <w:jc w:val="both"/>
      </w:pPr>
      <w:r>
        <w:rPr/>
        <w:t>После проведенного обследования все больные по поводу выявленных новообразований яичников были подвергнуты хирургическому лечению.</w:t>
      </w:r>
    </w:p>
    <w:p>
      <w:pPr>
        <w:pStyle w:val="BodyText"/>
        <w:spacing w:line="360" w:lineRule="auto" w:before="206"/>
        <w:ind w:left="102" w:right="104" w:firstLine="278"/>
        <w:jc w:val="both"/>
      </w:pPr>
      <w:r>
        <w:rPr/>
        <w:t>Чаще всего выполнялась лапароскопическая аднексэктомия. После получения результатов срочного гистологического исследования решался вопрос о показаниях к расширению объема операции (Табл.5.4).</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before="224"/>
        <w:ind w:right="122"/>
        <w:jc w:val="right"/>
      </w:pPr>
      <w:r>
        <w:rPr/>
        <w:t>Таблица 5.4</w:t>
      </w:r>
    </w:p>
    <w:p>
      <w:pPr>
        <w:pStyle w:val="BodyText"/>
        <w:spacing w:before="6"/>
        <w:rPr>
          <w:sz w:val="23"/>
        </w:rPr>
      </w:pPr>
    </w:p>
    <w:p>
      <w:pPr>
        <w:pStyle w:val="BodyText"/>
        <w:spacing w:before="89"/>
        <w:ind w:left="2640"/>
      </w:pPr>
      <w:r>
        <w:rPr/>
        <w:t>Виды оперативных вмешательств</w:t>
      </w:r>
    </w:p>
    <w:p>
      <w:pPr>
        <w:pStyle w:val="BodyText"/>
        <w:rPr>
          <w:sz w:val="20"/>
        </w:rPr>
      </w:pPr>
    </w:p>
    <w:p>
      <w:pPr>
        <w:pStyle w:val="BodyText"/>
        <w:spacing w:after="1"/>
        <w:rPr>
          <w:sz w:val="1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20"/>
        <w:gridCol w:w="1985"/>
        <w:gridCol w:w="2269"/>
      </w:tblGrid>
      <w:tr>
        <w:trPr>
          <w:trHeight w:val="1176" w:hRule="exact"/>
        </w:trPr>
        <w:tc>
          <w:tcPr>
            <w:tcW w:w="4820" w:type="dxa"/>
          </w:tcPr>
          <w:p>
            <w:pPr>
              <w:pStyle w:val="TableParagraph"/>
              <w:spacing w:before="235"/>
              <w:ind w:left="1800" w:right="1800"/>
              <w:jc w:val="center"/>
              <w:rPr>
                <w:sz w:val="28"/>
              </w:rPr>
            </w:pPr>
            <w:r>
              <w:rPr>
                <w:sz w:val="28"/>
              </w:rPr>
              <w:t>Операция</w:t>
            </w:r>
          </w:p>
        </w:tc>
        <w:tc>
          <w:tcPr>
            <w:tcW w:w="1985" w:type="dxa"/>
          </w:tcPr>
          <w:p>
            <w:pPr>
              <w:pStyle w:val="TableParagraph"/>
              <w:spacing w:line="360" w:lineRule="auto"/>
              <w:ind w:left="472" w:right="455" w:firstLine="144"/>
              <w:rPr>
                <w:sz w:val="28"/>
              </w:rPr>
            </w:pPr>
            <w:r>
              <w:rPr>
                <w:sz w:val="28"/>
              </w:rPr>
              <w:t>Число больных</w:t>
            </w:r>
          </w:p>
        </w:tc>
        <w:tc>
          <w:tcPr>
            <w:tcW w:w="2269" w:type="dxa"/>
          </w:tcPr>
          <w:p>
            <w:pPr>
              <w:pStyle w:val="TableParagraph"/>
              <w:spacing w:before="235"/>
              <w:ind w:left="1"/>
              <w:jc w:val="center"/>
              <w:rPr>
                <w:sz w:val="28"/>
              </w:rPr>
            </w:pPr>
            <w:r>
              <w:rPr>
                <w:w w:val="100"/>
                <w:sz w:val="28"/>
              </w:rPr>
              <w:t>%</w:t>
            </w:r>
          </w:p>
        </w:tc>
      </w:tr>
      <w:tr>
        <w:trPr>
          <w:trHeight w:val="694" w:hRule="exact"/>
        </w:trPr>
        <w:tc>
          <w:tcPr>
            <w:tcW w:w="4820" w:type="dxa"/>
          </w:tcPr>
          <w:p>
            <w:pPr>
              <w:pStyle w:val="TableParagraph"/>
              <w:spacing w:line="315" w:lineRule="exact"/>
              <w:ind w:left="103"/>
              <w:rPr>
                <w:sz w:val="28"/>
              </w:rPr>
            </w:pPr>
            <w:r>
              <w:rPr>
                <w:sz w:val="28"/>
              </w:rPr>
              <w:t>Резекция яичника</w:t>
            </w:r>
          </w:p>
        </w:tc>
        <w:tc>
          <w:tcPr>
            <w:tcW w:w="1985" w:type="dxa"/>
          </w:tcPr>
          <w:p>
            <w:pPr>
              <w:pStyle w:val="TableParagraph"/>
              <w:spacing w:line="315" w:lineRule="exact"/>
              <w:ind w:left="757" w:right="755"/>
              <w:jc w:val="center"/>
              <w:rPr>
                <w:sz w:val="28"/>
              </w:rPr>
            </w:pPr>
            <w:r>
              <w:rPr>
                <w:sz w:val="28"/>
              </w:rPr>
              <w:t>14</w:t>
            </w:r>
          </w:p>
        </w:tc>
        <w:tc>
          <w:tcPr>
            <w:tcW w:w="2269" w:type="dxa"/>
          </w:tcPr>
          <w:p>
            <w:pPr>
              <w:pStyle w:val="TableParagraph"/>
              <w:spacing w:line="315" w:lineRule="exact"/>
              <w:ind w:right="951"/>
              <w:jc w:val="right"/>
              <w:rPr>
                <w:sz w:val="28"/>
              </w:rPr>
            </w:pPr>
            <w:r>
              <w:rPr>
                <w:sz w:val="28"/>
              </w:rPr>
              <w:t>4,0</w:t>
            </w:r>
          </w:p>
        </w:tc>
      </w:tr>
      <w:tr>
        <w:trPr>
          <w:trHeight w:val="692" w:hRule="exact"/>
        </w:trPr>
        <w:tc>
          <w:tcPr>
            <w:tcW w:w="4820" w:type="dxa"/>
          </w:tcPr>
          <w:p>
            <w:pPr>
              <w:pStyle w:val="TableParagraph"/>
              <w:spacing w:line="316" w:lineRule="exact"/>
              <w:ind w:left="103"/>
              <w:rPr>
                <w:sz w:val="28"/>
              </w:rPr>
            </w:pPr>
            <w:r>
              <w:rPr>
                <w:sz w:val="28"/>
              </w:rPr>
              <w:t>Аднексэктомия одно/двухсторонняя</w:t>
            </w:r>
          </w:p>
        </w:tc>
        <w:tc>
          <w:tcPr>
            <w:tcW w:w="1985" w:type="dxa"/>
          </w:tcPr>
          <w:p>
            <w:pPr>
              <w:pStyle w:val="TableParagraph"/>
              <w:spacing w:line="316" w:lineRule="exact"/>
              <w:ind w:left="757" w:right="757"/>
              <w:jc w:val="center"/>
              <w:rPr>
                <w:sz w:val="28"/>
              </w:rPr>
            </w:pPr>
            <w:r>
              <w:rPr>
                <w:sz w:val="28"/>
              </w:rPr>
              <w:t>211</w:t>
            </w:r>
          </w:p>
        </w:tc>
        <w:tc>
          <w:tcPr>
            <w:tcW w:w="2269" w:type="dxa"/>
          </w:tcPr>
          <w:p>
            <w:pPr>
              <w:pStyle w:val="TableParagraph"/>
              <w:spacing w:line="316" w:lineRule="exact"/>
              <w:ind w:right="883"/>
              <w:jc w:val="right"/>
              <w:rPr>
                <w:sz w:val="28"/>
              </w:rPr>
            </w:pPr>
            <w:r>
              <w:rPr>
                <w:sz w:val="28"/>
              </w:rPr>
              <w:t>60,5</w:t>
            </w:r>
          </w:p>
        </w:tc>
      </w:tr>
      <w:tr>
        <w:trPr>
          <w:trHeight w:val="694" w:hRule="exact"/>
        </w:trPr>
        <w:tc>
          <w:tcPr>
            <w:tcW w:w="4820" w:type="dxa"/>
          </w:tcPr>
          <w:p>
            <w:pPr>
              <w:pStyle w:val="TableParagraph"/>
              <w:spacing w:line="315" w:lineRule="exact"/>
              <w:ind w:left="103"/>
              <w:rPr>
                <w:sz w:val="28"/>
              </w:rPr>
            </w:pPr>
            <w:r>
              <w:rPr>
                <w:sz w:val="28"/>
              </w:rPr>
              <w:t>Органосохраняющая операция</w:t>
            </w:r>
          </w:p>
        </w:tc>
        <w:tc>
          <w:tcPr>
            <w:tcW w:w="1985" w:type="dxa"/>
          </w:tcPr>
          <w:p>
            <w:pPr>
              <w:pStyle w:val="TableParagraph"/>
              <w:spacing w:line="315" w:lineRule="exact"/>
              <w:ind w:right="1"/>
              <w:jc w:val="center"/>
              <w:rPr>
                <w:sz w:val="28"/>
              </w:rPr>
            </w:pPr>
            <w:r>
              <w:rPr>
                <w:w w:val="100"/>
                <w:sz w:val="28"/>
              </w:rPr>
              <w:t>3</w:t>
            </w:r>
          </w:p>
        </w:tc>
        <w:tc>
          <w:tcPr>
            <w:tcW w:w="2269" w:type="dxa"/>
          </w:tcPr>
          <w:p>
            <w:pPr>
              <w:pStyle w:val="TableParagraph"/>
              <w:spacing w:line="315" w:lineRule="exact"/>
              <w:ind w:right="951"/>
              <w:jc w:val="right"/>
              <w:rPr>
                <w:sz w:val="28"/>
              </w:rPr>
            </w:pPr>
            <w:r>
              <w:rPr>
                <w:sz w:val="28"/>
              </w:rPr>
              <w:t>0,9</w:t>
            </w:r>
          </w:p>
        </w:tc>
      </w:tr>
      <w:tr>
        <w:trPr>
          <w:trHeight w:val="694" w:hRule="exact"/>
        </w:trPr>
        <w:tc>
          <w:tcPr>
            <w:tcW w:w="4820" w:type="dxa"/>
          </w:tcPr>
          <w:p>
            <w:pPr>
              <w:pStyle w:val="TableParagraph"/>
              <w:spacing w:line="315" w:lineRule="exact"/>
              <w:ind w:left="103"/>
              <w:rPr>
                <w:sz w:val="28"/>
              </w:rPr>
            </w:pPr>
            <w:r>
              <w:rPr>
                <w:sz w:val="28"/>
              </w:rPr>
              <w:t>Пангистерэктомия</w:t>
            </w:r>
          </w:p>
        </w:tc>
        <w:tc>
          <w:tcPr>
            <w:tcW w:w="1985" w:type="dxa"/>
          </w:tcPr>
          <w:p>
            <w:pPr>
              <w:pStyle w:val="TableParagraph"/>
              <w:spacing w:line="315" w:lineRule="exact"/>
              <w:ind w:left="757" w:right="755"/>
              <w:jc w:val="center"/>
              <w:rPr>
                <w:sz w:val="28"/>
              </w:rPr>
            </w:pPr>
            <w:r>
              <w:rPr>
                <w:sz w:val="28"/>
              </w:rPr>
              <w:t>65</w:t>
            </w:r>
          </w:p>
        </w:tc>
        <w:tc>
          <w:tcPr>
            <w:tcW w:w="2269" w:type="dxa"/>
          </w:tcPr>
          <w:p>
            <w:pPr>
              <w:pStyle w:val="TableParagraph"/>
              <w:spacing w:line="315" w:lineRule="exact"/>
              <w:ind w:right="883"/>
              <w:jc w:val="right"/>
              <w:rPr>
                <w:sz w:val="28"/>
              </w:rPr>
            </w:pPr>
            <w:r>
              <w:rPr>
                <w:sz w:val="28"/>
              </w:rPr>
              <w:t>18,6</w:t>
            </w:r>
          </w:p>
        </w:tc>
      </w:tr>
      <w:tr>
        <w:trPr>
          <w:trHeight w:val="691" w:hRule="exact"/>
        </w:trPr>
        <w:tc>
          <w:tcPr>
            <w:tcW w:w="4820" w:type="dxa"/>
          </w:tcPr>
          <w:p>
            <w:pPr>
              <w:pStyle w:val="TableParagraph"/>
              <w:spacing w:line="315" w:lineRule="exact"/>
              <w:ind w:left="103"/>
              <w:rPr>
                <w:sz w:val="28"/>
              </w:rPr>
            </w:pPr>
            <w:r>
              <w:rPr>
                <w:sz w:val="28"/>
              </w:rPr>
              <w:t>Пангистерэктомия + оментэктомия</w:t>
            </w:r>
          </w:p>
        </w:tc>
        <w:tc>
          <w:tcPr>
            <w:tcW w:w="1985" w:type="dxa"/>
          </w:tcPr>
          <w:p>
            <w:pPr>
              <w:pStyle w:val="TableParagraph"/>
              <w:spacing w:line="315" w:lineRule="exact"/>
              <w:ind w:right="1"/>
              <w:jc w:val="center"/>
              <w:rPr>
                <w:sz w:val="28"/>
              </w:rPr>
            </w:pPr>
            <w:r>
              <w:rPr>
                <w:w w:val="100"/>
                <w:sz w:val="28"/>
              </w:rPr>
              <w:t>1</w:t>
            </w:r>
          </w:p>
        </w:tc>
        <w:tc>
          <w:tcPr>
            <w:tcW w:w="2269" w:type="dxa"/>
          </w:tcPr>
          <w:p>
            <w:pPr>
              <w:pStyle w:val="TableParagraph"/>
              <w:spacing w:line="315" w:lineRule="exact"/>
              <w:ind w:right="951"/>
              <w:jc w:val="right"/>
              <w:rPr>
                <w:sz w:val="28"/>
              </w:rPr>
            </w:pPr>
            <w:r>
              <w:rPr>
                <w:sz w:val="28"/>
              </w:rPr>
              <w:t>0,3</w:t>
            </w:r>
          </w:p>
        </w:tc>
      </w:tr>
      <w:tr>
        <w:trPr>
          <w:trHeight w:val="694" w:hRule="exact"/>
        </w:trPr>
        <w:tc>
          <w:tcPr>
            <w:tcW w:w="4820" w:type="dxa"/>
          </w:tcPr>
          <w:p>
            <w:pPr>
              <w:pStyle w:val="TableParagraph"/>
              <w:spacing w:line="317" w:lineRule="exact"/>
              <w:ind w:left="103"/>
              <w:rPr>
                <w:sz w:val="28"/>
              </w:rPr>
            </w:pPr>
            <w:r>
              <w:rPr>
                <w:sz w:val="28"/>
              </w:rPr>
              <w:t>Диагностическая лапароскопия</w:t>
            </w:r>
          </w:p>
        </w:tc>
        <w:tc>
          <w:tcPr>
            <w:tcW w:w="1985" w:type="dxa"/>
          </w:tcPr>
          <w:p>
            <w:pPr>
              <w:pStyle w:val="TableParagraph"/>
              <w:spacing w:line="317" w:lineRule="exact"/>
              <w:ind w:right="1"/>
              <w:jc w:val="center"/>
              <w:rPr>
                <w:sz w:val="28"/>
              </w:rPr>
            </w:pPr>
            <w:r>
              <w:rPr>
                <w:w w:val="100"/>
                <w:sz w:val="28"/>
              </w:rPr>
              <w:t>2</w:t>
            </w:r>
          </w:p>
        </w:tc>
        <w:tc>
          <w:tcPr>
            <w:tcW w:w="2269" w:type="dxa"/>
          </w:tcPr>
          <w:p>
            <w:pPr>
              <w:pStyle w:val="TableParagraph"/>
              <w:spacing w:line="317" w:lineRule="exact"/>
              <w:ind w:right="951"/>
              <w:jc w:val="right"/>
              <w:rPr>
                <w:sz w:val="28"/>
              </w:rPr>
            </w:pPr>
            <w:r>
              <w:rPr>
                <w:sz w:val="28"/>
              </w:rPr>
              <w:t>0,6</w:t>
            </w:r>
          </w:p>
        </w:tc>
      </w:tr>
      <w:tr>
        <w:trPr>
          <w:trHeight w:val="694" w:hRule="exact"/>
        </w:trPr>
        <w:tc>
          <w:tcPr>
            <w:tcW w:w="4820" w:type="dxa"/>
          </w:tcPr>
          <w:p>
            <w:pPr>
              <w:pStyle w:val="TableParagraph"/>
              <w:spacing w:line="315" w:lineRule="exact"/>
              <w:ind w:left="103"/>
              <w:rPr>
                <w:sz w:val="28"/>
              </w:rPr>
            </w:pPr>
            <w:r>
              <w:rPr>
                <w:sz w:val="28"/>
              </w:rPr>
              <w:t>Конверсионная лапаротомия</w:t>
            </w:r>
          </w:p>
        </w:tc>
        <w:tc>
          <w:tcPr>
            <w:tcW w:w="1985" w:type="dxa"/>
          </w:tcPr>
          <w:p>
            <w:pPr>
              <w:pStyle w:val="TableParagraph"/>
              <w:spacing w:line="315" w:lineRule="exact"/>
              <w:ind w:left="757" w:right="755"/>
              <w:jc w:val="center"/>
              <w:rPr>
                <w:sz w:val="28"/>
              </w:rPr>
            </w:pPr>
            <w:r>
              <w:rPr>
                <w:sz w:val="28"/>
              </w:rPr>
              <w:t>53</w:t>
            </w:r>
          </w:p>
        </w:tc>
        <w:tc>
          <w:tcPr>
            <w:tcW w:w="2269" w:type="dxa"/>
          </w:tcPr>
          <w:p>
            <w:pPr>
              <w:pStyle w:val="TableParagraph"/>
              <w:spacing w:line="315" w:lineRule="exact"/>
              <w:ind w:right="883"/>
              <w:jc w:val="right"/>
              <w:rPr>
                <w:sz w:val="28"/>
              </w:rPr>
            </w:pPr>
            <w:r>
              <w:rPr>
                <w:sz w:val="28"/>
              </w:rPr>
              <w:t>15,1</w:t>
            </w:r>
          </w:p>
        </w:tc>
      </w:tr>
      <w:tr>
        <w:trPr>
          <w:trHeight w:val="694" w:hRule="exact"/>
        </w:trPr>
        <w:tc>
          <w:tcPr>
            <w:tcW w:w="4820" w:type="dxa"/>
          </w:tcPr>
          <w:p>
            <w:pPr>
              <w:pStyle w:val="TableParagraph"/>
              <w:spacing w:line="315" w:lineRule="exact"/>
              <w:ind w:left="103"/>
              <w:rPr>
                <w:sz w:val="28"/>
              </w:rPr>
            </w:pPr>
            <w:r>
              <w:rPr>
                <w:sz w:val="28"/>
              </w:rPr>
              <w:t>Всего</w:t>
            </w:r>
          </w:p>
        </w:tc>
        <w:tc>
          <w:tcPr>
            <w:tcW w:w="1985" w:type="dxa"/>
          </w:tcPr>
          <w:p>
            <w:pPr>
              <w:pStyle w:val="TableParagraph"/>
              <w:spacing w:line="315" w:lineRule="exact"/>
              <w:ind w:left="757" w:right="757"/>
              <w:jc w:val="center"/>
              <w:rPr>
                <w:sz w:val="28"/>
              </w:rPr>
            </w:pPr>
            <w:r>
              <w:rPr>
                <w:sz w:val="28"/>
              </w:rPr>
              <w:t>349</w:t>
            </w:r>
          </w:p>
        </w:tc>
        <w:tc>
          <w:tcPr>
            <w:tcW w:w="2269" w:type="dxa"/>
          </w:tcPr>
          <w:p>
            <w:pPr>
              <w:pStyle w:val="TableParagraph"/>
              <w:spacing w:line="315" w:lineRule="exact"/>
              <w:ind w:right="916"/>
              <w:jc w:val="right"/>
              <w:rPr>
                <w:sz w:val="28"/>
              </w:rPr>
            </w:pPr>
            <w:r>
              <w:rPr>
                <w:sz w:val="28"/>
              </w:rPr>
              <w:t>100</w:t>
            </w:r>
          </w:p>
        </w:tc>
      </w:tr>
    </w:tbl>
    <w:p>
      <w:pPr>
        <w:pStyle w:val="BodyText"/>
        <w:rPr>
          <w:sz w:val="30"/>
        </w:rPr>
      </w:pPr>
    </w:p>
    <w:p>
      <w:pPr>
        <w:pStyle w:val="BodyText"/>
        <w:spacing w:before="7"/>
      </w:pPr>
    </w:p>
    <w:p>
      <w:pPr>
        <w:pStyle w:val="BodyText"/>
        <w:spacing w:line="360" w:lineRule="auto"/>
        <w:ind w:left="122" w:right="120" w:firstLine="278"/>
        <w:jc w:val="both"/>
      </w:pPr>
      <w:r>
        <w:rPr/>
        <w:t>Выполненные лапароскопические операции характеризовались небольшой продолжительностью, минимальной  кровопотерей, отсутствием послеоперационных осложнений, короткими сроками реабилитации больных.</w:t>
      </w:r>
    </w:p>
    <w:p>
      <w:pPr>
        <w:pStyle w:val="BodyText"/>
        <w:spacing w:line="360" w:lineRule="auto" w:before="206"/>
        <w:ind w:left="122" w:right="119" w:firstLine="208"/>
        <w:jc w:val="both"/>
      </w:pPr>
      <w:r>
        <w:rPr/>
        <w:t>Диагноз злокачественного новообразования яичников при гистологическом исследовании удаленного препарата был установлен в 63 случаях, что составило 18,1%. У 25 больных установлен пограничный характер опухоли, у 31 диагностирована I стадия заболевания, III стадия - всего у одной больной. В 6 наблюдениях опухоли яичников оказались метастазами рака молочной железы. Неэпителиальные опухоли</w:t>
      </w:r>
    </w:p>
    <w:p>
      <w:pPr>
        <w:spacing w:after="0" w:line="360" w:lineRule="auto"/>
        <w:jc w:val="both"/>
        <w:sectPr>
          <w:pgSz w:w="11900" w:h="16850"/>
          <w:pgMar w:header="712" w:footer="0" w:top="1020" w:bottom="280" w:left="1580" w:right="1000"/>
        </w:sectPr>
      </w:pPr>
    </w:p>
    <w:p>
      <w:pPr>
        <w:pStyle w:val="BodyText"/>
        <w:rPr>
          <w:sz w:val="20"/>
        </w:rPr>
      </w:pPr>
    </w:p>
    <w:p>
      <w:pPr>
        <w:pStyle w:val="BodyText"/>
        <w:rPr>
          <w:sz w:val="20"/>
        </w:rPr>
      </w:pPr>
    </w:p>
    <w:p>
      <w:pPr>
        <w:pStyle w:val="BodyText"/>
        <w:spacing w:line="360" w:lineRule="auto" w:before="224"/>
        <w:ind w:left="102" w:right="103"/>
        <w:jc w:val="both"/>
      </w:pPr>
      <w:r>
        <w:rPr/>
        <w:t>обнаружены не были. В подобном исследовании А.А.Ципурдеевой, выполненном 15 лет назад, частота выявления злокачественных опухолей яичников оказалась втрое ниже (5,8%). Полученные нами результаты  могут свидетельствовать о достоверном улучшении качества диагностики злокачественных новообразований яичников, произошедшим за последние годы, хотя, нельзя забывать и о различной специализации стационаров, в которых выполнялись эти исследования. У больных, вошедших в исследование в онкологическом центре достоверно чаще отмечено повышение маркера СА-125 (42,4% против 14%), ультразвуковые признаки злокачественности встречались примерно с одинаковой</w:t>
      </w:r>
      <w:r>
        <w:rPr>
          <w:spacing w:val="-17"/>
        </w:rPr>
        <w:t> </w:t>
      </w:r>
      <w:r>
        <w:rPr/>
        <w:t>частотой.</w:t>
      </w:r>
    </w:p>
    <w:p>
      <w:pPr>
        <w:pStyle w:val="BodyText"/>
        <w:tabs>
          <w:tab w:pos="3025" w:val="left" w:leader="none"/>
        </w:tabs>
        <w:spacing w:line="360" w:lineRule="auto" w:before="204"/>
        <w:ind w:left="102" w:right="107" w:firstLine="278"/>
        <w:jc w:val="both"/>
      </w:pPr>
      <w:r>
        <w:rPr/>
        <w:t>Несомненный</w:t>
        <w:tab/>
        <w:t>интерес       представляет     </w:t>
      </w:r>
      <w:r>
        <w:rPr>
          <w:spacing w:val="50"/>
        </w:rPr>
        <w:t> </w:t>
      </w:r>
      <w:r>
        <w:rPr/>
        <w:t>анализ     </w:t>
      </w:r>
      <w:r>
        <w:rPr>
          <w:spacing w:val="57"/>
        </w:rPr>
        <w:t> </w:t>
      </w:r>
      <w:r>
        <w:rPr/>
        <w:t>совпадений</w:t>
      </w:r>
      <w:r>
        <w:rPr>
          <w:w w:val="100"/>
        </w:rPr>
        <w:t> </w:t>
      </w:r>
      <w:r>
        <w:rPr/>
        <w:t>предоперационного диагноза, сформулированного на основании данных ультразвукового исследования и анализа уровня опухолевых маркеров с диагнозом, установленным на основании лапароскопической ревизии и морфологического исследования удаленного препарата (Табл.</w:t>
      </w:r>
      <w:r>
        <w:rPr>
          <w:spacing w:val="-20"/>
        </w:rPr>
        <w:t> </w:t>
      </w:r>
      <w:r>
        <w:rPr/>
        <w:t>5.5).</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before="224"/>
        <w:ind w:right="102"/>
        <w:jc w:val="right"/>
      </w:pPr>
      <w:r>
        <w:rPr/>
        <w:t>Таблица 5.5</w:t>
      </w:r>
    </w:p>
    <w:p>
      <w:pPr>
        <w:pStyle w:val="BodyText"/>
        <w:spacing w:before="6"/>
        <w:rPr>
          <w:sz w:val="23"/>
        </w:rPr>
      </w:pPr>
    </w:p>
    <w:p>
      <w:pPr>
        <w:pStyle w:val="BodyText"/>
        <w:spacing w:before="89"/>
        <w:ind w:left="1673"/>
      </w:pPr>
      <w:r>
        <w:rPr/>
        <w:t>Сопоставление до- и послеперационного диагнозов</w:t>
      </w:r>
    </w:p>
    <w:p>
      <w:pPr>
        <w:pStyle w:val="BodyText"/>
        <w:rPr>
          <w:sz w:val="20"/>
        </w:rPr>
      </w:pPr>
    </w:p>
    <w:p>
      <w:pPr>
        <w:pStyle w:val="BodyText"/>
        <w:spacing w:after="1"/>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65"/>
        <w:gridCol w:w="1961"/>
        <w:gridCol w:w="2372"/>
        <w:gridCol w:w="1942"/>
      </w:tblGrid>
      <w:tr>
        <w:trPr>
          <w:trHeight w:val="1565" w:hRule="exact"/>
        </w:trPr>
        <w:tc>
          <w:tcPr>
            <w:tcW w:w="2765" w:type="dxa"/>
          </w:tcPr>
          <w:p>
            <w:pPr>
              <w:pStyle w:val="TableParagraph"/>
              <w:spacing w:before="3"/>
              <w:rPr>
                <w:sz w:val="44"/>
              </w:rPr>
            </w:pPr>
          </w:p>
          <w:p>
            <w:pPr>
              <w:pStyle w:val="TableParagraph"/>
              <w:ind w:left="207" w:right="208"/>
              <w:jc w:val="center"/>
              <w:rPr>
                <w:sz w:val="28"/>
              </w:rPr>
            </w:pPr>
            <w:r>
              <w:rPr>
                <w:sz w:val="28"/>
              </w:rPr>
              <w:t>Диагноз</w:t>
            </w:r>
          </w:p>
        </w:tc>
        <w:tc>
          <w:tcPr>
            <w:tcW w:w="1961" w:type="dxa"/>
          </w:tcPr>
          <w:p>
            <w:pPr>
              <w:pStyle w:val="TableParagraph"/>
              <w:spacing w:line="242" w:lineRule="auto" w:before="86"/>
              <w:ind w:left="153" w:right="155" w:hanging="1"/>
              <w:jc w:val="center"/>
              <w:rPr>
                <w:sz w:val="28"/>
              </w:rPr>
            </w:pPr>
            <w:r>
              <w:rPr>
                <w:sz w:val="28"/>
              </w:rPr>
              <w:t>После обследования</w:t>
            </w:r>
          </w:p>
          <w:p>
            <w:pPr>
              <w:pStyle w:val="TableParagraph"/>
              <w:spacing w:before="195"/>
              <w:ind w:left="370" w:right="373"/>
              <w:jc w:val="center"/>
              <w:rPr>
                <w:sz w:val="28"/>
              </w:rPr>
            </w:pPr>
            <w:r>
              <w:rPr>
                <w:sz w:val="28"/>
              </w:rPr>
              <w:t>n (%)</w:t>
            </w:r>
          </w:p>
        </w:tc>
        <w:tc>
          <w:tcPr>
            <w:tcW w:w="2372" w:type="dxa"/>
          </w:tcPr>
          <w:p>
            <w:pPr>
              <w:pStyle w:val="TableParagraph"/>
              <w:spacing w:line="388" w:lineRule="auto" w:before="247"/>
              <w:ind w:left="1111" w:right="141" w:hanging="953"/>
              <w:rPr>
                <w:sz w:val="28"/>
              </w:rPr>
            </w:pPr>
            <w:r>
              <w:rPr>
                <w:sz w:val="28"/>
              </w:rPr>
              <w:t>Заключительный n</w:t>
            </w:r>
          </w:p>
        </w:tc>
        <w:tc>
          <w:tcPr>
            <w:tcW w:w="1942" w:type="dxa"/>
          </w:tcPr>
          <w:p>
            <w:pPr>
              <w:pStyle w:val="TableParagraph"/>
              <w:spacing w:before="3"/>
              <w:rPr>
                <w:sz w:val="44"/>
              </w:rPr>
            </w:pPr>
          </w:p>
          <w:p>
            <w:pPr>
              <w:pStyle w:val="TableParagraph"/>
              <w:jc w:val="center"/>
              <w:rPr>
                <w:sz w:val="28"/>
              </w:rPr>
            </w:pPr>
            <w:r>
              <w:rPr>
                <w:w w:val="100"/>
                <w:sz w:val="28"/>
              </w:rPr>
              <w:t>р</w:t>
            </w:r>
          </w:p>
        </w:tc>
      </w:tr>
      <w:tr>
        <w:trPr>
          <w:trHeight w:val="2741" w:hRule="exact"/>
        </w:trPr>
        <w:tc>
          <w:tcPr>
            <w:tcW w:w="2765" w:type="dxa"/>
          </w:tcPr>
          <w:p>
            <w:pPr>
              <w:pStyle w:val="TableParagraph"/>
              <w:rPr>
                <w:sz w:val="30"/>
              </w:rPr>
            </w:pPr>
          </w:p>
          <w:p>
            <w:pPr>
              <w:pStyle w:val="TableParagraph"/>
              <w:spacing w:before="10"/>
              <w:rPr>
                <w:sz w:val="28"/>
              </w:rPr>
            </w:pPr>
          </w:p>
          <w:p>
            <w:pPr>
              <w:pStyle w:val="TableParagraph"/>
              <w:ind w:left="208" w:right="208"/>
              <w:jc w:val="center"/>
              <w:rPr>
                <w:sz w:val="28"/>
              </w:rPr>
            </w:pPr>
            <w:r>
              <w:rPr>
                <w:sz w:val="28"/>
              </w:rPr>
              <w:t>Доброкачественная опухоль</w:t>
            </w:r>
          </w:p>
          <w:p>
            <w:pPr>
              <w:pStyle w:val="TableParagraph"/>
              <w:spacing w:before="198"/>
              <w:ind w:left="208" w:right="206"/>
              <w:jc w:val="center"/>
              <w:rPr>
                <w:sz w:val="28"/>
              </w:rPr>
            </w:pPr>
            <w:r>
              <w:rPr>
                <w:sz w:val="28"/>
              </w:rPr>
              <w:t>(ЭГ(-) СА-125 (-))</w:t>
            </w:r>
          </w:p>
        </w:tc>
        <w:tc>
          <w:tcPr>
            <w:tcW w:w="1961" w:type="dxa"/>
          </w:tcPr>
          <w:p>
            <w:pPr>
              <w:pStyle w:val="TableParagraph"/>
              <w:rPr>
                <w:sz w:val="30"/>
              </w:rPr>
            </w:pPr>
          </w:p>
          <w:p>
            <w:pPr>
              <w:pStyle w:val="TableParagraph"/>
              <w:rPr>
                <w:sz w:val="30"/>
              </w:rPr>
            </w:pPr>
          </w:p>
          <w:p>
            <w:pPr>
              <w:pStyle w:val="TableParagraph"/>
              <w:rPr>
                <w:sz w:val="30"/>
              </w:rPr>
            </w:pPr>
          </w:p>
          <w:p>
            <w:pPr>
              <w:pStyle w:val="TableParagraph"/>
              <w:spacing w:before="2"/>
              <w:rPr>
                <w:sz w:val="28"/>
              </w:rPr>
            </w:pPr>
          </w:p>
          <w:p>
            <w:pPr>
              <w:pStyle w:val="TableParagraph"/>
              <w:ind w:left="370" w:right="373"/>
              <w:jc w:val="center"/>
              <w:rPr>
                <w:sz w:val="28"/>
              </w:rPr>
            </w:pPr>
            <w:r>
              <w:rPr>
                <w:sz w:val="28"/>
              </w:rPr>
              <w:t>123 (35,2)</w:t>
            </w:r>
          </w:p>
        </w:tc>
        <w:tc>
          <w:tcPr>
            <w:tcW w:w="2372" w:type="dxa"/>
          </w:tcPr>
          <w:p>
            <w:pPr>
              <w:pStyle w:val="TableParagraph"/>
              <w:spacing w:before="10"/>
              <w:rPr>
                <w:sz w:val="44"/>
              </w:rPr>
            </w:pPr>
          </w:p>
          <w:p>
            <w:pPr>
              <w:pStyle w:val="TableParagraph"/>
              <w:spacing w:before="1"/>
              <w:ind w:left="660" w:right="552" w:hanging="89"/>
              <w:rPr>
                <w:sz w:val="28"/>
              </w:rPr>
            </w:pPr>
            <w:r>
              <w:rPr>
                <w:sz w:val="28"/>
              </w:rPr>
              <w:t>115 -добр. опухоли</w:t>
            </w:r>
          </w:p>
          <w:p>
            <w:pPr>
              <w:pStyle w:val="TableParagraph"/>
              <w:rPr>
                <w:sz w:val="30"/>
              </w:rPr>
            </w:pPr>
          </w:p>
          <w:p>
            <w:pPr>
              <w:pStyle w:val="TableParagraph"/>
              <w:spacing w:before="9"/>
              <w:rPr>
                <w:sz w:val="32"/>
              </w:rPr>
            </w:pPr>
          </w:p>
          <w:p>
            <w:pPr>
              <w:pStyle w:val="TableParagraph"/>
              <w:ind w:left="633" w:right="616" w:firstLine="26"/>
              <w:rPr>
                <w:sz w:val="28"/>
              </w:rPr>
            </w:pPr>
            <w:r>
              <w:rPr>
                <w:sz w:val="28"/>
              </w:rPr>
              <w:t>(8– злок. опухоли)</w:t>
            </w:r>
          </w:p>
        </w:tc>
        <w:tc>
          <w:tcPr>
            <w:tcW w:w="1942" w:type="dxa"/>
          </w:tcPr>
          <w:p>
            <w:pPr>
              <w:pStyle w:val="TableParagraph"/>
              <w:rPr>
                <w:sz w:val="30"/>
              </w:rPr>
            </w:pPr>
          </w:p>
          <w:p>
            <w:pPr>
              <w:pStyle w:val="TableParagraph"/>
              <w:rPr>
                <w:sz w:val="30"/>
              </w:rPr>
            </w:pPr>
          </w:p>
          <w:p>
            <w:pPr>
              <w:pStyle w:val="TableParagraph"/>
              <w:rPr>
                <w:sz w:val="30"/>
              </w:rPr>
            </w:pPr>
          </w:p>
          <w:p>
            <w:pPr>
              <w:pStyle w:val="TableParagraph"/>
              <w:spacing w:before="2"/>
              <w:rPr>
                <w:sz w:val="28"/>
              </w:rPr>
            </w:pPr>
          </w:p>
          <w:p>
            <w:pPr>
              <w:pStyle w:val="TableParagraph"/>
              <w:ind w:left="544" w:right="545"/>
              <w:jc w:val="center"/>
              <w:rPr>
                <w:sz w:val="28"/>
              </w:rPr>
            </w:pPr>
            <w:r>
              <w:rPr>
                <w:sz w:val="28"/>
              </w:rPr>
              <w:t>Р&gt;0,05</w:t>
            </w:r>
          </w:p>
        </w:tc>
      </w:tr>
      <w:tr>
        <w:trPr>
          <w:trHeight w:val="2744" w:hRule="exact"/>
        </w:trPr>
        <w:tc>
          <w:tcPr>
            <w:tcW w:w="2765" w:type="dxa"/>
          </w:tcPr>
          <w:p>
            <w:pPr>
              <w:pStyle w:val="TableParagraph"/>
              <w:rPr>
                <w:sz w:val="30"/>
              </w:rPr>
            </w:pPr>
          </w:p>
          <w:p>
            <w:pPr>
              <w:pStyle w:val="TableParagraph"/>
              <w:spacing w:line="391" w:lineRule="auto" w:before="231"/>
              <w:ind w:left="285" w:right="241" w:hanging="29"/>
              <w:rPr>
                <w:sz w:val="28"/>
              </w:rPr>
            </w:pPr>
            <w:r>
              <w:rPr>
                <w:sz w:val="28"/>
              </w:rPr>
              <w:t>Подозрение на рак (ЭГ(+) СА-125 (-);</w:t>
            </w:r>
          </w:p>
          <w:p>
            <w:pPr>
              <w:pStyle w:val="TableParagraph"/>
              <w:spacing w:before="3"/>
              <w:ind w:left="323"/>
              <w:rPr>
                <w:sz w:val="28"/>
              </w:rPr>
            </w:pPr>
            <w:r>
              <w:rPr>
                <w:sz w:val="28"/>
              </w:rPr>
              <w:t>ЭГ(-) СА-125 (+))</w:t>
            </w:r>
          </w:p>
        </w:tc>
        <w:tc>
          <w:tcPr>
            <w:tcW w:w="1961" w:type="dxa"/>
          </w:tcPr>
          <w:p>
            <w:pPr>
              <w:pStyle w:val="TableParagraph"/>
              <w:rPr>
                <w:sz w:val="30"/>
              </w:rPr>
            </w:pPr>
          </w:p>
          <w:p>
            <w:pPr>
              <w:pStyle w:val="TableParagraph"/>
              <w:rPr>
                <w:sz w:val="30"/>
              </w:rPr>
            </w:pPr>
          </w:p>
          <w:p>
            <w:pPr>
              <w:pStyle w:val="TableParagraph"/>
              <w:rPr>
                <w:sz w:val="30"/>
              </w:rPr>
            </w:pPr>
          </w:p>
          <w:p>
            <w:pPr>
              <w:pStyle w:val="TableParagraph"/>
              <w:spacing w:before="4"/>
              <w:rPr>
                <w:sz w:val="28"/>
              </w:rPr>
            </w:pPr>
          </w:p>
          <w:p>
            <w:pPr>
              <w:pStyle w:val="TableParagraph"/>
              <w:ind w:left="369" w:right="373"/>
              <w:jc w:val="center"/>
              <w:rPr>
                <w:sz w:val="28"/>
              </w:rPr>
            </w:pPr>
            <w:r>
              <w:rPr>
                <w:sz w:val="28"/>
              </w:rPr>
              <w:t>130 (37,3)</w:t>
            </w:r>
          </w:p>
        </w:tc>
        <w:tc>
          <w:tcPr>
            <w:tcW w:w="2372" w:type="dxa"/>
          </w:tcPr>
          <w:p>
            <w:pPr>
              <w:pStyle w:val="TableParagraph"/>
              <w:spacing w:before="10"/>
              <w:rPr>
                <w:sz w:val="44"/>
              </w:rPr>
            </w:pPr>
          </w:p>
          <w:p>
            <w:pPr>
              <w:pStyle w:val="TableParagraph"/>
              <w:ind w:left="600" w:right="496" w:hanging="89"/>
              <w:rPr>
                <w:sz w:val="28"/>
              </w:rPr>
            </w:pPr>
            <w:r>
              <w:rPr>
                <w:sz w:val="28"/>
              </w:rPr>
              <w:t>107 – добр. опухоли</w:t>
            </w:r>
          </w:p>
          <w:p>
            <w:pPr>
              <w:pStyle w:val="TableParagraph"/>
              <w:rPr>
                <w:sz w:val="30"/>
              </w:rPr>
            </w:pPr>
          </w:p>
          <w:p>
            <w:pPr>
              <w:pStyle w:val="TableParagraph"/>
              <w:spacing w:before="8"/>
              <w:rPr>
                <w:sz w:val="32"/>
              </w:rPr>
            </w:pPr>
          </w:p>
          <w:p>
            <w:pPr>
              <w:pStyle w:val="TableParagraph"/>
              <w:spacing w:before="1"/>
              <w:ind w:left="681" w:right="586" w:hanging="82"/>
              <w:rPr>
                <w:sz w:val="28"/>
              </w:rPr>
            </w:pPr>
            <w:r>
              <w:rPr>
                <w:sz w:val="28"/>
              </w:rPr>
              <w:t>23 – злок. опухоли</w:t>
            </w:r>
          </w:p>
        </w:tc>
        <w:tc>
          <w:tcPr>
            <w:tcW w:w="1942" w:type="dxa"/>
          </w:tcPr>
          <w:p>
            <w:pPr/>
          </w:p>
        </w:tc>
      </w:tr>
      <w:tr>
        <w:trPr>
          <w:trHeight w:val="2420" w:hRule="exact"/>
        </w:trPr>
        <w:tc>
          <w:tcPr>
            <w:tcW w:w="2765" w:type="dxa"/>
          </w:tcPr>
          <w:p>
            <w:pPr>
              <w:pStyle w:val="TableParagraph"/>
              <w:spacing w:before="7"/>
              <w:rPr>
                <w:sz w:val="44"/>
              </w:rPr>
            </w:pPr>
          </w:p>
          <w:p>
            <w:pPr>
              <w:pStyle w:val="TableParagraph"/>
              <w:spacing w:line="242" w:lineRule="auto" w:before="1"/>
              <w:ind w:left="244" w:right="244" w:hanging="4"/>
              <w:jc w:val="center"/>
              <w:rPr>
                <w:sz w:val="28"/>
              </w:rPr>
            </w:pPr>
            <w:r>
              <w:rPr>
                <w:sz w:val="28"/>
              </w:rPr>
              <w:t>Злокачественная опухоль яичников</w:t>
            </w:r>
          </w:p>
          <w:p>
            <w:pPr>
              <w:pStyle w:val="TableParagraph"/>
              <w:spacing w:before="196"/>
              <w:ind w:left="207" w:right="208"/>
              <w:jc w:val="center"/>
              <w:rPr>
                <w:sz w:val="28"/>
              </w:rPr>
            </w:pPr>
            <w:r>
              <w:rPr>
                <w:sz w:val="28"/>
              </w:rPr>
              <w:t>(ЭГ(+) СА-125 (+))</w:t>
            </w:r>
          </w:p>
        </w:tc>
        <w:tc>
          <w:tcPr>
            <w:tcW w:w="1961" w:type="dxa"/>
          </w:tcPr>
          <w:p>
            <w:pPr>
              <w:pStyle w:val="TableParagraph"/>
              <w:rPr>
                <w:sz w:val="30"/>
              </w:rPr>
            </w:pPr>
          </w:p>
          <w:p>
            <w:pPr>
              <w:pStyle w:val="TableParagraph"/>
              <w:rPr>
                <w:sz w:val="30"/>
              </w:rPr>
            </w:pPr>
          </w:p>
          <w:p>
            <w:pPr>
              <w:pStyle w:val="TableParagraph"/>
              <w:spacing w:before="2"/>
              <w:rPr>
                <w:sz w:val="44"/>
              </w:rPr>
            </w:pPr>
          </w:p>
          <w:p>
            <w:pPr>
              <w:pStyle w:val="TableParagraph"/>
              <w:ind w:left="369" w:right="373"/>
              <w:jc w:val="center"/>
              <w:rPr>
                <w:sz w:val="28"/>
              </w:rPr>
            </w:pPr>
            <w:r>
              <w:rPr>
                <w:sz w:val="28"/>
              </w:rPr>
              <w:t>96 (27,5)</w:t>
            </w:r>
          </w:p>
        </w:tc>
        <w:tc>
          <w:tcPr>
            <w:tcW w:w="2372" w:type="dxa"/>
          </w:tcPr>
          <w:p>
            <w:pPr>
              <w:pStyle w:val="TableParagraph"/>
              <w:spacing w:before="7"/>
              <w:rPr>
                <w:sz w:val="44"/>
              </w:rPr>
            </w:pPr>
          </w:p>
          <w:p>
            <w:pPr>
              <w:pStyle w:val="TableParagraph"/>
              <w:spacing w:before="1"/>
              <w:ind w:left="626" w:right="626"/>
              <w:jc w:val="center"/>
              <w:rPr>
                <w:sz w:val="28"/>
              </w:rPr>
            </w:pPr>
            <w:r>
              <w:rPr>
                <w:sz w:val="28"/>
              </w:rPr>
              <w:t>32</w:t>
            </w:r>
          </w:p>
          <w:p>
            <w:pPr>
              <w:pStyle w:val="TableParagraph"/>
              <w:rPr>
                <w:sz w:val="30"/>
              </w:rPr>
            </w:pPr>
          </w:p>
          <w:p>
            <w:pPr>
              <w:pStyle w:val="TableParagraph"/>
              <w:spacing w:before="9"/>
              <w:rPr>
                <w:sz w:val="32"/>
              </w:rPr>
            </w:pPr>
          </w:p>
          <w:p>
            <w:pPr>
              <w:pStyle w:val="TableParagraph"/>
              <w:spacing w:line="242" w:lineRule="auto" w:before="1"/>
              <w:ind w:left="629" w:right="626"/>
              <w:jc w:val="center"/>
              <w:rPr>
                <w:sz w:val="28"/>
              </w:rPr>
            </w:pPr>
            <w:r>
              <w:rPr>
                <w:sz w:val="28"/>
              </w:rPr>
              <w:t>(64-добр. опухоли)</w:t>
            </w:r>
          </w:p>
        </w:tc>
        <w:tc>
          <w:tcPr>
            <w:tcW w:w="1942" w:type="dxa"/>
          </w:tcPr>
          <w:p>
            <w:pPr>
              <w:pStyle w:val="TableParagraph"/>
              <w:rPr>
                <w:sz w:val="30"/>
              </w:rPr>
            </w:pPr>
          </w:p>
          <w:p>
            <w:pPr>
              <w:pStyle w:val="TableParagraph"/>
              <w:rPr>
                <w:sz w:val="30"/>
              </w:rPr>
            </w:pPr>
          </w:p>
          <w:p>
            <w:pPr>
              <w:pStyle w:val="TableParagraph"/>
              <w:spacing w:before="2"/>
              <w:rPr>
                <w:sz w:val="44"/>
              </w:rPr>
            </w:pPr>
          </w:p>
          <w:p>
            <w:pPr>
              <w:pStyle w:val="TableParagraph"/>
              <w:ind w:left="544" w:right="545"/>
              <w:jc w:val="center"/>
              <w:rPr>
                <w:sz w:val="28"/>
              </w:rPr>
            </w:pPr>
            <w:r>
              <w:rPr>
                <w:sz w:val="28"/>
              </w:rPr>
              <w:t>P&lt;0,05</w:t>
            </w:r>
          </w:p>
        </w:tc>
      </w:tr>
      <w:tr>
        <w:trPr>
          <w:trHeight w:val="1577" w:hRule="exact"/>
        </w:trPr>
        <w:tc>
          <w:tcPr>
            <w:tcW w:w="2765" w:type="dxa"/>
          </w:tcPr>
          <w:p>
            <w:pPr>
              <w:pStyle w:val="TableParagraph"/>
              <w:spacing w:before="254"/>
              <w:ind w:left="208" w:right="208"/>
              <w:jc w:val="center"/>
              <w:rPr>
                <w:sz w:val="28"/>
              </w:rPr>
            </w:pPr>
            <w:r>
              <w:rPr>
                <w:sz w:val="28"/>
              </w:rPr>
              <w:t>Всего</w:t>
            </w:r>
          </w:p>
        </w:tc>
        <w:tc>
          <w:tcPr>
            <w:tcW w:w="1961" w:type="dxa"/>
          </w:tcPr>
          <w:p>
            <w:pPr>
              <w:pStyle w:val="TableParagraph"/>
              <w:spacing w:before="10"/>
              <w:rPr>
                <w:sz w:val="44"/>
              </w:rPr>
            </w:pPr>
          </w:p>
          <w:p>
            <w:pPr>
              <w:pStyle w:val="TableParagraph"/>
              <w:ind w:left="370" w:right="371"/>
              <w:jc w:val="center"/>
              <w:rPr>
                <w:sz w:val="28"/>
              </w:rPr>
            </w:pPr>
            <w:r>
              <w:rPr>
                <w:sz w:val="28"/>
              </w:rPr>
              <w:t>349</w:t>
            </w:r>
          </w:p>
        </w:tc>
        <w:tc>
          <w:tcPr>
            <w:tcW w:w="2372" w:type="dxa"/>
          </w:tcPr>
          <w:p>
            <w:pPr>
              <w:pStyle w:val="TableParagraph"/>
              <w:spacing w:before="10"/>
              <w:rPr>
                <w:sz w:val="44"/>
              </w:rPr>
            </w:pPr>
          </w:p>
          <w:p>
            <w:pPr>
              <w:pStyle w:val="TableParagraph"/>
              <w:ind w:left="629" w:right="406"/>
              <w:jc w:val="center"/>
              <w:rPr>
                <w:sz w:val="28"/>
              </w:rPr>
            </w:pPr>
            <w:r>
              <w:rPr>
                <w:sz w:val="28"/>
              </w:rPr>
              <w:t>349</w:t>
            </w:r>
          </w:p>
        </w:tc>
        <w:tc>
          <w:tcPr>
            <w:tcW w:w="1942" w:type="dxa"/>
          </w:tcPr>
          <w:p>
            <w:pPr/>
          </w:p>
        </w:tc>
      </w:tr>
    </w:tbl>
    <w:p>
      <w:pPr>
        <w:pStyle w:val="BodyText"/>
        <w:rPr>
          <w:sz w:val="30"/>
        </w:rPr>
      </w:pPr>
    </w:p>
    <w:p>
      <w:pPr>
        <w:pStyle w:val="BodyText"/>
        <w:spacing w:before="8"/>
      </w:pPr>
    </w:p>
    <w:p>
      <w:pPr>
        <w:pStyle w:val="BodyText"/>
        <w:spacing w:line="362" w:lineRule="auto"/>
        <w:ind w:left="222" w:firstLine="208"/>
      </w:pPr>
      <w:r>
        <w:rPr/>
        <w:t>Прежде всего, обращают на себя внимание 123 больные, которым на основании проведенного обследования был установлен диагноз</w:t>
      </w:r>
    </w:p>
    <w:p>
      <w:pPr>
        <w:spacing w:after="0" w:line="362" w:lineRule="auto"/>
        <w:sectPr>
          <w:pgSz w:w="11900" w:h="16850"/>
          <w:pgMar w:header="712" w:footer="0" w:top="1020" w:bottom="280" w:left="1480" w:right="1020"/>
        </w:sectPr>
      </w:pPr>
    </w:p>
    <w:p>
      <w:pPr>
        <w:pStyle w:val="BodyText"/>
        <w:rPr>
          <w:sz w:val="20"/>
        </w:rPr>
      </w:pPr>
    </w:p>
    <w:p>
      <w:pPr>
        <w:pStyle w:val="BodyText"/>
        <w:rPr>
          <w:sz w:val="20"/>
        </w:rPr>
      </w:pPr>
    </w:p>
    <w:p>
      <w:pPr>
        <w:pStyle w:val="BodyText"/>
        <w:spacing w:line="360" w:lineRule="auto" w:before="224"/>
        <w:ind w:left="102" w:right="104"/>
        <w:jc w:val="both"/>
      </w:pPr>
      <w:r>
        <w:rPr/>
        <w:t>доброкачественных новообразований яичников. У 8 из них при гистологическом исследовании удаленного препарата был установлен диагноз злокачественной опухоли (6,5%). В одном наблюдении это оказались метастазы рака молочной железы, в 5 – пограничные опухоли и  в 2 – рак яичников Ia стадии. Иными словами, отсутствие при предоперационном обследовании данных за малигнизацию опухоли яичника, далеко не всегда гарантирует отсутствие их при гистологическом исследовании препарата. Этот факт подтверждает необходимость выполнения срочного гистологического исследования при хирургическом лечении кист</w:t>
      </w:r>
      <w:r>
        <w:rPr>
          <w:spacing w:val="-2"/>
        </w:rPr>
        <w:t> </w:t>
      </w:r>
      <w:r>
        <w:rPr/>
        <w:t>яичников.</w:t>
      </w:r>
    </w:p>
    <w:p>
      <w:pPr>
        <w:pStyle w:val="BodyText"/>
        <w:spacing w:line="360" w:lineRule="auto" w:before="204"/>
        <w:ind w:left="102" w:right="108" w:firstLine="208"/>
        <w:jc w:val="both"/>
      </w:pPr>
      <w:r>
        <w:rPr/>
        <w:t>Клинически установленный диагноз рака яичников из 96 больных подтвердился у 32, т.е. в каждом третьем наблюдении. У оставшихся 64 пациенток чаще всего были выявлены эндометриоидные кисты яичников.</w:t>
      </w:r>
    </w:p>
    <w:p>
      <w:pPr>
        <w:pStyle w:val="BodyText"/>
        <w:spacing w:line="360" w:lineRule="auto" w:before="204"/>
        <w:ind w:left="102" w:right="102" w:firstLine="278"/>
        <w:jc w:val="both"/>
      </w:pPr>
      <w:r>
        <w:rPr/>
        <w:t>Отдельно следует рассмотреть наиболее многочисленную группу пациентов, подвергшихся хирургическому вмешательству по поводу кист яичников, подозрительных на малигнизацию. У 52 из них было отмечено двухкратное и более повышение маркера СА-125, а у 78 имелись ультразвуковые признаки злокачественности. Диагноз злокачественной опухоли подтвержден у 23 больных (17,7%).</w:t>
      </w:r>
    </w:p>
    <w:p>
      <w:pPr>
        <w:pStyle w:val="BodyText"/>
        <w:spacing w:line="360" w:lineRule="auto" w:before="205"/>
        <w:ind w:left="102" w:right="107" w:firstLine="278"/>
        <w:jc w:val="both"/>
      </w:pPr>
      <w:r>
        <w:rPr/>
        <w:t>Полученные в настоящем исследовании результаты позволили определить чувствительность и специфичность рекомендуемых для ранней диагностики рака яичников методов исследования: ультразвуковой диагностики,   и определения опухолевого маркера СА-125.</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302" w:right="107" w:firstLine="69"/>
        <w:jc w:val="both"/>
      </w:pPr>
      <w:r>
        <w:rPr/>
        <w:t>Чувствительность и специфичность рассчитывались по стандартным методикам, основанным на анализе частоты ложноположительных и ложноотрицательных результатов.</w:t>
      </w:r>
    </w:p>
    <w:p>
      <w:pPr>
        <w:pStyle w:val="BodyText"/>
        <w:spacing w:line="360" w:lineRule="auto" w:before="207"/>
        <w:ind w:left="302" w:right="99"/>
        <w:jc w:val="both"/>
      </w:pPr>
      <w:r>
        <w:rPr/>
        <w:t>Специфичность (Sp) = количество истинно-отрицательных результатов / (количество истинно- отрицательных результатов + количество ложно- положительных результатов)</w:t>
      </w:r>
    </w:p>
    <w:p>
      <w:pPr>
        <w:pStyle w:val="BodyText"/>
        <w:spacing w:line="360" w:lineRule="auto" w:before="6"/>
        <w:ind w:left="302" w:right="99"/>
        <w:jc w:val="both"/>
      </w:pPr>
      <w:r>
        <w:rPr/>
        <w:t>Чувствительность (Se) = количество истинно-положительных результатов / (количество истинно-положительных результатов + количество ложно- отрицательных результатов).</w:t>
      </w:r>
    </w:p>
    <w:p>
      <w:pPr>
        <w:pStyle w:val="BodyText"/>
        <w:tabs>
          <w:tab w:pos="980" w:val="left" w:leader="none"/>
          <w:tab w:pos="2470" w:val="left" w:leader="none"/>
          <w:tab w:pos="3055" w:val="left" w:leader="none"/>
          <w:tab w:pos="4419" w:val="left" w:leader="none"/>
          <w:tab w:pos="6003" w:val="left" w:leader="none"/>
          <w:tab w:pos="7538" w:val="left" w:leader="none"/>
        </w:tabs>
        <w:spacing w:line="360" w:lineRule="auto" w:before="5"/>
        <w:ind w:left="302" w:right="104" w:firstLine="278"/>
      </w:pPr>
      <w:r>
        <w:rPr/>
        <w:t>В</w:t>
        <w:tab/>
        <w:t>результате</w:t>
        <w:tab/>
        <w:t>мы</w:t>
        <w:tab/>
        <w:t>получили</w:t>
        <w:tab/>
        <w:t>следующие</w:t>
        <w:tab/>
        <w:t>показатели</w:t>
        <w:tab/>
      </w:r>
      <w:r>
        <w:rPr>
          <w:spacing w:val="-1"/>
        </w:rPr>
        <w:t>эффективности </w:t>
      </w:r>
      <w:r>
        <w:rPr/>
        <w:t>используемых методов диагностики начального рака яичников</w:t>
      </w:r>
      <w:r>
        <w:rPr>
          <w:spacing w:val="-21"/>
        </w:rPr>
        <w:t> </w:t>
      </w:r>
      <w:r>
        <w:rPr/>
        <w:t>(Табл.5.6).</w:t>
      </w:r>
    </w:p>
    <w:p>
      <w:pPr>
        <w:pStyle w:val="BodyText"/>
        <w:rPr>
          <w:sz w:val="30"/>
        </w:rPr>
      </w:pPr>
    </w:p>
    <w:p>
      <w:pPr>
        <w:pStyle w:val="BodyText"/>
        <w:spacing w:line="680" w:lineRule="atLeast" w:before="188"/>
        <w:ind w:left="609" w:right="86" w:firstLine="7343"/>
      </w:pPr>
      <w:r>
        <w:rPr/>
        <w:t>Таблица 5.6 Сопоставление данных УЗИ, СА-125 и результатов морфологического</w:t>
      </w:r>
    </w:p>
    <w:p>
      <w:pPr>
        <w:pStyle w:val="BodyText"/>
        <w:tabs>
          <w:tab w:pos="3320" w:val="left" w:leader="none"/>
        </w:tabs>
        <w:spacing w:before="160"/>
        <w:ind w:left="1273"/>
      </w:pPr>
      <w:r>
        <w:rPr/>
        <w:t>исследования</w:t>
      </w:r>
      <w:r>
        <w:rPr>
          <w:spacing w:val="-1"/>
        </w:rPr>
        <w:t> </w:t>
      </w:r>
      <w:r>
        <w:rPr/>
        <w:t>у</w:t>
        <w:tab/>
        <w:t>пациенток с новообразованиями</w:t>
      </w:r>
      <w:r>
        <w:rPr>
          <w:spacing w:val="-17"/>
        </w:rPr>
        <w:t> </w:t>
      </w:r>
      <w:r>
        <w:rPr/>
        <w:t>яичников</w:t>
      </w:r>
    </w:p>
    <w:p>
      <w:pPr>
        <w:pStyle w:val="BodyText"/>
        <w:rPr>
          <w:sz w:val="20"/>
        </w:rPr>
      </w:pPr>
    </w:p>
    <w:p>
      <w:pPr>
        <w:pStyle w:val="BodyText"/>
        <w:rPr>
          <w:sz w:val="2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29"/>
        <w:gridCol w:w="1558"/>
        <w:gridCol w:w="1560"/>
        <w:gridCol w:w="1275"/>
        <w:gridCol w:w="1560"/>
      </w:tblGrid>
      <w:tr>
        <w:trPr>
          <w:trHeight w:val="694" w:hRule="exact"/>
        </w:trPr>
        <w:tc>
          <w:tcPr>
            <w:tcW w:w="3229" w:type="dxa"/>
            <w:vMerge w:val="restart"/>
          </w:tcPr>
          <w:p>
            <w:pPr>
              <w:pStyle w:val="TableParagraph"/>
              <w:rPr>
                <w:sz w:val="30"/>
              </w:rPr>
            </w:pPr>
          </w:p>
          <w:p>
            <w:pPr>
              <w:pStyle w:val="TableParagraph"/>
              <w:spacing w:before="8"/>
              <w:rPr>
                <w:sz w:val="29"/>
              </w:rPr>
            </w:pPr>
          </w:p>
          <w:p>
            <w:pPr>
              <w:pStyle w:val="TableParagraph"/>
              <w:ind w:left="117"/>
              <w:rPr>
                <w:sz w:val="28"/>
              </w:rPr>
            </w:pPr>
            <w:r>
              <w:rPr>
                <w:sz w:val="28"/>
              </w:rPr>
              <w:t>Оцениваемые параметры</w:t>
            </w:r>
          </w:p>
        </w:tc>
        <w:tc>
          <w:tcPr>
            <w:tcW w:w="5953" w:type="dxa"/>
            <w:gridSpan w:val="4"/>
          </w:tcPr>
          <w:p>
            <w:pPr>
              <w:pStyle w:val="TableParagraph"/>
              <w:spacing w:line="315" w:lineRule="exact"/>
              <w:ind w:left="1711"/>
              <w:rPr>
                <w:sz w:val="28"/>
              </w:rPr>
            </w:pPr>
            <w:r>
              <w:rPr>
                <w:sz w:val="28"/>
              </w:rPr>
              <w:t>Методы диагностики</w:t>
            </w:r>
          </w:p>
        </w:tc>
      </w:tr>
      <w:tr>
        <w:trPr>
          <w:trHeight w:val="694" w:hRule="exact"/>
        </w:trPr>
        <w:tc>
          <w:tcPr>
            <w:tcW w:w="3229" w:type="dxa"/>
            <w:vMerge/>
          </w:tcPr>
          <w:p>
            <w:pPr/>
          </w:p>
        </w:tc>
        <w:tc>
          <w:tcPr>
            <w:tcW w:w="3118" w:type="dxa"/>
            <w:gridSpan w:val="2"/>
          </w:tcPr>
          <w:p>
            <w:pPr>
              <w:pStyle w:val="TableParagraph"/>
              <w:spacing w:line="315" w:lineRule="exact"/>
              <w:ind w:left="1274" w:right="1252"/>
              <w:jc w:val="center"/>
              <w:rPr>
                <w:sz w:val="28"/>
              </w:rPr>
            </w:pPr>
            <w:r>
              <w:rPr>
                <w:sz w:val="28"/>
              </w:rPr>
              <w:t>УЗИ</w:t>
            </w:r>
          </w:p>
        </w:tc>
        <w:tc>
          <w:tcPr>
            <w:tcW w:w="2835" w:type="dxa"/>
            <w:gridSpan w:val="2"/>
          </w:tcPr>
          <w:p>
            <w:pPr>
              <w:pStyle w:val="TableParagraph"/>
              <w:spacing w:line="315" w:lineRule="exact"/>
              <w:ind w:left="952" w:right="930"/>
              <w:jc w:val="center"/>
              <w:rPr>
                <w:sz w:val="28"/>
              </w:rPr>
            </w:pPr>
            <w:r>
              <w:rPr>
                <w:sz w:val="28"/>
              </w:rPr>
              <w:t>СА-125</w:t>
            </w:r>
          </w:p>
        </w:tc>
      </w:tr>
      <w:tr>
        <w:trPr>
          <w:trHeight w:val="692" w:hRule="exact"/>
        </w:trPr>
        <w:tc>
          <w:tcPr>
            <w:tcW w:w="3229" w:type="dxa"/>
            <w:vMerge/>
          </w:tcPr>
          <w:p>
            <w:pPr/>
          </w:p>
        </w:tc>
        <w:tc>
          <w:tcPr>
            <w:tcW w:w="1558" w:type="dxa"/>
          </w:tcPr>
          <w:p>
            <w:pPr>
              <w:pStyle w:val="TableParagraph"/>
              <w:spacing w:line="316" w:lineRule="exact"/>
              <w:ind w:left="292" w:right="269"/>
              <w:jc w:val="center"/>
              <w:rPr>
                <w:sz w:val="28"/>
              </w:rPr>
            </w:pPr>
            <w:r>
              <w:rPr>
                <w:sz w:val="28"/>
              </w:rPr>
              <w:t>(%)</w:t>
            </w:r>
          </w:p>
        </w:tc>
        <w:tc>
          <w:tcPr>
            <w:tcW w:w="1560" w:type="dxa"/>
          </w:tcPr>
          <w:p>
            <w:pPr>
              <w:pStyle w:val="TableParagraph"/>
              <w:spacing w:line="316" w:lineRule="exact"/>
              <w:ind w:left="297"/>
              <w:rPr>
                <w:sz w:val="28"/>
              </w:rPr>
            </w:pPr>
            <w:r>
              <w:rPr>
                <w:sz w:val="28"/>
              </w:rPr>
              <w:t>(95%CI)</w:t>
            </w:r>
          </w:p>
        </w:tc>
        <w:tc>
          <w:tcPr>
            <w:tcW w:w="1275" w:type="dxa"/>
          </w:tcPr>
          <w:p>
            <w:pPr>
              <w:pStyle w:val="TableParagraph"/>
              <w:spacing w:line="316" w:lineRule="exact"/>
              <w:ind w:left="152" w:right="129"/>
              <w:jc w:val="center"/>
              <w:rPr>
                <w:sz w:val="28"/>
              </w:rPr>
            </w:pPr>
            <w:r>
              <w:rPr>
                <w:sz w:val="28"/>
              </w:rPr>
              <w:t>(%)</w:t>
            </w:r>
          </w:p>
        </w:tc>
        <w:tc>
          <w:tcPr>
            <w:tcW w:w="1560" w:type="dxa"/>
          </w:tcPr>
          <w:p>
            <w:pPr>
              <w:pStyle w:val="TableParagraph"/>
              <w:spacing w:line="316" w:lineRule="exact"/>
              <w:ind w:left="297"/>
              <w:rPr>
                <w:sz w:val="28"/>
              </w:rPr>
            </w:pPr>
            <w:r>
              <w:rPr>
                <w:sz w:val="28"/>
              </w:rPr>
              <w:t>(95%CI)</w:t>
            </w:r>
          </w:p>
        </w:tc>
      </w:tr>
      <w:tr>
        <w:trPr>
          <w:trHeight w:val="1176" w:hRule="exact"/>
        </w:trPr>
        <w:tc>
          <w:tcPr>
            <w:tcW w:w="3229" w:type="dxa"/>
          </w:tcPr>
          <w:p>
            <w:pPr>
              <w:pStyle w:val="TableParagraph"/>
              <w:spacing w:before="235"/>
              <w:ind w:left="560" w:right="456"/>
              <w:jc w:val="center"/>
              <w:rPr>
                <w:sz w:val="28"/>
              </w:rPr>
            </w:pPr>
            <w:r>
              <w:rPr>
                <w:sz w:val="28"/>
              </w:rPr>
              <w:t>Чувствительность</w:t>
            </w:r>
          </w:p>
        </w:tc>
        <w:tc>
          <w:tcPr>
            <w:tcW w:w="1558" w:type="dxa"/>
          </w:tcPr>
          <w:p>
            <w:pPr>
              <w:pStyle w:val="TableParagraph"/>
              <w:spacing w:before="235"/>
              <w:ind w:left="298" w:right="193"/>
              <w:jc w:val="center"/>
              <w:rPr>
                <w:sz w:val="28"/>
              </w:rPr>
            </w:pPr>
            <w:r>
              <w:rPr>
                <w:sz w:val="28"/>
              </w:rPr>
              <w:t>32,35%</w:t>
            </w:r>
          </w:p>
        </w:tc>
        <w:tc>
          <w:tcPr>
            <w:tcW w:w="1560" w:type="dxa"/>
          </w:tcPr>
          <w:p>
            <w:pPr>
              <w:pStyle w:val="TableParagraph"/>
              <w:spacing w:line="317" w:lineRule="exact"/>
              <w:ind w:left="350"/>
              <w:rPr>
                <w:sz w:val="28"/>
              </w:rPr>
            </w:pPr>
            <w:r>
              <w:rPr>
                <w:sz w:val="28"/>
              </w:rPr>
              <w:t>21,94%-</w:t>
            </w:r>
          </w:p>
          <w:p>
            <w:pPr>
              <w:pStyle w:val="TableParagraph"/>
              <w:spacing w:before="160"/>
              <w:ind w:left="396"/>
              <w:rPr>
                <w:sz w:val="28"/>
              </w:rPr>
            </w:pPr>
            <w:r>
              <w:rPr>
                <w:sz w:val="28"/>
              </w:rPr>
              <w:t>51,37%</w:t>
            </w:r>
          </w:p>
        </w:tc>
        <w:tc>
          <w:tcPr>
            <w:tcW w:w="1275" w:type="dxa"/>
          </w:tcPr>
          <w:p>
            <w:pPr>
              <w:pStyle w:val="TableParagraph"/>
              <w:spacing w:before="235"/>
              <w:ind w:left="233" w:right="129"/>
              <w:jc w:val="center"/>
              <w:rPr>
                <w:sz w:val="28"/>
              </w:rPr>
            </w:pPr>
            <w:r>
              <w:rPr>
                <w:sz w:val="28"/>
              </w:rPr>
              <w:t>31,82%</w:t>
            </w:r>
          </w:p>
        </w:tc>
        <w:tc>
          <w:tcPr>
            <w:tcW w:w="1560" w:type="dxa"/>
          </w:tcPr>
          <w:p>
            <w:pPr>
              <w:pStyle w:val="TableParagraph"/>
              <w:spacing w:line="317" w:lineRule="exact"/>
              <w:ind w:left="350"/>
              <w:rPr>
                <w:sz w:val="28"/>
              </w:rPr>
            </w:pPr>
            <w:r>
              <w:rPr>
                <w:sz w:val="28"/>
              </w:rPr>
              <w:t>19,09%-</w:t>
            </w:r>
          </w:p>
          <w:p>
            <w:pPr>
              <w:pStyle w:val="TableParagraph"/>
              <w:spacing w:before="160"/>
              <w:ind w:left="395"/>
              <w:rPr>
                <w:sz w:val="28"/>
              </w:rPr>
            </w:pPr>
            <w:r>
              <w:rPr>
                <w:sz w:val="28"/>
              </w:rPr>
              <w:t>46,40%</w:t>
            </w:r>
          </w:p>
        </w:tc>
      </w:tr>
      <w:tr>
        <w:trPr>
          <w:trHeight w:val="1178" w:hRule="exact"/>
        </w:trPr>
        <w:tc>
          <w:tcPr>
            <w:tcW w:w="3229" w:type="dxa"/>
          </w:tcPr>
          <w:p>
            <w:pPr>
              <w:pStyle w:val="TableParagraph"/>
              <w:spacing w:before="235"/>
              <w:ind w:left="560" w:right="452"/>
              <w:jc w:val="center"/>
              <w:rPr>
                <w:sz w:val="28"/>
              </w:rPr>
            </w:pPr>
            <w:r>
              <w:rPr>
                <w:sz w:val="28"/>
              </w:rPr>
              <w:t>Специфичность</w:t>
            </w:r>
          </w:p>
        </w:tc>
        <w:tc>
          <w:tcPr>
            <w:tcW w:w="1558" w:type="dxa"/>
          </w:tcPr>
          <w:p>
            <w:pPr>
              <w:pStyle w:val="TableParagraph"/>
              <w:spacing w:before="235"/>
              <w:ind w:left="298" w:right="193"/>
              <w:jc w:val="center"/>
              <w:rPr>
                <w:sz w:val="28"/>
              </w:rPr>
            </w:pPr>
            <w:r>
              <w:rPr>
                <w:sz w:val="28"/>
              </w:rPr>
              <w:t>72,55%</w:t>
            </w:r>
          </w:p>
        </w:tc>
        <w:tc>
          <w:tcPr>
            <w:tcW w:w="1560" w:type="dxa"/>
          </w:tcPr>
          <w:p>
            <w:pPr>
              <w:pStyle w:val="TableParagraph"/>
              <w:spacing w:line="317" w:lineRule="exact"/>
              <w:ind w:left="350"/>
              <w:rPr>
                <w:sz w:val="28"/>
              </w:rPr>
            </w:pPr>
            <w:r>
              <w:rPr>
                <w:sz w:val="28"/>
              </w:rPr>
              <w:t>20,04%-</w:t>
            </w:r>
          </w:p>
          <w:p>
            <w:pPr>
              <w:pStyle w:val="TableParagraph"/>
              <w:spacing w:before="160"/>
              <w:ind w:left="396"/>
              <w:rPr>
                <w:sz w:val="28"/>
              </w:rPr>
            </w:pPr>
            <w:r>
              <w:rPr>
                <w:sz w:val="28"/>
              </w:rPr>
              <w:t>98,68%</w:t>
            </w:r>
          </w:p>
        </w:tc>
        <w:tc>
          <w:tcPr>
            <w:tcW w:w="1275" w:type="dxa"/>
          </w:tcPr>
          <w:p>
            <w:pPr>
              <w:pStyle w:val="TableParagraph"/>
              <w:spacing w:before="235"/>
              <w:ind w:left="233" w:right="129"/>
              <w:jc w:val="center"/>
              <w:rPr>
                <w:sz w:val="28"/>
              </w:rPr>
            </w:pPr>
            <w:r>
              <w:rPr>
                <w:sz w:val="28"/>
              </w:rPr>
              <w:t>68,36%</w:t>
            </w:r>
          </w:p>
        </w:tc>
        <w:tc>
          <w:tcPr>
            <w:tcW w:w="1560" w:type="dxa"/>
          </w:tcPr>
          <w:p>
            <w:pPr>
              <w:pStyle w:val="TableParagraph"/>
              <w:spacing w:line="317" w:lineRule="exact"/>
              <w:ind w:left="347"/>
              <w:rPr>
                <w:sz w:val="28"/>
              </w:rPr>
            </w:pPr>
            <w:r>
              <w:rPr>
                <w:sz w:val="28"/>
              </w:rPr>
              <w:t>51,37%-</w:t>
            </w:r>
          </w:p>
          <w:p>
            <w:pPr>
              <w:pStyle w:val="TableParagraph"/>
              <w:spacing w:before="160"/>
              <w:ind w:left="395"/>
              <w:rPr>
                <w:sz w:val="28"/>
              </w:rPr>
            </w:pPr>
            <w:r>
              <w:rPr>
                <w:sz w:val="28"/>
              </w:rPr>
              <w:t>94,68%</w:t>
            </w:r>
          </w:p>
        </w:tc>
      </w:tr>
    </w:tbl>
    <w:p>
      <w:pPr>
        <w:spacing w:after="0"/>
        <w:rPr>
          <w:sz w:val="28"/>
        </w:rPr>
        <w:sectPr>
          <w:pgSz w:w="11900" w:h="16850"/>
          <w:pgMar w:header="712" w:footer="0" w:top="1020" w:bottom="280" w:left="1400" w:right="1020"/>
        </w:sectPr>
      </w:pPr>
    </w:p>
    <w:p>
      <w:pPr>
        <w:pStyle w:val="BodyText"/>
        <w:rPr>
          <w:sz w:val="20"/>
        </w:rPr>
      </w:pPr>
    </w:p>
    <w:p>
      <w:pPr>
        <w:pStyle w:val="BodyText"/>
        <w:rPr>
          <w:sz w:val="20"/>
        </w:rPr>
      </w:pPr>
    </w:p>
    <w:p>
      <w:pPr>
        <w:pStyle w:val="BodyText"/>
        <w:spacing w:line="360" w:lineRule="auto" w:before="224"/>
        <w:ind w:left="102" w:right="102" w:firstLine="139"/>
        <w:jc w:val="both"/>
      </w:pPr>
      <w:r>
        <w:rPr/>
        <w:t>Невысокие показатели чувствительности и специфичности ультразвукового исследования и определения маркера СА-125 говорят о том, что на сегодняшний день клиницисты не имеют надежного и доступного диагностического теста для уточнения степени злокачественности опухолевого процесса в яичниках на этапах предоперационного обследования. Даже нормальные значения маркера СА-125 и ультразвуковая картина небольшой гладкостенной кисты не позволяют с уверенностью утверждать о наличии доброкачественного новообразования яичников.</w:t>
      </w:r>
    </w:p>
    <w:p>
      <w:pPr>
        <w:pStyle w:val="BodyText"/>
        <w:rPr>
          <w:sz w:val="30"/>
        </w:rPr>
      </w:pPr>
    </w:p>
    <w:p>
      <w:pPr>
        <w:pStyle w:val="BodyText"/>
        <w:rPr>
          <w:sz w:val="30"/>
        </w:rPr>
      </w:pPr>
    </w:p>
    <w:p>
      <w:pPr>
        <w:pStyle w:val="BodyText"/>
        <w:rPr>
          <w:sz w:val="30"/>
        </w:rPr>
      </w:pPr>
    </w:p>
    <w:p>
      <w:pPr>
        <w:pStyle w:val="BodyText"/>
        <w:rPr>
          <w:sz w:val="30"/>
        </w:rPr>
      </w:pPr>
    </w:p>
    <w:p>
      <w:pPr>
        <w:pStyle w:val="Heading1"/>
        <w:numPr>
          <w:ilvl w:val="2"/>
          <w:numId w:val="29"/>
        </w:numPr>
        <w:tabs>
          <w:tab w:pos="1460" w:val="left" w:leader="none"/>
        </w:tabs>
        <w:spacing w:line="362" w:lineRule="auto" w:before="195" w:after="0"/>
        <w:ind w:left="4014" w:right="628" w:hanging="3257"/>
        <w:jc w:val="left"/>
      </w:pPr>
      <w:r>
        <w:rPr/>
        <w:t>Современные возможности выявления начального</w:t>
      </w:r>
      <w:r>
        <w:rPr>
          <w:spacing w:val="-22"/>
        </w:rPr>
        <w:t> </w:t>
      </w:r>
      <w:r>
        <w:rPr/>
        <w:t>рака яичников</w:t>
      </w:r>
    </w:p>
    <w:p>
      <w:pPr>
        <w:pStyle w:val="BodyText"/>
        <w:spacing w:line="360" w:lineRule="auto" w:before="196"/>
        <w:ind w:left="102" w:right="99" w:firstLine="139"/>
        <w:jc w:val="both"/>
      </w:pPr>
      <w:r>
        <w:rPr/>
        <w:t>На сегодняшний день выявление первой стадии рака яичников является скорее исключением, чем правилом. По-прежнему, чаще всего злокачественные опухоли яичников оказываются случайной находкой при выполнении гинекологических операций. Зачастую это приводит к задержке с началом специального лечения, необходимости выполнения повторных операций и, как следствие, к ухудшению и без того сомнительного при раке яичников прогноза. Являющееся в настоящее время обязательными перед гинекологической операцией определение уровня маркера СА-125 и ультразвукового исследования позволяют лишь заподозрить возможность злокачественного процесса. Определенные надежды связываются с исследованием уровня маркера НЕ-4 и расчете индекса ROMA. Выполнение МРТ органов малого таза также позволяет несколько повысить точность предоперационной диагностики.</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1"/>
        <w:jc w:val="both"/>
      </w:pPr>
      <w:r>
        <w:rPr/>
        <w:t>Малоинвазивные хирургические методики, не так давно начавшие широко применяться в онкогинекологии, практически в 100% случаев позволяют разрешить спорные диагностические вопросы. Хорошая переносимость, прекрасный косметический эффект, особенно важный для молодых женщин, короткие сроки госпитализации позволяют рекомендовать лапароскопию как лечебно – диагностическую операцию.</w:t>
      </w:r>
    </w:p>
    <w:p>
      <w:pPr>
        <w:pStyle w:val="BodyText"/>
        <w:spacing w:line="360" w:lineRule="auto" w:before="205"/>
        <w:ind w:left="102" w:right="103" w:firstLine="208"/>
        <w:jc w:val="both"/>
      </w:pPr>
      <w:r>
        <w:rPr/>
        <w:t>Можно заключить, что пока единственной возможностью диагностировать начальный рак яичников является хирургическое лечение кист с повышенными значениями маркера СА-125 и/или ультразвуковыми признаками малигнизации. Указанные операции целесообразно выполнять в стационарах, имеющих возможность проведения срочного гистологического исследования и с участием хирургов, прошедших специализацию по онкологии. Подобный подход позволит избежать тактических ошибок, ценой которым может оказаться жизнь больных, а в некоторых случаях прибегнуть к органосохраняющему лечению, позволяющему сохранить фертильность у пациенток молодого возраста.</w:t>
      </w:r>
    </w:p>
    <w:p>
      <w:pPr>
        <w:pStyle w:val="BodyText"/>
        <w:rPr>
          <w:sz w:val="30"/>
        </w:rPr>
      </w:pPr>
    </w:p>
    <w:p>
      <w:pPr>
        <w:pStyle w:val="BodyText"/>
        <w:rPr>
          <w:sz w:val="30"/>
        </w:rPr>
      </w:pPr>
    </w:p>
    <w:p>
      <w:pPr>
        <w:pStyle w:val="BodyText"/>
        <w:rPr>
          <w:sz w:val="30"/>
        </w:rPr>
      </w:pPr>
    </w:p>
    <w:p>
      <w:pPr>
        <w:pStyle w:val="BodyText"/>
        <w:rPr>
          <w:sz w:val="30"/>
        </w:rPr>
      </w:pPr>
    </w:p>
    <w:p>
      <w:pPr>
        <w:pStyle w:val="Heading1"/>
        <w:numPr>
          <w:ilvl w:val="1"/>
          <w:numId w:val="30"/>
        </w:numPr>
        <w:tabs>
          <w:tab w:pos="1587" w:val="left" w:leader="none"/>
          <w:tab w:pos="1588" w:val="left" w:leader="none"/>
        </w:tabs>
        <w:spacing w:line="360" w:lineRule="auto" w:before="195" w:after="0"/>
        <w:ind w:left="968" w:right="964" w:hanging="12"/>
        <w:jc w:val="left"/>
      </w:pPr>
      <w:r>
        <w:rPr/>
        <w:t>Результаты лапароскопических операций у</w:t>
      </w:r>
      <w:r>
        <w:rPr>
          <w:spacing w:val="-20"/>
        </w:rPr>
        <w:t> </w:t>
      </w:r>
      <w:r>
        <w:rPr/>
        <w:t>больных пограничными опухолями и начальным раком</w:t>
      </w:r>
      <w:r>
        <w:rPr>
          <w:spacing w:val="-14"/>
        </w:rPr>
        <w:t> </w:t>
      </w:r>
      <w:r>
        <w:rPr/>
        <w:t>яичников</w:t>
      </w:r>
    </w:p>
    <w:p>
      <w:pPr>
        <w:pStyle w:val="BodyText"/>
        <w:rPr>
          <w:b/>
          <w:sz w:val="30"/>
        </w:rPr>
      </w:pPr>
    </w:p>
    <w:p>
      <w:pPr>
        <w:pStyle w:val="BodyText"/>
        <w:rPr>
          <w:b/>
          <w:sz w:val="36"/>
        </w:rPr>
      </w:pPr>
    </w:p>
    <w:p>
      <w:pPr>
        <w:pStyle w:val="ListParagraph"/>
        <w:numPr>
          <w:ilvl w:val="2"/>
          <w:numId w:val="30"/>
        </w:numPr>
        <w:tabs>
          <w:tab w:pos="1592" w:val="left" w:leader="none"/>
        </w:tabs>
        <w:spacing w:line="240" w:lineRule="auto" w:before="0" w:after="0"/>
        <w:ind w:left="1798" w:right="0" w:hanging="907"/>
        <w:jc w:val="left"/>
        <w:rPr>
          <w:b/>
          <w:sz w:val="28"/>
        </w:rPr>
      </w:pPr>
      <w:r>
        <w:rPr>
          <w:b/>
          <w:sz w:val="28"/>
        </w:rPr>
        <w:t>Клинико-морфологическая характеристика</w:t>
      </w:r>
      <w:r>
        <w:rPr>
          <w:b/>
          <w:spacing w:val="-14"/>
          <w:sz w:val="28"/>
        </w:rPr>
        <w:t> </w:t>
      </w:r>
      <w:r>
        <w:rPr>
          <w:b/>
          <w:sz w:val="28"/>
        </w:rPr>
        <w:t>больных</w:t>
      </w:r>
    </w:p>
    <w:p>
      <w:pPr>
        <w:pStyle w:val="BodyText"/>
        <w:rPr>
          <w:b/>
          <w:sz w:val="30"/>
        </w:rPr>
      </w:pPr>
    </w:p>
    <w:p>
      <w:pPr>
        <w:pStyle w:val="BodyText"/>
        <w:rPr>
          <w:b/>
          <w:sz w:val="30"/>
        </w:rPr>
      </w:pPr>
    </w:p>
    <w:p>
      <w:pPr>
        <w:pStyle w:val="BodyText"/>
        <w:spacing w:line="360" w:lineRule="auto" w:before="178"/>
        <w:ind w:left="102" w:right="108" w:firstLine="359"/>
        <w:jc w:val="both"/>
      </w:pPr>
      <w:r>
        <w:rPr/>
        <w:t>Прежде всего оговоримся, что в этом разделе исследования под термином «начальный рак» мы рассматривали случаи рака яичников, при которых возможно выполнение органосохраняющих операций. Принятое в</w:t>
      </w:r>
    </w:p>
    <w:p>
      <w:pPr>
        <w:spacing w:after="0" w:line="360" w:lineRule="auto"/>
        <w:jc w:val="both"/>
        <w:sectPr>
          <w:pgSz w:w="11900" w:h="16850"/>
          <w:pgMar w:header="712" w:footer="0" w:top="1020" w:bottom="280" w:left="1600" w:right="1020"/>
        </w:sectPr>
      </w:pPr>
    </w:p>
    <w:p>
      <w:pPr>
        <w:pStyle w:val="BodyText"/>
        <w:rPr>
          <w:sz w:val="20"/>
        </w:rPr>
      </w:pPr>
    </w:p>
    <w:p>
      <w:pPr>
        <w:pStyle w:val="BodyText"/>
        <w:spacing w:line="360" w:lineRule="auto" w:before="252"/>
        <w:ind w:left="222" w:right="120"/>
        <w:jc w:val="both"/>
      </w:pPr>
      <w:r>
        <w:rPr/>
        <w:t>современных онкологических статистических сборниках объединение в одну группу «начального рака» яичников больных I и II стадий нам представляется нецелесообразным, поскольку и подходы к выбору лечебной тактики, и отдаленные результаты лечения в данных  клинических ситуация значительно</w:t>
      </w:r>
      <w:r>
        <w:rPr>
          <w:spacing w:val="-8"/>
        </w:rPr>
        <w:t> </w:t>
      </w:r>
      <w:r>
        <w:rPr/>
        <w:t>разнятся.</w:t>
      </w:r>
    </w:p>
    <w:p>
      <w:pPr>
        <w:pStyle w:val="BodyText"/>
        <w:spacing w:line="360" w:lineRule="auto" w:before="7"/>
        <w:ind w:left="222" w:right="118" w:firstLine="278"/>
        <w:jc w:val="both"/>
      </w:pPr>
      <w:r>
        <w:rPr/>
        <w:t>Для подтверждения этого тезиса рассмотрим выживаемость 122 больных раком яичников I стадии и 12 больных пограничными опухолями IА стадии, вошедших в исследование. Для удобства дальнейших расчетов эти больные в дальнейшем были объединены с высокодифференцированными опухолями яичников IА стадии (Табл. 5.7).</w:t>
      </w:r>
    </w:p>
    <w:p>
      <w:pPr>
        <w:pStyle w:val="BodyText"/>
        <w:rPr>
          <w:sz w:val="30"/>
        </w:rPr>
      </w:pPr>
    </w:p>
    <w:p>
      <w:pPr>
        <w:pStyle w:val="BodyText"/>
        <w:spacing w:before="6"/>
        <w:rPr>
          <w:sz w:val="26"/>
        </w:rPr>
      </w:pPr>
    </w:p>
    <w:p>
      <w:pPr>
        <w:pStyle w:val="BodyText"/>
        <w:tabs>
          <w:tab w:pos="7418" w:val="left" w:leader="none"/>
        </w:tabs>
        <w:spacing w:line="480" w:lineRule="auto"/>
        <w:ind w:left="390" w:right="122" w:firstLine="7484"/>
      </w:pPr>
      <w:r>
        <w:rPr/>
        <w:t>Таблица 5.7 Безрецидивная выживаемость  больных</w:t>
      </w:r>
      <w:r>
        <w:rPr>
          <w:spacing w:val="60"/>
        </w:rPr>
        <w:t> </w:t>
      </w:r>
      <w:r>
        <w:rPr/>
        <w:t>раком</w:t>
      </w:r>
      <w:r>
        <w:rPr>
          <w:spacing w:val="-2"/>
        </w:rPr>
        <w:t> </w:t>
      </w:r>
      <w:r>
        <w:rPr/>
        <w:t>яичников</w:t>
        <w:tab/>
        <w:t>в</w:t>
      </w:r>
      <w:r>
        <w:rPr>
          <w:spacing w:val="-4"/>
        </w:rPr>
        <w:t> </w:t>
      </w:r>
      <w:r>
        <w:rPr/>
        <w:t>зависимости</w:t>
      </w:r>
    </w:p>
    <w:p>
      <w:pPr>
        <w:pStyle w:val="BodyText"/>
        <w:spacing w:before="13"/>
        <w:ind w:left="502" w:right="407"/>
        <w:jc w:val="center"/>
      </w:pPr>
      <w:r>
        <w:rPr/>
        <w:pict>
          <v:shape style="position:absolute;margin-left:79.463997pt;margin-top:33.160294pt;width:460.2pt;height:196.75pt;mso-position-horizontal-relative:page;mso-position-vertical-relative:paragraph;z-index:618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6"/>
                    <w:gridCol w:w="1678"/>
                    <w:gridCol w:w="2124"/>
                    <w:gridCol w:w="1572"/>
                    <w:gridCol w:w="1909"/>
                  </w:tblGrid>
                  <w:tr>
                    <w:trPr>
                      <w:trHeight w:val="653" w:hRule="exact"/>
                    </w:trPr>
                    <w:tc>
                      <w:tcPr>
                        <w:tcW w:w="1906" w:type="dxa"/>
                        <w:vMerge w:val="restart"/>
                      </w:tcPr>
                      <w:p>
                        <w:pPr>
                          <w:pStyle w:val="TableParagraph"/>
                          <w:rPr>
                            <w:sz w:val="30"/>
                          </w:rPr>
                        </w:pPr>
                      </w:p>
                      <w:p>
                        <w:pPr>
                          <w:pStyle w:val="TableParagraph"/>
                          <w:spacing w:before="3"/>
                          <w:rPr>
                            <w:sz w:val="25"/>
                          </w:rPr>
                        </w:pPr>
                      </w:p>
                      <w:p>
                        <w:pPr>
                          <w:pStyle w:val="TableParagraph"/>
                          <w:ind w:left="520"/>
                          <w:rPr>
                            <w:sz w:val="28"/>
                          </w:rPr>
                        </w:pPr>
                        <w:r>
                          <w:rPr>
                            <w:sz w:val="28"/>
                          </w:rPr>
                          <w:t>Стадия</w:t>
                        </w:r>
                      </w:p>
                    </w:tc>
                    <w:tc>
                      <w:tcPr>
                        <w:tcW w:w="1678" w:type="dxa"/>
                        <w:vMerge w:val="restart"/>
                      </w:tcPr>
                      <w:p>
                        <w:pPr>
                          <w:pStyle w:val="TableParagraph"/>
                          <w:spacing w:line="480" w:lineRule="auto"/>
                          <w:ind w:left="319" w:right="114" w:hanging="185"/>
                          <w:rPr>
                            <w:sz w:val="28"/>
                          </w:rPr>
                        </w:pPr>
                        <w:r>
                          <w:rPr>
                            <w:sz w:val="28"/>
                          </w:rPr>
                          <w:t>Количество больных</w:t>
                        </w:r>
                      </w:p>
                    </w:tc>
                    <w:tc>
                      <w:tcPr>
                        <w:tcW w:w="3696" w:type="dxa"/>
                        <w:gridSpan w:val="2"/>
                      </w:tcPr>
                      <w:p>
                        <w:pPr>
                          <w:pStyle w:val="TableParagraph"/>
                          <w:spacing w:line="315" w:lineRule="exact"/>
                          <w:ind w:left="427"/>
                          <w:rPr>
                            <w:sz w:val="28"/>
                          </w:rPr>
                        </w:pPr>
                        <w:r>
                          <w:rPr>
                            <w:sz w:val="28"/>
                          </w:rPr>
                          <w:t>3-летняя выживаемость</w:t>
                        </w:r>
                      </w:p>
                    </w:tc>
                    <w:tc>
                      <w:tcPr>
                        <w:tcW w:w="1909" w:type="dxa"/>
                        <w:vMerge w:val="restart"/>
                      </w:tcPr>
                      <w:p>
                        <w:pPr>
                          <w:pStyle w:val="TableParagraph"/>
                          <w:spacing w:line="315" w:lineRule="exact"/>
                          <w:ind w:right="110"/>
                          <w:jc w:val="center"/>
                          <w:rPr>
                            <w:sz w:val="28"/>
                          </w:rPr>
                        </w:pPr>
                        <w:r>
                          <w:rPr>
                            <w:w w:val="100"/>
                            <w:sz w:val="28"/>
                          </w:rPr>
                          <w:t>р</w:t>
                        </w:r>
                      </w:p>
                    </w:tc>
                  </w:tr>
                  <w:tr>
                    <w:trPr>
                      <w:trHeight w:val="655" w:hRule="exact"/>
                    </w:trPr>
                    <w:tc>
                      <w:tcPr>
                        <w:tcW w:w="1906" w:type="dxa"/>
                        <w:vMerge/>
                      </w:tcPr>
                      <w:p>
                        <w:pPr/>
                      </w:p>
                    </w:tc>
                    <w:tc>
                      <w:tcPr>
                        <w:tcW w:w="1678" w:type="dxa"/>
                        <w:vMerge/>
                      </w:tcPr>
                      <w:p>
                        <w:pPr/>
                      </w:p>
                    </w:tc>
                    <w:tc>
                      <w:tcPr>
                        <w:tcW w:w="2124" w:type="dxa"/>
                      </w:tcPr>
                      <w:p>
                        <w:pPr>
                          <w:pStyle w:val="TableParagraph"/>
                          <w:spacing w:line="317" w:lineRule="exact"/>
                          <w:ind w:right="1"/>
                          <w:jc w:val="center"/>
                          <w:rPr>
                            <w:sz w:val="28"/>
                          </w:rPr>
                        </w:pPr>
                        <w:r>
                          <w:rPr>
                            <w:w w:val="100"/>
                            <w:sz w:val="28"/>
                          </w:rPr>
                          <w:t>n</w:t>
                        </w:r>
                      </w:p>
                    </w:tc>
                    <w:tc>
                      <w:tcPr>
                        <w:tcW w:w="1572" w:type="dxa"/>
                      </w:tcPr>
                      <w:p>
                        <w:pPr>
                          <w:pStyle w:val="TableParagraph"/>
                          <w:spacing w:line="317" w:lineRule="exact"/>
                          <w:ind w:left="135"/>
                          <w:jc w:val="center"/>
                          <w:rPr>
                            <w:sz w:val="28"/>
                          </w:rPr>
                        </w:pPr>
                        <w:r>
                          <w:rPr>
                            <w:w w:val="100"/>
                            <w:sz w:val="28"/>
                          </w:rPr>
                          <w:t>%</w:t>
                        </w:r>
                      </w:p>
                    </w:tc>
                    <w:tc>
                      <w:tcPr>
                        <w:tcW w:w="1909" w:type="dxa"/>
                        <w:vMerge/>
                      </w:tcPr>
                      <w:p>
                        <w:pPr/>
                      </w:p>
                    </w:tc>
                  </w:tr>
                  <w:tr>
                    <w:trPr>
                      <w:trHeight w:val="653" w:hRule="exact"/>
                    </w:trPr>
                    <w:tc>
                      <w:tcPr>
                        <w:tcW w:w="1906" w:type="dxa"/>
                      </w:tcPr>
                      <w:p>
                        <w:pPr>
                          <w:pStyle w:val="TableParagraph"/>
                          <w:spacing w:line="315" w:lineRule="exact"/>
                          <w:ind w:left="582" w:right="579"/>
                          <w:jc w:val="center"/>
                          <w:rPr>
                            <w:sz w:val="18"/>
                          </w:rPr>
                        </w:pPr>
                        <w:r>
                          <w:rPr>
                            <w:sz w:val="28"/>
                          </w:rPr>
                          <w:t>Ia</w:t>
                        </w:r>
                        <w:r>
                          <w:rPr>
                            <w:position w:val="13"/>
                            <w:sz w:val="18"/>
                          </w:rPr>
                          <w:t>*</w:t>
                        </w:r>
                      </w:p>
                    </w:tc>
                    <w:tc>
                      <w:tcPr>
                        <w:tcW w:w="1678" w:type="dxa"/>
                      </w:tcPr>
                      <w:p>
                        <w:pPr>
                          <w:pStyle w:val="TableParagraph"/>
                          <w:spacing w:line="315" w:lineRule="exact"/>
                          <w:ind w:left="694"/>
                          <w:rPr>
                            <w:sz w:val="28"/>
                          </w:rPr>
                        </w:pPr>
                        <w:r>
                          <w:rPr>
                            <w:sz w:val="28"/>
                          </w:rPr>
                          <w:t>75</w:t>
                        </w:r>
                      </w:p>
                    </w:tc>
                    <w:tc>
                      <w:tcPr>
                        <w:tcW w:w="2124" w:type="dxa"/>
                      </w:tcPr>
                      <w:p>
                        <w:pPr>
                          <w:pStyle w:val="TableParagraph"/>
                          <w:spacing w:line="315" w:lineRule="exact"/>
                          <w:ind w:left="827" w:right="825"/>
                          <w:jc w:val="center"/>
                          <w:rPr>
                            <w:sz w:val="28"/>
                          </w:rPr>
                        </w:pPr>
                        <w:r>
                          <w:rPr>
                            <w:sz w:val="28"/>
                          </w:rPr>
                          <w:t>69</w:t>
                        </w:r>
                      </w:p>
                    </w:tc>
                    <w:tc>
                      <w:tcPr>
                        <w:tcW w:w="1572" w:type="dxa"/>
                      </w:tcPr>
                      <w:p>
                        <w:pPr>
                          <w:pStyle w:val="TableParagraph"/>
                          <w:spacing w:line="315" w:lineRule="exact"/>
                          <w:ind w:left="516" w:right="514"/>
                          <w:jc w:val="center"/>
                          <w:rPr>
                            <w:sz w:val="28"/>
                          </w:rPr>
                        </w:pPr>
                        <w:r>
                          <w:rPr>
                            <w:sz w:val="28"/>
                          </w:rPr>
                          <w:t>92</w:t>
                        </w:r>
                      </w:p>
                    </w:tc>
                    <w:tc>
                      <w:tcPr>
                        <w:tcW w:w="1909" w:type="dxa"/>
                      </w:tcPr>
                      <w:p>
                        <w:pPr/>
                      </w:p>
                    </w:tc>
                  </w:tr>
                  <w:tr>
                    <w:trPr>
                      <w:trHeight w:val="655" w:hRule="exact"/>
                    </w:trPr>
                    <w:tc>
                      <w:tcPr>
                        <w:tcW w:w="1906" w:type="dxa"/>
                      </w:tcPr>
                      <w:p>
                        <w:pPr>
                          <w:pStyle w:val="TableParagraph"/>
                          <w:spacing w:line="317" w:lineRule="exact"/>
                          <w:ind w:left="581" w:right="582"/>
                          <w:jc w:val="center"/>
                          <w:rPr>
                            <w:sz w:val="28"/>
                          </w:rPr>
                        </w:pPr>
                        <w:r>
                          <w:rPr>
                            <w:sz w:val="28"/>
                          </w:rPr>
                          <w:t>Ib</w:t>
                        </w:r>
                      </w:p>
                    </w:tc>
                    <w:tc>
                      <w:tcPr>
                        <w:tcW w:w="1678" w:type="dxa"/>
                      </w:tcPr>
                      <w:p>
                        <w:pPr>
                          <w:pStyle w:val="TableParagraph"/>
                          <w:spacing w:line="317" w:lineRule="exact"/>
                          <w:ind w:left="694"/>
                          <w:rPr>
                            <w:sz w:val="28"/>
                          </w:rPr>
                        </w:pPr>
                        <w:r>
                          <w:rPr>
                            <w:sz w:val="28"/>
                          </w:rPr>
                          <w:t>11</w:t>
                        </w:r>
                      </w:p>
                    </w:tc>
                    <w:tc>
                      <w:tcPr>
                        <w:tcW w:w="2124" w:type="dxa"/>
                      </w:tcPr>
                      <w:p>
                        <w:pPr>
                          <w:pStyle w:val="TableParagraph"/>
                          <w:spacing w:line="317" w:lineRule="exact"/>
                          <w:ind w:right="1"/>
                          <w:jc w:val="center"/>
                          <w:rPr>
                            <w:sz w:val="28"/>
                          </w:rPr>
                        </w:pPr>
                        <w:r>
                          <w:rPr>
                            <w:w w:val="100"/>
                            <w:sz w:val="28"/>
                          </w:rPr>
                          <w:t>9</w:t>
                        </w:r>
                      </w:p>
                    </w:tc>
                    <w:tc>
                      <w:tcPr>
                        <w:tcW w:w="1572" w:type="dxa"/>
                      </w:tcPr>
                      <w:p>
                        <w:pPr>
                          <w:pStyle w:val="TableParagraph"/>
                          <w:spacing w:line="317" w:lineRule="exact"/>
                          <w:ind w:left="516" w:right="516"/>
                          <w:jc w:val="center"/>
                          <w:rPr>
                            <w:sz w:val="28"/>
                          </w:rPr>
                        </w:pPr>
                        <w:r>
                          <w:rPr>
                            <w:sz w:val="28"/>
                          </w:rPr>
                          <w:t>81,8</w:t>
                        </w:r>
                      </w:p>
                    </w:tc>
                    <w:tc>
                      <w:tcPr>
                        <w:tcW w:w="1909" w:type="dxa"/>
                      </w:tcPr>
                      <w:p>
                        <w:pPr/>
                      </w:p>
                    </w:tc>
                  </w:tr>
                  <w:tr>
                    <w:trPr>
                      <w:trHeight w:val="653" w:hRule="exact"/>
                    </w:trPr>
                    <w:tc>
                      <w:tcPr>
                        <w:tcW w:w="1906" w:type="dxa"/>
                      </w:tcPr>
                      <w:p>
                        <w:pPr>
                          <w:pStyle w:val="TableParagraph"/>
                          <w:spacing w:line="316" w:lineRule="exact"/>
                          <w:ind w:left="582" w:right="582"/>
                          <w:jc w:val="center"/>
                          <w:rPr>
                            <w:sz w:val="28"/>
                          </w:rPr>
                        </w:pPr>
                        <w:r>
                          <w:rPr>
                            <w:sz w:val="28"/>
                          </w:rPr>
                          <w:t>Ic</w:t>
                        </w:r>
                      </w:p>
                    </w:tc>
                    <w:tc>
                      <w:tcPr>
                        <w:tcW w:w="1678" w:type="dxa"/>
                      </w:tcPr>
                      <w:p>
                        <w:pPr>
                          <w:pStyle w:val="TableParagraph"/>
                          <w:spacing w:line="316" w:lineRule="exact"/>
                          <w:ind w:left="694"/>
                          <w:rPr>
                            <w:sz w:val="28"/>
                          </w:rPr>
                        </w:pPr>
                        <w:r>
                          <w:rPr>
                            <w:sz w:val="28"/>
                          </w:rPr>
                          <w:t>48</w:t>
                        </w:r>
                      </w:p>
                    </w:tc>
                    <w:tc>
                      <w:tcPr>
                        <w:tcW w:w="2124" w:type="dxa"/>
                      </w:tcPr>
                      <w:p>
                        <w:pPr>
                          <w:pStyle w:val="TableParagraph"/>
                          <w:spacing w:line="316" w:lineRule="exact"/>
                          <w:ind w:left="827" w:right="825"/>
                          <w:jc w:val="center"/>
                          <w:rPr>
                            <w:sz w:val="28"/>
                          </w:rPr>
                        </w:pPr>
                        <w:r>
                          <w:rPr>
                            <w:sz w:val="28"/>
                          </w:rPr>
                          <w:t>35</w:t>
                        </w:r>
                      </w:p>
                    </w:tc>
                    <w:tc>
                      <w:tcPr>
                        <w:tcW w:w="1572" w:type="dxa"/>
                      </w:tcPr>
                      <w:p>
                        <w:pPr>
                          <w:pStyle w:val="TableParagraph"/>
                          <w:spacing w:line="316" w:lineRule="exact"/>
                          <w:ind w:left="516" w:right="516"/>
                          <w:jc w:val="center"/>
                          <w:rPr>
                            <w:sz w:val="28"/>
                          </w:rPr>
                        </w:pPr>
                        <w:r>
                          <w:rPr>
                            <w:sz w:val="28"/>
                          </w:rPr>
                          <w:t>72,9</w:t>
                        </w:r>
                      </w:p>
                    </w:tc>
                    <w:tc>
                      <w:tcPr>
                        <w:tcW w:w="1909" w:type="dxa"/>
                      </w:tcPr>
                      <w:p>
                        <w:pPr>
                          <w:pStyle w:val="TableParagraph"/>
                          <w:spacing w:line="316" w:lineRule="exact"/>
                          <w:ind w:left="555"/>
                          <w:rPr>
                            <w:sz w:val="28"/>
                          </w:rPr>
                        </w:pPr>
                        <w:r>
                          <w:rPr>
                            <w:sz w:val="28"/>
                          </w:rPr>
                          <w:t>р&lt;0,01</w:t>
                        </w:r>
                      </w:p>
                    </w:tc>
                  </w:tr>
                  <w:tr>
                    <w:trPr>
                      <w:trHeight w:val="655" w:hRule="exact"/>
                    </w:trPr>
                    <w:tc>
                      <w:tcPr>
                        <w:tcW w:w="1906" w:type="dxa"/>
                      </w:tcPr>
                      <w:p>
                        <w:pPr>
                          <w:pStyle w:val="TableParagraph"/>
                          <w:spacing w:line="317" w:lineRule="exact"/>
                          <w:ind w:left="582" w:right="582"/>
                          <w:jc w:val="center"/>
                          <w:rPr>
                            <w:sz w:val="28"/>
                          </w:rPr>
                        </w:pPr>
                        <w:r>
                          <w:rPr>
                            <w:sz w:val="28"/>
                          </w:rPr>
                          <w:t>Всего</w:t>
                        </w:r>
                      </w:p>
                    </w:tc>
                    <w:tc>
                      <w:tcPr>
                        <w:tcW w:w="1678" w:type="dxa"/>
                      </w:tcPr>
                      <w:p>
                        <w:pPr>
                          <w:pStyle w:val="TableParagraph"/>
                          <w:spacing w:line="317" w:lineRule="exact"/>
                          <w:ind w:left="624"/>
                          <w:rPr>
                            <w:sz w:val="28"/>
                          </w:rPr>
                        </w:pPr>
                        <w:r>
                          <w:rPr>
                            <w:sz w:val="28"/>
                          </w:rPr>
                          <w:t>134</w:t>
                        </w:r>
                      </w:p>
                    </w:tc>
                    <w:tc>
                      <w:tcPr>
                        <w:tcW w:w="2124" w:type="dxa"/>
                      </w:tcPr>
                      <w:p>
                        <w:pPr>
                          <w:pStyle w:val="TableParagraph"/>
                          <w:spacing w:line="317" w:lineRule="exact"/>
                          <w:ind w:left="827" w:right="827"/>
                          <w:jc w:val="center"/>
                          <w:rPr>
                            <w:sz w:val="28"/>
                          </w:rPr>
                        </w:pPr>
                        <w:r>
                          <w:rPr>
                            <w:sz w:val="28"/>
                          </w:rPr>
                          <w:t>113</w:t>
                        </w:r>
                      </w:p>
                    </w:tc>
                    <w:tc>
                      <w:tcPr>
                        <w:tcW w:w="1572" w:type="dxa"/>
                      </w:tcPr>
                      <w:p>
                        <w:pPr>
                          <w:pStyle w:val="TableParagraph"/>
                          <w:spacing w:line="317" w:lineRule="exact"/>
                          <w:ind w:left="516" w:right="516"/>
                          <w:jc w:val="center"/>
                          <w:rPr>
                            <w:sz w:val="28"/>
                          </w:rPr>
                        </w:pPr>
                        <w:r>
                          <w:rPr>
                            <w:sz w:val="28"/>
                          </w:rPr>
                          <w:t>84,3</w:t>
                        </w:r>
                      </w:p>
                    </w:tc>
                    <w:tc>
                      <w:tcPr>
                        <w:tcW w:w="1909" w:type="dxa"/>
                      </w:tcPr>
                      <w:p>
                        <w:pPr/>
                      </w:p>
                    </w:tc>
                  </w:tr>
                </w:tbl>
                <w:p>
                  <w:pPr>
                    <w:pStyle w:val="BodyText"/>
                  </w:pPr>
                </w:p>
              </w:txbxContent>
            </v:textbox>
            <w10:wrap type="none"/>
          </v:shape>
        </w:pict>
      </w:r>
      <w:r>
        <w:rPr/>
        <w:t>от стадии заболевания</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9"/>
        <w:rPr>
          <w:sz w:val="36"/>
        </w:rPr>
      </w:pPr>
    </w:p>
    <w:p>
      <w:pPr>
        <w:pStyle w:val="BodyText"/>
        <w:spacing w:line="480" w:lineRule="auto"/>
        <w:ind w:left="222" w:firstLine="719"/>
      </w:pPr>
      <w:r>
        <w:rPr>
          <w:position w:val="13"/>
          <w:sz w:val="18"/>
        </w:rPr>
        <w:t>*</w:t>
      </w:r>
      <w:r>
        <w:rPr/>
        <w:t>в эту группу включены также 12 больных пограничными опухолями яичников IА стадии.</w:t>
      </w:r>
    </w:p>
    <w:p>
      <w:pPr>
        <w:pStyle w:val="BodyText"/>
        <w:rPr>
          <w:sz w:val="30"/>
        </w:rPr>
      </w:pPr>
    </w:p>
    <w:p>
      <w:pPr>
        <w:pStyle w:val="BodyText"/>
        <w:spacing w:before="4"/>
        <w:rPr>
          <w:sz w:val="30"/>
        </w:rPr>
      </w:pPr>
    </w:p>
    <w:p>
      <w:pPr>
        <w:pStyle w:val="BodyText"/>
        <w:spacing w:line="360" w:lineRule="auto" w:before="1"/>
        <w:ind w:left="222" w:right="126" w:firstLine="240"/>
        <w:jc w:val="both"/>
      </w:pPr>
      <w:r>
        <w:rPr/>
        <w:t>3-летняя выживаемость больных I стадии раком яичников составила 84,3%. В то же время «внутри» самой  I стадии видно снижение</w:t>
      </w:r>
    </w:p>
    <w:p>
      <w:pPr>
        <w:spacing w:after="0" w:line="360" w:lineRule="auto"/>
        <w:jc w:val="both"/>
        <w:sectPr>
          <w:pgSz w:w="11900" w:h="16850"/>
          <w:pgMar w:header="712" w:footer="0" w:top="1020" w:bottom="280" w:left="1480" w:right="1000"/>
        </w:sectPr>
      </w:pPr>
    </w:p>
    <w:p>
      <w:pPr>
        <w:pStyle w:val="BodyText"/>
        <w:rPr>
          <w:sz w:val="20"/>
        </w:rPr>
      </w:pPr>
    </w:p>
    <w:p>
      <w:pPr>
        <w:pStyle w:val="BodyText"/>
        <w:spacing w:line="362" w:lineRule="auto" w:before="252"/>
        <w:ind w:left="222" w:right="383"/>
      </w:pPr>
      <w:r>
        <w:rPr/>
        <w:t>отдаленных результатов лечения с 92% при IА стадии до 72% при IС, то есть на 20%.</w:t>
      </w:r>
    </w:p>
    <w:p>
      <w:pPr>
        <w:pStyle w:val="BodyText"/>
        <w:tabs>
          <w:tab w:pos="8185" w:val="left" w:leader="none"/>
        </w:tabs>
        <w:spacing w:line="360" w:lineRule="auto" w:before="2"/>
        <w:ind w:left="222" w:right="127" w:firstLine="208"/>
      </w:pPr>
      <w:r>
        <w:rPr/>
        <w:t>Одностороннее поражение яичников отмечено у</w:t>
      </w:r>
      <w:r>
        <w:rPr>
          <w:spacing w:val="-16"/>
        </w:rPr>
        <w:t> </w:t>
      </w:r>
      <w:r>
        <w:rPr/>
        <w:t>75</w:t>
      </w:r>
      <w:r>
        <w:rPr>
          <w:spacing w:val="-2"/>
        </w:rPr>
        <w:t> </w:t>
      </w:r>
      <w:r>
        <w:rPr/>
        <w:t>пациенток.</w:t>
        <w:tab/>
        <w:t>Левый и</w:t>
      </w:r>
      <w:r>
        <w:rPr>
          <w:w w:val="100"/>
        </w:rPr>
        <w:t> </w:t>
      </w:r>
      <w:r>
        <w:rPr/>
        <w:t>правый яичник поражались приблизительно с одинаковой частотой (46 и  39 случаев соответственно). Сторона поражения влияния на выживаемость не оказала.</w:t>
      </w:r>
    </w:p>
    <w:p>
      <w:pPr>
        <w:pStyle w:val="BodyText"/>
        <w:spacing w:line="360" w:lineRule="auto" w:before="5"/>
        <w:ind w:left="222" w:right="121" w:firstLine="208"/>
        <w:jc w:val="both"/>
      </w:pPr>
      <w:r>
        <w:rPr/>
        <w:t>Преобладающим гистологическим типом среди исследованных опухолей был серозный, он отмечался у 89 (66,4%) пациенток. Значительно реже встречались  муцинозный (у  24 больных – 17,9%),   эндометриоидный (у 19 - 14,2%) и светлоклеточный (у 2 – 1,5%).  Выживаемость оказалась выше при эндометриоидных и муцинозных опухолях, несколько хуже при серозной аденокарциноме. У обеих больных светлоклеточным раком яичников развились рецидивы заболевания на первом году наблюдения после выполненных радикальных операций (Табл.</w:t>
      </w:r>
      <w:r>
        <w:rPr>
          <w:spacing w:val="-20"/>
        </w:rPr>
        <w:t> </w:t>
      </w:r>
      <w:r>
        <w:rPr/>
        <w:t>5.8).</w:t>
      </w:r>
    </w:p>
    <w:p>
      <w:pPr>
        <w:pStyle w:val="BodyText"/>
        <w:spacing w:before="8"/>
        <w:ind w:left="7874"/>
      </w:pPr>
      <w:r>
        <w:rPr/>
        <w:t>Таблица 5.8</w:t>
      </w:r>
    </w:p>
    <w:p>
      <w:pPr>
        <w:pStyle w:val="BodyText"/>
        <w:spacing w:before="10"/>
        <w:rPr>
          <w:sz w:val="27"/>
        </w:rPr>
      </w:pPr>
    </w:p>
    <w:p>
      <w:pPr>
        <w:pStyle w:val="BodyText"/>
        <w:spacing w:before="1"/>
        <w:ind w:left="2634" w:right="683" w:hanging="1842"/>
      </w:pPr>
      <w:r>
        <w:rPr/>
        <w:t>Безрецидивная выживаемость больных раком яичников I стадии в зависимости от  гистотипа опухоли</w:t>
      </w:r>
    </w:p>
    <w:p>
      <w:pPr>
        <w:pStyle w:val="BodyText"/>
        <w:spacing w:before="6"/>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70"/>
        <w:gridCol w:w="1618"/>
        <w:gridCol w:w="1467"/>
        <w:gridCol w:w="1892"/>
        <w:gridCol w:w="1742"/>
      </w:tblGrid>
      <w:tr>
        <w:trPr>
          <w:trHeight w:val="612" w:hRule="exact"/>
        </w:trPr>
        <w:tc>
          <w:tcPr>
            <w:tcW w:w="2470" w:type="dxa"/>
            <w:vMerge w:val="restart"/>
          </w:tcPr>
          <w:p>
            <w:pPr>
              <w:pStyle w:val="TableParagraph"/>
              <w:spacing w:line="360" w:lineRule="auto"/>
              <w:ind w:left="729" w:right="651" w:hanging="60"/>
              <w:rPr>
                <w:sz w:val="28"/>
              </w:rPr>
            </w:pPr>
            <w:r>
              <w:rPr>
                <w:sz w:val="28"/>
              </w:rPr>
              <w:t>Гистотип опухоли</w:t>
            </w:r>
          </w:p>
        </w:tc>
        <w:tc>
          <w:tcPr>
            <w:tcW w:w="1618" w:type="dxa"/>
            <w:vMerge w:val="restart"/>
          </w:tcPr>
          <w:p>
            <w:pPr>
              <w:pStyle w:val="TableParagraph"/>
              <w:spacing w:line="360" w:lineRule="auto"/>
              <w:ind w:left="290" w:right="85" w:hanging="188"/>
              <w:rPr>
                <w:sz w:val="28"/>
              </w:rPr>
            </w:pPr>
            <w:r>
              <w:rPr>
                <w:sz w:val="28"/>
              </w:rPr>
              <w:t>Количество больных</w:t>
            </w:r>
          </w:p>
        </w:tc>
        <w:tc>
          <w:tcPr>
            <w:tcW w:w="3359" w:type="dxa"/>
            <w:gridSpan w:val="2"/>
          </w:tcPr>
          <w:p>
            <w:pPr>
              <w:pStyle w:val="TableParagraph"/>
              <w:spacing w:line="317" w:lineRule="exact"/>
              <w:ind w:left="256"/>
              <w:rPr>
                <w:sz w:val="28"/>
              </w:rPr>
            </w:pPr>
            <w:r>
              <w:rPr>
                <w:sz w:val="28"/>
              </w:rPr>
              <w:t>3-летняя выживаемость</w:t>
            </w:r>
          </w:p>
        </w:tc>
        <w:tc>
          <w:tcPr>
            <w:tcW w:w="1742" w:type="dxa"/>
            <w:vMerge w:val="restart"/>
          </w:tcPr>
          <w:p>
            <w:pPr>
              <w:pStyle w:val="TableParagraph"/>
              <w:spacing w:before="6"/>
              <w:rPr>
                <w:sz w:val="41"/>
              </w:rPr>
            </w:pPr>
          </w:p>
          <w:p>
            <w:pPr>
              <w:pStyle w:val="TableParagraph"/>
              <w:ind w:right="1"/>
              <w:jc w:val="center"/>
              <w:rPr>
                <w:sz w:val="28"/>
              </w:rPr>
            </w:pPr>
            <w:r>
              <w:rPr>
                <w:w w:val="100"/>
                <w:sz w:val="28"/>
              </w:rPr>
              <w:t>р</w:t>
            </w:r>
          </w:p>
        </w:tc>
      </w:tr>
      <w:tr>
        <w:trPr>
          <w:trHeight w:val="492" w:hRule="exact"/>
        </w:trPr>
        <w:tc>
          <w:tcPr>
            <w:tcW w:w="2470" w:type="dxa"/>
            <w:vMerge/>
          </w:tcPr>
          <w:p>
            <w:pPr/>
          </w:p>
        </w:tc>
        <w:tc>
          <w:tcPr>
            <w:tcW w:w="1618" w:type="dxa"/>
            <w:vMerge/>
          </w:tcPr>
          <w:p>
            <w:pPr/>
          </w:p>
        </w:tc>
        <w:tc>
          <w:tcPr>
            <w:tcW w:w="1467" w:type="dxa"/>
          </w:tcPr>
          <w:p>
            <w:pPr>
              <w:pStyle w:val="TableParagraph"/>
              <w:spacing w:line="315" w:lineRule="exact"/>
              <w:ind w:right="1"/>
              <w:jc w:val="center"/>
              <w:rPr>
                <w:sz w:val="28"/>
              </w:rPr>
            </w:pPr>
            <w:r>
              <w:rPr>
                <w:w w:val="100"/>
                <w:sz w:val="28"/>
              </w:rPr>
              <w:t>n</w:t>
            </w:r>
          </w:p>
        </w:tc>
        <w:tc>
          <w:tcPr>
            <w:tcW w:w="1892" w:type="dxa"/>
          </w:tcPr>
          <w:p>
            <w:pPr>
              <w:pStyle w:val="TableParagraph"/>
              <w:spacing w:line="315" w:lineRule="exact"/>
              <w:ind w:left="132"/>
              <w:jc w:val="center"/>
              <w:rPr>
                <w:sz w:val="28"/>
              </w:rPr>
            </w:pPr>
            <w:r>
              <w:rPr>
                <w:w w:val="100"/>
                <w:sz w:val="28"/>
              </w:rPr>
              <w:t>%</w:t>
            </w:r>
          </w:p>
        </w:tc>
        <w:tc>
          <w:tcPr>
            <w:tcW w:w="1742" w:type="dxa"/>
            <w:vMerge/>
          </w:tcPr>
          <w:p>
            <w:pPr/>
          </w:p>
        </w:tc>
      </w:tr>
      <w:tr>
        <w:trPr>
          <w:trHeight w:val="492" w:hRule="exact"/>
        </w:trPr>
        <w:tc>
          <w:tcPr>
            <w:tcW w:w="2470" w:type="dxa"/>
          </w:tcPr>
          <w:p>
            <w:pPr>
              <w:pStyle w:val="TableParagraph"/>
              <w:spacing w:line="315" w:lineRule="exact"/>
              <w:ind w:left="103"/>
              <w:rPr>
                <w:sz w:val="28"/>
              </w:rPr>
            </w:pPr>
            <w:r>
              <w:rPr>
                <w:sz w:val="28"/>
              </w:rPr>
              <w:t>Серозный</w:t>
            </w:r>
          </w:p>
        </w:tc>
        <w:tc>
          <w:tcPr>
            <w:tcW w:w="1618" w:type="dxa"/>
          </w:tcPr>
          <w:p>
            <w:pPr>
              <w:pStyle w:val="TableParagraph"/>
              <w:spacing w:line="315" w:lineRule="exact"/>
              <w:ind w:left="575" w:right="571"/>
              <w:jc w:val="center"/>
              <w:rPr>
                <w:sz w:val="28"/>
              </w:rPr>
            </w:pPr>
            <w:r>
              <w:rPr>
                <w:sz w:val="28"/>
              </w:rPr>
              <w:t>89</w:t>
            </w:r>
          </w:p>
        </w:tc>
        <w:tc>
          <w:tcPr>
            <w:tcW w:w="1467" w:type="dxa"/>
          </w:tcPr>
          <w:p>
            <w:pPr>
              <w:pStyle w:val="TableParagraph"/>
              <w:spacing w:line="315" w:lineRule="exact"/>
              <w:ind w:left="585"/>
              <w:rPr>
                <w:sz w:val="28"/>
              </w:rPr>
            </w:pPr>
            <w:r>
              <w:rPr>
                <w:sz w:val="28"/>
              </w:rPr>
              <w:t>73</w:t>
            </w:r>
          </w:p>
        </w:tc>
        <w:tc>
          <w:tcPr>
            <w:tcW w:w="1892" w:type="dxa"/>
          </w:tcPr>
          <w:p>
            <w:pPr>
              <w:pStyle w:val="TableParagraph"/>
              <w:spacing w:line="315" w:lineRule="exact"/>
              <w:ind w:left="693"/>
              <w:rPr>
                <w:sz w:val="28"/>
              </w:rPr>
            </w:pPr>
            <w:r>
              <w:rPr>
                <w:sz w:val="28"/>
              </w:rPr>
              <w:t>82,0</w:t>
            </w:r>
          </w:p>
        </w:tc>
        <w:tc>
          <w:tcPr>
            <w:tcW w:w="1742" w:type="dxa"/>
            <w:vMerge w:val="restart"/>
          </w:tcPr>
          <w:p>
            <w:pPr>
              <w:pStyle w:val="TableParagraph"/>
              <w:spacing w:before="4"/>
              <w:rPr>
                <w:sz w:val="41"/>
              </w:rPr>
            </w:pPr>
          </w:p>
          <w:p>
            <w:pPr>
              <w:pStyle w:val="TableParagraph"/>
              <w:ind w:left="448"/>
              <w:rPr>
                <w:sz w:val="28"/>
              </w:rPr>
            </w:pPr>
            <w:r>
              <w:rPr>
                <w:sz w:val="28"/>
              </w:rPr>
              <w:t>р&lt;0,05</w:t>
            </w:r>
          </w:p>
        </w:tc>
      </w:tr>
      <w:tr>
        <w:trPr>
          <w:trHeight w:val="495" w:hRule="exact"/>
        </w:trPr>
        <w:tc>
          <w:tcPr>
            <w:tcW w:w="2470" w:type="dxa"/>
          </w:tcPr>
          <w:p>
            <w:pPr>
              <w:pStyle w:val="TableParagraph"/>
              <w:spacing w:line="318" w:lineRule="exact"/>
              <w:ind w:left="103"/>
              <w:rPr>
                <w:sz w:val="28"/>
              </w:rPr>
            </w:pPr>
            <w:r>
              <w:rPr>
                <w:sz w:val="28"/>
              </w:rPr>
              <w:t>Муцинозный</w:t>
            </w:r>
          </w:p>
        </w:tc>
        <w:tc>
          <w:tcPr>
            <w:tcW w:w="1618" w:type="dxa"/>
          </w:tcPr>
          <w:p>
            <w:pPr>
              <w:pStyle w:val="TableParagraph"/>
              <w:spacing w:line="318" w:lineRule="exact"/>
              <w:ind w:left="575" w:right="571"/>
              <w:jc w:val="center"/>
              <w:rPr>
                <w:sz w:val="28"/>
              </w:rPr>
            </w:pPr>
            <w:r>
              <w:rPr>
                <w:sz w:val="28"/>
              </w:rPr>
              <w:t>24</w:t>
            </w:r>
          </w:p>
        </w:tc>
        <w:tc>
          <w:tcPr>
            <w:tcW w:w="1467" w:type="dxa"/>
          </w:tcPr>
          <w:p>
            <w:pPr>
              <w:pStyle w:val="TableParagraph"/>
              <w:spacing w:line="318" w:lineRule="exact"/>
              <w:ind w:left="585"/>
              <w:rPr>
                <w:sz w:val="28"/>
              </w:rPr>
            </w:pPr>
            <w:r>
              <w:rPr>
                <w:sz w:val="28"/>
              </w:rPr>
              <w:t>22</w:t>
            </w:r>
          </w:p>
        </w:tc>
        <w:tc>
          <w:tcPr>
            <w:tcW w:w="1892" w:type="dxa"/>
          </w:tcPr>
          <w:p>
            <w:pPr>
              <w:pStyle w:val="TableParagraph"/>
              <w:spacing w:line="318" w:lineRule="exact"/>
              <w:ind w:left="693"/>
              <w:rPr>
                <w:sz w:val="28"/>
              </w:rPr>
            </w:pPr>
            <w:r>
              <w:rPr>
                <w:sz w:val="28"/>
              </w:rPr>
              <w:t>91,7</w:t>
            </w:r>
          </w:p>
        </w:tc>
        <w:tc>
          <w:tcPr>
            <w:tcW w:w="1742" w:type="dxa"/>
            <w:vMerge/>
          </w:tcPr>
          <w:p>
            <w:pPr/>
          </w:p>
        </w:tc>
      </w:tr>
      <w:tr>
        <w:trPr>
          <w:trHeight w:val="492" w:hRule="exact"/>
        </w:trPr>
        <w:tc>
          <w:tcPr>
            <w:tcW w:w="2470" w:type="dxa"/>
          </w:tcPr>
          <w:p>
            <w:pPr>
              <w:pStyle w:val="TableParagraph"/>
              <w:spacing w:line="315" w:lineRule="exact"/>
              <w:ind w:left="103"/>
              <w:rPr>
                <w:sz w:val="28"/>
              </w:rPr>
            </w:pPr>
            <w:r>
              <w:rPr>
                <w:sz w:val="28"/>
              </w:rPr>
              <w:t>Эндометриоидный</w:t>
            </w:r>
          </w:p>
        </w:tc>
        <w:tc>
          <w:tcPr>
            <w:tcW w:w="1618" w:type="dxa"/>
          </w:tcPr>
          <w:p>
            <w:pPr>
              <w:pStyle w:val="TableParagraph"/>
              <w:spacing w:line="315" w:lineRule="exact"/>
              <w:ind w:left="575" w:right="571"/>
              <w:jc w:val="center"/>
              <w:rPr>
                <w:sz w:val="28"/>
              </w:rPr>
            </w:pPr>
            <w:r>
              <w:rPr>
                <w:sz w:val="28"/>
              </w:rPr>
              <w:t>19</w:t>
            </w:r>
          </w:p>
        </w:tc>
        <w:tc>
          <w:tcPr>
            <w:tcW w:w="1467" w:type="dxa"/>
          </w:tcPr>
          <w:p>
            <w:pPr>
              <w:pStyle w:val="TableParagraph"/>
              <w:spacing w:line="315" w:lineRule="exact"/>
              <w:ind w:left="585"/>
              <w:rPr>
                <w:sz w:val="28"/>
              </w:rPr>
            </w:pPr>
            <w:r>
              <w:rPr>
                <w:sz w:val="28"/>
              </w:rPr>
              <w:t>18</w:t>
            </w:r>
          </w:p>
        </w:tc>
        <w:tc>
          <w:tcPr>
            <w:tcW w:w="1892" w:type="dxa"/>
          </w:tcPr>
          <w:p>
            <w:pPr>
              <w:pStyle w:val="TableParagraph"/>
              <w:spacing w:line="315" w:lineRule="exact"/>
              <w:ind w:left="693"/>
              <w:rPr>
                <w:sz w:val="28"/>
              </w:rPr>
            </w:pPr>
            <w:r>
              <w:rPr>
                <w:sz w:val="28"/>
              </w:rPr>
              <w:t>94,7</w:t>
            </w:r>
          </w:p>
        </w:tc>
        <w:tc>
          <w:tcPr>
            <w:tcW w:w="1742" w:type="dxa"/>
            <w:vMerge/>
          </w:tcPr>
          <w:p>
            <w:pPr/>
          </w:p>
        </w:tc>
      </w:tr>
      <w:tr>
        <w:trPr>
          <w:trHeight w:val="494" w:hRule="exact"/>
        </w:trPr>
        <w:tc>
          <w:tcPr>
            <w:tcW w:w="2470" w:type="dxa"/>
          </w:tcPr>
          <w:p>
            <w:pPr>
              <w:pStyle w:val="TableParagraph"/>
              <w:spacing w:line="315" w:lineRule="exact"/>
              <w:ind w:left="103"/>
              <w:rPr>
                <w:sz w:val="28"/>
              </w:rPr>
            </w:pPr>
            <w:r>
              <w:rPr>
                <w:sz w:val="28"/>
              </w:rPr>
              <w:t>Светлоклеточный</w:t>
            </w:r>
          </w:p>
        </w:tc>
        <w:tc>
          <w:tcPr>
            <w:tcW w:w="1618" w:type="dxa"/>
          </w:tcPr>
          <w:p>
            <w:pPr>
              <w:pStyle w:val="TableParagraph"/>
              <w:spacing w:line="315" w:lineRule="exact"/>
              <w:ind w:left="1"/>
              <w:jc w:val="center"/>
              <w:rPr>
                <w:sz w:val="28"/>
              </w:rPr>
            </w:pPr>
            <w:r>
              <w:rPr>
                <w:w w:val="100"/>
                <w:sz w:val="28"/>
              </w:rPr>
              <w:t>2</w:t>
            </w:r>
          </w:p>
        </w:tc>
        <w:tc>
          <w:tcPr>
            <w:tcW w:w="1467" w:type="dxa"/>
          </w:tcPr>
          <w:p>
            <w:pPr>
              <w:pStyle w:val="TableParagraph"/>
              <w:spacing w:line="315" w:lineRule="exact"/>
              <w:ind w:right="1"/>
              <w:jc w:val="center"/>
              <w:rPr>
                <w:sz w:val="28"/>
              </w:rPr>
            </w:pPr>
            <w:r>
              <w:rPr>
                <w:w w:val="100"/>
                <w:sz w:val="28"/>
              </w:rPr>
              <w:t>0</w:t>
            </w:r>
          </w:p>
        </w:tc>
        <w:tc>
          <w:tcPr>
            <w:tcW w:w="1892" w:type="dxa"/>
          </w:tcPr>
          <w:p>
            <w:pPr>
              <w:pStyle w:val="TableParagraph"/>
              <w:spacing w:line="315" w:lineRule="exact"/>
              <w:ind w:left="64"/>
              <w:jc w:val="center"/>
              <w:rPr>
                <w:sz w:val="28"/>
              </w:rPr>
            </w:pPr>
            <w:r>
              <w:rPr>
                <w:w w:val="100"/>
                <w:sz w:val="28"/>
              </w:rPr>
              <w:t>-</w:t>
            </w:r>
          </w:p>
        </w:tc>
        <w:tc>
          <w:tcPr>
            <w:tcW w:w="1742" w:type="dxa"/>
            <w:vMerge/>
          </w:tcPr>
          <w:p>
            <w:pPr/>
          </w:p>
        </w:tc>
      </w:tr>
      <w:tr>
        <w:trPr>
          <w:trHeight w:val="492" w:hRule="exact"/>
        </w:trPr>
        <w:tc>
          <w:tcPr>
            <w:tcW w:w="2470" w:type="dxa"/>
          </w:tcPr>
          <w:p>
            <w:pPr>
              <w:pStyle w:val="TableParagraph"/>
              <w:spacing w:line="315" w:lineRule="exact"/>
              <w:ind w:left="865" w:right="865"/>
              <w:jc w:val="center"/>
              <w:rPr>
                <w:sz w:val="28"/>
              </w:rPr>
            </w:pPr>
            <w:r>
              <w:rPr>
                <w:sz w:val="28"/>
              </w:rPr>
              <w:t>Всего</w:t>
            </w:r>
          </w:p>
        </w:tc>
        <w:tc>
          <w:tcPr>
            <w:tcW w:w="1618" w:type="dxa"/>
          </w:tcPr>
          <w:p>
            <w:pPr>
              <w:pStyle w:val="TableParagraph"/>
              <w:spacing w:line="315" w:lineRule="exact"/>
              <w:ind w:left="575" w:right="572"/>
              <w:jc w:val="center"/>
              <w:rPr>
                <w:sz w:val="28"/>
              </w:rPr>
            </w:pPr>
            <w:r>
              <w:rPr>
                <w:sz w:val="28"/>
              </w:rPr>
              <w:t>134</w:t>
            </w:r>
          </w:p>
        </w:tc>
        <w:tc>
          <w:tcPr>
            <w:tcW w:w="1467" w:type="dxa"/>
          </w:tcPr>
          <w:p>
            <w:pPr>
              <w:pStyle w:val="TableParagraph"/>
              <w:spacing w:line="315" w:lineRule="exact"/>
              <w:ind w:left="515"/>
              <w:rPr>
                <w:sz w:val="28"/>
              </w:rPr>
            </w:pPr>
            <w:r>
              <w:rPr>
                <w:sz w:val="28"/>
              </w:rPr>
              <w:t>113</w:t>
            </w:r>
          </w:p>
        </w:tc>
        <w:tc>
          <w:tcPr>
            <w:tcW w:w="1892" w:type="dxa"/>
          </w:tcPr>
          <w:p>
            <w:pPr>
              <w:pStyle w:val="TableParagraph"/>
              <w:spacing w:line="315" w:lineRule="exact"/>
              <w:ind w:left="693"/>
              <w:rPr>
                <w:sz w:val="28"/>
              </w:rPr>
            </w:pPr>
            <w:r>
              <w:rPr>
                <w:sz w:val="28"/>
              </w:rPr>
              <w:t>84,3</w:t>
            </w:r>
          </w:p>
        </w:tc>
        <w:tc>
          <w:tcPr>
            <w:tcW w:w="1742" w:type="dxa"/>
          </w:tcPr>
          <w:p>
            <w:pPr/>
          </w:p>
        </w:tc>
      </w:tr>
    </w:tbl>
    <w:p>
      <w:pPr>
        <w:pStyle w:val="BodyText"/>
        <w:rPr>
          <w:sz w:val="30"/>
        </w:rPr>
      </w:pPr>
    </w:p>
    <w:p>
      <w:pPr>
        <w:pStyle w:val="BodyText"/>
        <w:spacing w:line="360" w:lineRule="auto" w:before="200"/>
        <w:ind w:left="222" w:right="124" w:firstLine="719"/>
        <w:jc w:val="both"/>
      </w:pPr>
      <w:r>
        <w:rPr/>
        <w:t>В нашем исследовании ухудшение результатов отмечено при умереннодифференцированных и низкодофференцированных опухолях (80,5% и 76,5% соответственно) в сравнении с</w:t>
      </w:r>
    </w:p>
    <w:p>
      <w:pPr>
        <w:spacing w:after="0" w:line="360" w:lineRule="auto"/>
        <w:jc w:val="both"/>
        <w:sectPr>
          <w:headerReference w:type="default" r:id="rId155"/>
          <w:pgSz w:w="11900" w:h="16850"/>
          <w:pgMar w:header="712" w:footer="0" w:top="1020" w:bottom="280" w:left="1480" w:right="1000"/>
          <w:pgNumType w:start="220"/>
        </w:sectPr>
      </w:pPr>
    </w:p>
    <w:p>
      <w:pPr>
        <w:pStyle w:val="BodyText"/>
        <w:rPr>
          <w:sz w:val="20"/>
        </w:rPr>
      </w:pPr>
    </w:p>
    <w:p>
      <w:pPr>
        <w:pStyle w:val="BodyText"/>
        <w:spacing w:before="252"/>
        <w:ind w:left="102"/>
      </w:pPr>
      <w:r>
        <w:rPr/>
        <w:t>высокодифференцированными  (88,2 %) (Табл. 5.9).</w:t>
      </w:r>
    </w:p>
    <w:p>
      <w:pPr>
        <w:pStyle w:val="BodyText"/>
        <w:rPr>
          <w:sz w:val="30"/>
        </w:rPr>
      </w:pPr>
    </w:p>
    <w:p>
      <w:pPr>
        <w:pStyle w:val="BodyText"/>
        <w:rPr>
          <w:sz w:val="30"/>
        </w:rPr>
      </w:pPr>
    </w:p>
    <w:p>
      <w:pPr>
        <w:pStyle w:val="BodyText"/>
        <w:rPr>
          <w:sz w:val="38"/>
        </w:rPr>
      </w:pPr>
    </w:p>
    <w:p>
      <w:pPr>
        <w:pStyle w:val="BodyText"/>
        <w:spacing w:line="360" w:lineRule="auto"/>
        <w:ind w:left="603" w:right="204" w:firstLine="7151"/>
      </w:pPr>
      <w:r>
        <w:rPr/>
        <w:t>Таблица 5.9 Безрецидивная выживаемость  больных  раком яичников I стадии в</w:t>
      </w:r>
    </w:p>
    <w:p>
      <w:pPr>
        <w:pStyle w:val="BodyText"/>
        <w:spacing w:before="7"/>
        <w:ind w:left="1544"/>
      </w:pPr>
      <w:r>
        <w:rPr/>
        <w:t>зависимости от степени дифференцировки опухоли</w:t>
      </w:r>
    </w:p>
    <w:p>
      <w:pPr>
        <w:pStyle w:val="BodyText"/>
        <w:spacing w:before="6"/>
        <w:rPr>
          <w:sz w:val="14"/>
        </w:rPr>
      </w:pPr>
    </w:p>
    <w:tbl>
      <w:tblPr>
        <w:tblW w:w="0" w:type="auto"/>
        <w:jc w:val="left"/>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1615"/>
        <w:gridCol w:w="1740"/>
        <w:gridCol w:w="2189"/>
        <w:gridCol w:w="1085"/>
      </w:tblGrid>
      <w:tr>
        <w:trPr>
          <w:trHeight w:val="653" w:hRule="exact"/>
        </w:trPr>
        <w:tc>
          <w:tcPr>
            <w:tcW w:w="2410" w:type="dxa"/>
            <w:vMerge w:val="restart"/>
          </w:tcPr>
          <w:p>
            <w:pPr>
              <w:pStyle w:val="TableParagraph"/>
              <w:spacing w:before="41"/>
              <w:ind w:left="103" w:right="104"/>
              <w:jc w:val="center"/>
              <w:rPr>
                <w:sz w:val="28"/>
              </w:rPr>
            </w:pPr>
            <w:r>
              <w:rPr>
                <w:sz w:val="28"/>
              </w:rPr>
              <w:t>Степень дифференцировки опухоли</w:t>
            </w:r>
          </w:p>
        </w:tc>
        <w:tc>
          <w:tcPr>
            <w:tcW w:w="1615" w:type="dxa"/>
            <w:vMerge w:val="restart"/>
          </w:tcPr>
          <w:p>
            <w:pPr>
              <w:pStyle w:val="TableParagraph"/>
              <w:spacing w:before="201"/>
              <w:ind w:left="287" w:right="86" w:hanging="188"/>
              <w:rPr>
                <w:sz w:val="28"/>
              </w:rPr>
            </w:pPr>
            <w:r>
              <w:rPr>
                <w:sz w:val="28"/>
              </w:rPr>
              <w:t>Количество больных</w:t>
            </w:r>
          </w:p>
        </w:tc>
        <w:tc>
          <w:tcPr>
            <w:tcW w:w="3930" w:type="dxa"/>
            <w:gridSpan w:val="2"/>
          </w:tcPr>
          <w:p>
            <w:pPr>
              <w:pStyle w:val="TableParagraph"/>
              <w:spacing w:line="315" w:lineRule="exact"/>
              <w:ind w:left="542"/>
              <w:rPr>
                <w:sz w:val="28"/>
              </w:rPr>
            </w:pPr>
            <w:r>
              <w:rPr>
                <w:sz w:val="28"/>
              </w:rPr>
              <w:t>3-летняя выживаемость</w:t>
            </w:r>
          </w:p>
        </w:tc>
        <w:tc>
          <w:tcPr>
            <w:tcW w:w="1085" w:type="dxa"/>
            <w:vMerge w:val="restart"/>
          </w:tcPr>
          <w:p>
            <w:pPr>
              <w:pStyle w:val="TableParagraph"/>
              <w:spacing w:before="6"/>
              <w:rPr>
                <w:sz w:val="31"/>
              </w:rPr>
            </w:pPr>
          </w:p>
          <w:p>
            <w:pPr>
              <w:pStyle w:val="TableParagraph"/>
              <w:ind w:left="1"/>
              <w:jc w:val="center"/>
              <w:rPr>
                <w:sz w:val="28"/>
              </w:rPr>
            </w:pPr>
            <w:r>
              <w:rPr>
                <w:w w:val="100"/>
                <w:sz w:val="28"/>
              </w:rPr>
              <w:t>р</w:t>
            </w:r>
          </w:p>
        </w:tc>
      </w:tr>
      <w:tr>
        <w:trPr>
          <w:trHeight w:val="418" w:hRule="exact"/>
        </w:trPr>
        <w:tc>
          <w:tcPr>
            <w:tcW w:w="2410" w:type="dxa"/>
            <w:vMerge/>
          </w:tcPr>
          <w:p>
            <w:pPr/>
          </w:p>
        </w:tc>
        <w:tc>
          <w:tcPr>
            <w:tcW w:w="1615" w:type="dxa"/>
            <w:vMerge/>
          </w:tcPr>
          <w:p>
            <w:pPr/>
          </w:p>
        </w:tc>
        <w:tc>
          <w:tcPr>
            <w:tcW w:w="1740" w:type="dxa"/>
          </w:tcPr>
          <w:p>
            <w:pPr>
              <w:pStyle w:val="TableParagraph"/>
              <w:spacing w:before="36"/>
              <w:jc w:val="center"/>
              <w:rPr>
                <w:sz w:val="28"/>
              </w:rPr>
            </w:pPr>
            <w:r>
              <w:rPr>
                <w:w w:val="100"/>
                <w:sz w:val="28"/>
              </w:rPr>
              <w:t>n</w:t>
            </w:r>
          </w:p>
        </w:tc>
        <w:tc>
          <w:tcPr>
            <w:tcW w:w="2189" w:type="dxa"/>
          </w:tcPr>
          <w:p>
            <w:pPr>
              <w:pStyle w:val="TableParagraph"/>
              <w:spacing w:before="36"/>
              <w:ind w:right="1"/>
              <w:jc w:val="center"/>
              <w:rPr>
                <w:sz w:val="28"/>
              </w:rPr>
            </w:pPr>
            <w:r>
              <w:rPr>
                <w:w w:val="100"/>
                <w:sz w:val="28"/>
              </w:rPr>
              <w:t>%</w:t>
            </w:r>
          </w:p>
        </w:tc>
        <w:tc>
          <w:tcPr>
            <w:tcW w:w="1085" w:type="dxa"/>
            <w:vMerge/>
          </w:tcPr>
          <w:p>
            <w:pPr/>
          </w:p>
        </w:tc>
      </w:tr>
      <w:tr>
        <w:trPr>
          <w:trHeight w:val="655" w:hRule="exact"/>
        </w:trPr>
        <w:tc>
          <w:tcPr>
            <w:tcW w:w="2410" w:type="dxa"/>
          </w:tcPr>
          <w:p>
            <w:pPr>
              <w:pStyle w:val="TableParagraph"/>
              <w:spacing w:before="156"/>
              <w:ind w:left="103" w:right="103"/>
              <w:jc w:val="center"/>
              <w:rPr>
                <w:sz w:val="28"/>
              </w:rPr>
            </w:pPr>
            <w:r>
              <w:rPr>
                <w:sz w:val="28"/>
              </w:rPr>
              <w:t>Высокая (G</w:t>
            </w:r>
            <w:r>
              <w:rPr>
                <w:position w:val="-3"/>
                <w:sz w:val="18"/>
              </w:rPr>
              <w:t>1</w:t>
            </w:r>
            <w:r>
              <w:rPr>
                <w:sz w:val="28"/>
              </w:rPr>
              <w:t>)</w:t>
            </w:r>
          </w:p>
        </w:tc>
        <w:tc>
          <w:tcPr>
            <w:tcW w:w="1615" w:type="dxa"/>
          </w:tcPr>
          <w:p>
            <w:pPr>
              <w:pStyle w:val="TableParagraph"/>
              <w:spacing w:line="317" w:lineRule="exact"/>
              <w:ind w:left="572" w:right="572"/>
              <w:jc w:val="center"/>
              <w:rPr>
                <w:sz w:val="28"/>
              </w:rPr>
            </w:pPr>
            <w:r>
              <w:rPr>
                <w:sz w:val="28"/>
              </w:rPr>
              <w:t>76</w:t>
            </w:r>
          </w:p>
        </w:tc>
        <w:tc>
          <w:tcPr>
            <w:tcW w:w="1740" w:type="dxa"/>
          </w:tcPr>
          <w:p>
            <w:pPr>
              <w:pStyle w:val="TableParagraph"/>
              <w:spacing w:before="156"/>
              <w:ind w:left="635" w:right="633"/>
              <w:jc w:val="center"/>
              <w:rPr>
                <w:sz w:val="28"/>
              </w:rPr>
            </w:pPr>
            <w:r>
              <w:rPr>
                <w:sz w:val="28"/>
              </w:rPr>
              <w:t>67</w:t>
            </w:r>
          </w:p>
        </w:tc>
        <w:tc>
          <w:tcPr>
            <w:tcW w:w="2189" w:type="dxa"/>
          </w:tcPr>
          <w:p>
            <w:pPr>
              <w:pStyle w:val="TableParagraph"/>
              <w:spacing w:before="156"/>
              <w:ind w:left="824" w:right="824"/>
              <w:jc w:val="center"/>
              <w:rPr>
                <w:sz w:val="28"/>
              </w:rPr>
            </w:pPr>
            <w:r>
              <w:rPr>
                <w:sz w:val="28"/>
              </w:rPr>
              <w:t>88,2</w:t>
            </w:r>
          </w:p>
        </w:tc>
        <w:tc>
          <w:tcPr>
            <w:tcW w:w="1085" w:type="dxa"/>
            <w:vMerge w:val="restart"/>
          </w:tcPr>
          <w:p>
            <w:pPr>
              <w:pStyle w:val="TableParagraph"/>
              <w:rPr>
                <w:sz w:val="30"/>
              </w:rPr>
            </w:pPr>
          </w:p>
          <w:p>
            <w:pPr>
              <w:pStyle w:val="TableParagraph"/>
              <w:rPr>
                <w:sz w:val="30"/>
              </w:rPr>
            </w:pPr>
          </w:p>
          <w:p>
            <w:pPr>
              <w:pStyle w:val="TableParagraph"/>
              <w:spacing w:before="3"/>
              <w:rPr>
                <w:sz w:val="24"/>
              </w:rPr>
            </w:pPr>
          </w:p>
          <w:p>
            <w:pPr>
              <w:pStyle w:val="TableParagraph"/>
              <w:spacing w:before="1"/>
              <w:ind w:left="144"/>
              <w:rPr>
                <w:sz w:val="28"/>
              </w:rPr>
            </w:pPr>
            <w:r>
              <w:rPr>
                <w:sz w:val="28"/>
              </w:rPr>
              <w:t>р&lt;0,05</w:t>
            </w:r>
          </w:p>
        </w:tc>
      </w:tr>
      <w:tr>
        <w:trPr>
          <w:trHeight w:val="653" w:hRule="exact"/>
        </w:trPr>
        <w:tc>
          <w:tcPr>
            <w:tcW w:w="2410" w:type="dxa"/>
          </w:tcPr>
          <w:p>
            <w:pPr>
              <w:pStyle w:val="TableParagraph"/>
              <w:spacing w:before="153"/>
              <w:ind w:left="103" w:right="103"/>
              <w:jc w:val="center"/>
              <w:rPr>
                <w:sz w:val="28"/>
              </w:rPr>
            </w:pPr>
            <w:r>
              <w:rPr>
                <w:sz w:val="28"/>
              </w:rPr>
              <w:t>Умеренная (G</w:t>
            </w:r>
            <w:r>
              <w:rPr>
                <w:position w:val="-3"/>
                <w:sz w:val="18"/>
              </w:rPr>
              <w:t>2</w:t>
            </w:r>
            <w:r>
              <w:rPr>
                <w:sz w:val="28"/>
              </w:rPr>
              <w:t>)</w:t>
            </w:r>
          </w:p>
        </w:tc>
        <w:tc>
          <w:tcPr>
            <w:tcW w:w="1615" w:type="dxa"/>
          </w:tcPr>
          <w:p>
            <w:pPr>
              <w:pStyle w:val="TableParagraph"/>
              <w:spacing w:line="315" w:lineRule="exact"/>
              <w:ind w:left="572" w:right="572"/>
              <w:jc w:val="center"/>
              <w:rPr>
                <w:sz w:val="28"/>
              </w:rPr>
            </w:pPr>
            <w:r>
              <w:rPr>
                <w:sz w:val="28"/>
              </w:rPr>
              <w:t>41</w:t>
            </w:r>
          </w:p>
        </w:tc>
        <w:tc>
          <w:tcPr>
            <w:tcW w:w="1740" w:type="dxa"/>
          </w:tcPr>
          <w:p>
            <w:pPr>
              <w:pStyle w:val="TableParagraph"/>
              <w:spacing w:before="153"/>
              <w:ind w:left="635" w:right="633"/>
              <w:jc w:val="center"/>
              <w:rPr>
                <w:sz w:val="28"/>
              </w:rPr>
            </w:pPr>
            <w:r>
              <w:rPr>
                <w:sz w:val="28"/>
              </w:rPr>
              <w:t>33</w:t>
            </w:r>
          </w:p>
        </w:tc>
        <w:tc>
          <w:tcPr>
            <w:tcW w:w="2189" w:type="dxa"/>
          </w:tcPr>
          <w:p>
            <w:pPr>
              <w:pStyle w:val="TableParagraph"/>
              <w:spacing w:before="153"/>
              <w:ind w:left="824" w:right="824"/>
              <w:jc w:val="center"/>
              <w:rPr>
                <w:sz w:val="28"/>
              </w:rPr>
            </w:pPr>
            <w:r>
              <w:rPr>
                <w:sz w:val="28"/>
              </w:rPr>
              <w:t>80,5</w:t>
            </w:r>
          </w:p>
        </w:tc>
        <w:tc>
          <w:tcPr>
            <w:tcW w:w="1085" w:type="dxa"/>
            <w:vMerge/>
          </w:tcPr>
          <w:p>
            <w:pPr/>
          </w:p>
        </w:tc>
      </w:tr>
      <w:tr>
        <w:trPr>
          <w:trHeight w:val="655" w:hRule="exact"/>
        </w:trPr>
        <w:tc>
          <w:tcPr>
            <w:tcW w:w="2410" w:type="dxa"/>
          </w:tcPr>
          <w:p>
            <w:pPr>
              <w:pStyle w:val="TableParagraph"/>
              <w:spacing w:before="156"/>
              <w:ind w:left="103" w:right="104"/>
              <w:jc w:val="center"/>
              <w:rPr>
                <w:sz w:val="28"/>
              </w:rPr>
            </w:pPr>
            <w:r>
              <w:rPr>
                <w:sz w:val="28"/>
              </w:rPr>
              <w:t>Низкая (G</w:t>
            </w:r>
            <w:r>
              <w:rPr>
                <w:position w:val="-3"/>
                <w:sz w:val="18"/>
              </w:rPr>
              <w:t>3</w:t>
            </w:r>
            <w:r>
              <w:rPr>
                <w:sz w:val="28"/>
              </w:rPr>
              <w:t>)</w:t>
            </w:r>
          </w:p>
        </w:tc>
        <w:tc>
          <w:tcPr>
            <w:tcW w:w="1615" w:type="dxa"/>
          </w:tcPr>
          <w:p>
            <w:pPr>
              <w:pStyle w:val="TableParagraph"/>
              <w:spacing w:line="317" w:lineRule="exact"/>
              <w:ind w:left="572" w:right="572"/>
              <w:jc w:val="center"/>
              <w:rPr>
                <w:sz w:val="28"/>
              </w:rPr>
            </w:pPr>
            <w:r>
              <w:rPr>
                <w:sz w:val="28"/>
              </w:rPr>
              <w:t>17</w:t>
            </w:r>
          </w:p>
        </w:tc>
        <w:tc>
          <w:tcPr>
            <w:tcW w:w="1740" w:type="dxa"/>
          </w:tcPr>
          <w:p>
            <w:pPr>
              <w:pStyle w:val="TableParagraph"/>
              <w:spacing w:before="156"/>
              <w:ind w:left="635" w:right="633"/>
              <w:jc w:val="center"/>
              <w:rPr>
                <w:sz w:val="28"/>
              </w:rPr>
            </w:pPr>
            <w:r>
              <w:rPr>
                <w:sz w:val="28"/>
              </w:rPr>
              <w:t>13</w:t>
            </w:r>
          </w:p>
        </w:tc>
        <w:tc>
          <w:tcPr>
            <w:tcW w:w="2189" w:type="dxa"/>
          </w:tcPr>
          <w:p>
            <w:pPr>
              <w:pStyle w:val="TableParagraph"/>
              <w:spacing w:before="156"/>
              <w:ind w:left="824" w:right="824"/>
              <w:jc w:val="center"/>
              <w:rPr>
                <w:sz w:val="28"/>
              </w:rPr>
            </w:pPr>
            <w:r>
              <w:rPr>
                <w:sz w:val="28"/>
              </w:rPr>
              <w:t>76,5</w:t>
            </w:r>
          </w:p>
        </w:tc>
        <w:tc>
          <w:tcPr>
            <w:tcW w:w="1085" w:type="dxa"/>
            <w:vMerge/>
          </w:tcPr>
          <w:p>
            <w:pPr/>
          </w:p>
        </w:tc>
      </w:tr>
      <w:tr>
        <w:trPr>
          <w:trHeight w:val="655" w:hRule="exact"/>
        </w:trPr>
        <w:tc>
          <w:tcPr>
            <w:tcW w:w="2410" w:type="dxa"/>
          </w:tcPr>
          <w:p>
            <w:pPr>
              <w:pStyle w:val="TableParagraph"/>
              <w:spacing w:before="153"/>
              <w:ind w:left="102" w:right="104"/>
              <w:jc w:val="center"/>
              <w:rPr>
                <w:sz w:val="28"/>
              </w:rPr>
            </w:pPr>
            <w:r>
              <w:rPr>
                <w:sz w:val="28"/>
              </w:rPr>
              <w:t>Всего</w:t>
            </w:r>
          </w:p>
        </w:tc>
        <w:tc>
          <w:tcPr>
            <w:tcW w:w="1615" w:type="dxa"/>
          </w:tcPr>
          <w:p>
            <w:pPr>
              <w:pStyle w:val="TableParagraph"/>
              <w:spacing w:line="315" w:lineRule="exact"/>
              <w:ind w:left="572" w:right="573"/>
              <w:jc w:val="center"/>
              <w:rPr>
                <w:sz w:val="28"/>
              </w:rPr>
            </w:pPr>
            <w:r>
              <w:rPr>
                <w:sz w:val="28"/>
              </w:rPr>
              <w:t>134</w:t>
            </w:r>
          </w:p>
        </w:tc>
        <w:tc>
          <w:tcPr>
            <w:tcW w:w="1740" w:type="dxa"/>
          </w:tcPr>
          <w:p>
            <w:pPr>
              <w:pStyle w:val="TableParagraph"/>
              <w:spacing w:before="153"/>
              <w:ind w:left="635" w:right="634"/>
              <w:jc w:val="center"/>
              <w:rPr>
                <w:sz w:val="28"/>
              </w:rPr>
            </w:pPr>
            <w:r>
              <w:rPr>
                <w:sz w:val="28"/>
              </w:rPr>
              <w:t>113</w:t>
            </w:r>
          </w:p>
        </w:tc>
        <w:tc>
          <w:tcPr>
            <w:tcW w:w="2189" w:type="dxa"/>
          </w:tcPr>
          <w:p>
            <w:pPr>
              <w:pStyle w:val="TableParagraph"/>
              <w:spacing w:before="153"/>
              <w:ind w:left="824" w:right="824"/>
              <w:jc w:val="center"/>
              <w:rPr>
                <w:sz w:val="28"/>
              </w:rPr>
            </w:pPr>
            <w:r>
              <w:rPr>
                <w:sz w:val="28"/>
              </w:rPr>
              <w:t>84,3</w:t>
            </w:r>
          </w:p>
        </w:tc>
        <w:tc>
          <w:tcPr>
            <w:tcW w:w="1085" w:type="dxa"/>
          </w:tcPr>
          <w:p>
            <w:pPr/>
          </w:p>
        </w:tc>
      </w:tr>
    </w:tbl>
    <w:p>
      <w:pPr>
        <w:pStyle w:val="BodyText"/>
        <w:rPr>
          <w:sz w:val="30"/>
        </w:rPr>
      </w:pPr>
    </w:p>
    <w:p>
      <w:pPr>
        <w:pStyle w:val="BodyText"/>
        <w:spacing w:before="4"/>
        <w:rPr>
          <w:sz w:val="25"/>
        </w:rPr>
      </w:pPr>
    </w:p>
    <w:p>
      <w:pPr>
        <w:pStyle w:val="BodyText"/>
        <w:tabs>
          <w:tab w:pos="3189" w:val="left" w:leader="none"/>
          <w:tab w:pos="5524" w:val="left" w:leader="none"/>
          <w:tab w:pos="6517" w:val="left" w:leader="none"/>
          <w:tab w:pos="8477" w:val="left" w:leader="none"/>
        </w:tabs>
        <w:spacing w:line="360" w:lineRule="auto"/>
        <w:ind w:left="102" w:right="223" w:firstLine="719"/>
        <w:jc w:val="both"/>
      </w:pPr>
      <w:r>
        <w:rPr/>
        <w:t>В нашей работе исследована зависимость 3-летней выживаемости от гистологического типа опухоли и её дифференцировки. Различия для эндометриоидных,</w:t>
        <w:tab/>
        <w:t>муцинозных</w:t>
        <w:tab/>
        <w:t>и</w:t>
        <w:tab/>
        <w:t>серозных</w:t>
        <w:tab/>
        <w:t>типов высокодифференцированных опухолей оказались статистически недостоверны. Таким образом, показатели выживаемости оказались значительно выше у больных с высокой степенью дифференцировки для всех гистотипов</w:t>
      </w:r>
      <w:r>
        <w:rPr>
          <w:spacing w:val="-12"/>
        </w:rPr>
        <w:t> </w:t>
      </w:r>
      <w:r>
        <w:rPr/>
        <w:t>опухоли.</w:t>
      </w:r>
    </w:p>
    <w:p>
      <w:pPr>
        <w:pStyle w:val="BodyText"/>
        <w:spacing w:line="360" w:lineRule="auto" w:before="5"/>
        <w:ind w:left="102" w:right="360" w:firstLine="719"/>
        <w:jc w:val="both"/>
      </w:pPr>
      <w:r>
        <w:rPr/>
        <w:t>У всех 134 оперированных больных раком яичников I стадии, проведены интраоперационные цитологические исследования мазков- отпечатков, полученных с поверхности брюшины малого таза,  диафрагмы, печени, а в 23 случаях выполненная лапаротомия была дополнена биопсией забрюшинных лимфатических узлов. У 86 (64,2%) опухолевые клетки в исследуемом материале не обнаруживались, а у 48 (35,8%) – присутствовали. Трехлетняя безрецидивная выживаемость</w:t>
      </w:r>
      <w:r>
        <w:rPr>
          <w:spacing w:val="-26"/>
        </w:rPr>
        <w:t> </w:t>
      </w:r>
      <w:r>
        <w:rPr/>
        <w:t>была</w:t>
      </w:r>
    </w:p>
    <w:p>
      <w:pPr>
        <w:spacing w:after="0" w:line="360" w:lineRule="auto"/>
        <w:jc w:val="both"/>
        <w:sectPr>
          <w:pgSz w:w="11900" w:h="16850"/>
          <w:pgMar w:header="712" w:footer="0" w:top="1020" w:bottom="280" w:left="1600" w:right="900"/>
        </w:sectPr>
      </w:pPr>
    </w:p>
    <w:p>
      <w:pPr>
        <w:pStyle w:val="BodyText"/>
        <w:rPr>
          <w:sz w:val="20"/>
        </w:rPr>
      </w:pPr>
    </w:p>
    <w:p>
      <w:pPr>
        <w:pStyle w:val="BodyText"/>
        <w:spacing w:line="362" w:lineRule="auto" w:before="252"/>
        <w:ind w:left="122" w:right="606"/>
      </w:pPr>
      <w:r>
        <w:rPr/>
        <w:t>значительно ниже у больных с положительными результатами мазков- отпечатков (Табл. 5.10).</w:t>
      </w:r>
    </w:p>
    <w:p>
      <w:pPr>
        <w:pStyle w:val="BodyText"/>
        <w:rPr>
          <w:sz w:val="30"/>
        </w:rPr>
      </w:pPr>
    </w:p>
    <w:p>
      <w:pPr>
        <w:pStyle w:val="BodyText"/>
        <w:rPr>
          <w:sz w:val="30"/>
        </w:rPr>
      </w:pPr>
    </w:p>
    <w:p>
      <w:pPr>
        <w:pStyle w:val="BodyText"/>
        <w:spacing w:before="4"/>
        <w:rPr>
          <w:sz w:val="24"/>
        </w:rPr>
      </w:pPr>
    </w:p>
    <w:p>
      <w:pPr>
        <w:pStyle w:val="BodyText"/>
        <w:spacing w:line="640" w:lineRule="atLeast"/>
        <w:ind w:left="729" w:right="205" w:firstLine="6904"/>
      </w:pPr>
      <w:r>
        <w:rPr/>
        <w:t>Таблица 5.10 Безрецидивная выживаемость больных раком яичников I стадии в</w:t>
      </w:r>
    </w:p>
    <w:p>
      <w:pPr>
        <w:pStyle w:val="BodyText"/>
        <w:spacing w:before="160"/>
        <w:ind w:left="1833"/>
      </w:pPr>
      <w:r>
        <w:rPr/>
        <w:t>зависимости от результатов мазков-отпечатков</w:t>
      </w:r>
    </w:p>
    <w:p>
      <w:pPr>
        <w:pStyle w:val="BodyText"/>
        <w:rPr>
          <w:sz w:val="20"/>
        </w:rPr>
      </w:pPr>
    </w:p>
    <w:p>
      <w:pPr>
        <w:pStyle w:val="BodyText"/>
        <w:rPr>
          <w:sz w:val="20"/>
        </w:rPr>
      </w:pPr>
    </w:p>
    <w:p>
      <w:pPr>
        <w:pStyle w:val="BodyText"/>
        <w:spacing w:before="5"/>
        <w:rPr>
          <w:sz w:val="1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5"/>
        <w:gridCol w:w="1618"/>
        <w:gridCol w:w="2012"/>
        <w:gridCol w:w="2129"/>
        <w:gridCol w:w="1238"/>
      </w:tblGrid>
      <w:tr>
        <w:trPr>
          <w:trHeight w:val="655" w:hRule="exact"/>
        </w:trPr>
        <w:tc>
          <w:tcPr>
            <w:tcW w:w="2185" w:type="dxa"/>
            <w:vMerge w:val="restart"/>
          </w:tcPr>
          <w:p>
            <w:pPr>
              <w:pStyle w:val="TableParagraph"/>
              <w:spacing w:line="480" w:lineRule="auto"/>
              <w:ind w:left="81" w:right="83"/>
              <w:jc w:val="center"/>
              <w:rPr>
                <w:sz w:val="28"/>
              </w:rPr>
            </w:pPr>
            <w:r>
              <w:rPr>
                <w:sz w:val="28"/>
              </w:rPr>
              <w:t>Результаты Мазков- отпечатков</w:t>
            </w:r>
          </w:p>
        </w:tc>
        <w:tc>
          <w:tcPr>
            <w:tcW w:w="1618" w:type="dxa"/>
            <w:vMerge w:val="restart"/>
          </w:tcPr>
          <w:p>
            <w:pPr>
              <w:pStyle w:val="TableParagraph"/>
              <w:spacing w:line="480" w:lineRule="auto"/>
              <w:ind w:left="290" w:right="85" w:hanging="188"/>
              <w:rPr>
                <w:sz w:val="28"/>
              </w:rPr>
            </w:pPr>
            <w:r>
              <w:rPr>
                <w:sz w:val="28"/>
              </w:rPr>
              <w:t>Количество больных</w:t>
            </w:r>
          </w:p>
        </w:tc>
        <w:tc>
          <w:tcPr>
            <w:tcW w:w="4141" w:type="dxa"/>
            <w:gridSpan w:val="2"/>
          </w:tcPr>
          <w:p>
            <w:pPr>
              <w:pStyle w:val="TableParagraph"/>
              <w:spacing w:line="317" w:lineRule="exact"/>
              <w:ind w:left="648"/>
              <w:rPr>
                <w:sz w:val="28"/>
              </w:rPr>
            </w:pPr>
            <w:r>
              <w:rPr>
                <w:sz w:val="28"/>
              </w:rPr>
              <w:t>3-летняя выживаемость</w:t>
            </w:r>
          </w:p>
        </w:tc>
        <w:tc>
          <w:tcPr>
            <w:tcW w:w="1238" w:type="dxa"/>
            <w:vMerge w:val="restart"/>
          </w:tcPr>
          <w:p>
            <w:pPr>
              <w:pStyle w:val="TableParagraph"/>
              <w:rPr>
                <w:sz w:val="30"/>
              </w:rPr>
            </w:pPr>
          </w:p>
          <w:p>
            <w:pPr>
              <w:pStyle w:val="TableParagraph"/>
              <w:spacing w:before="6"/>
              <w:rPr>
                <w:sz w:val="25"/>
              </w:rPr>
            </w:pPr>
          </w:p>
          <w:p>
            <w:pPr>
              <w:pStyle w:val="TableParagraph"/>
              <w:ind w:left="1"/>
              <w:jc w:val="center"/>
              <w:rPr>
                <w:sz w:val="28"/>
              </w:rPr>
            </w:pPr>
            <w:r>
              <w:rPr>
                <w:w w:val="100"/>
                <w:sz w:val="28"/>
              </w:rPr>
              <w:t>р</w:t>
            </w:r>
          </w:p>
        </w:tc>
      </w:tr>
      <w:tr>
        <w:trPr>
          <w:trHeight w:val="1289" w:hRule="exact"/>
        </w:trPr>
        <w:tc>
          <w:tcPr>
            <w:tcW w:w="2185" w:type="dxa"/>
            <w:vMerge/>
          </w:tcPr>
          <w:p>
            <w:pPr/>
          </w:p>
        </w:tc>
        <w:tc>
          <w:tcPr>
            <w:tcW w:w="1618" w:type="dxa"/>
            <w:vMerge/>
          </w:tcPr>
          <w:p>
            <w:pPr/>
          </w:p>
        </w:tc>
        <w:tc>
          <w:tcPr>
            <w:tcW w:w="2012" w:type="dxa"/>
          </w:tcPr>
          <w:p>
            <w:pPr>
              <w:pStyle w:val="TableParagraph"/>
              <w:spacing w:line="315" w:lineRule="exact"/>
              <w:ind w:left="1"/>
              <w:jc w:val="center"/>
              <w:rPr>
                <w:sz w:val="28"/>
              </w:rPr>
            </w:pPr>
            <w:r>
              <w:rPr>
                <w:w w:val="100"/>
                <w:sz w:val="28"/>
              </w:rPr>
              <w:t>n</w:t>
            </w:r>
          </w:p>
        </w:tc>
        <w:tc>
          <w:tcPr>
            <w:tcW w:w="2129" w:type="dxa"/>
          </w:tcPr>
          <w:p>
            <w:pPr>
              <w:pStyle w:val="TableParagraph"/>
              <w:spacing w:line="315" w:lineRule="exact"/>
              <w:ind w:right="875"/>
              <w:jc w:val="right"/>
              <w:rPr>
                <w:sz w:val="28"/>
              </w:rPr>
            </w:pPr>
            <w:r>
              <w:rPr>
                <w:w w:val="100"/>
                <w:sz w:val="28"/>
              </w:rPr>
              <w:t>%</w:t>
            </w:r>
          </w:p>
        </w:tc>
        <w:tc>
          <w:tcPr>
            <w:tcW w:w="1238" w:type="dxa"/>
            <w:vMerge/>
          </w:tcPr>
          <w:p>
            <w:pPr/>
          </w:p>
        </w:tc>
      </w:tr>
      <w:tr>
        <w:trPr>
          <w:trHeight w:val="653" w:hRule="exact"/>
        </w:trPr>
        <w:tc>
          <w:tcPr>
            <w:tcW w:w="2185" w:type="dxa"/>
          </w:tcPr>
          <w:p>
            <w:pPr>
              <w:pStyle w:val="TableParagraph"/>
              <w:spacing w:line="315" w:lineRule="exact"/>
              <w:ind w:left="83" w:right="83"/>
              <w:jc w:val="center"/>
              <w:rPr>
                <w:sz w:val="28"/>
              </w:rPr>
            </w:pPr>
            <w:r>
              <w:rPr>
                <w:sz w:val="28"/>
              </w:rPr>
              <w:t>Отрицательный</w:t>
            </w:r>
          </w:p>
        </w:tc>
        <w:tc>
          <w:tcPr>
            <w:tcW w:w="1618" w:type="dxa"/>
          </w:tcPr>
          <w:p>
            <w:pPr>
              <w:pStyle w:val="TableParagraph"/>
              <w:spacing w:line="315" w:lineRule="exact"/>
              <w:ind w:left="662"/>
              <w:rPr>
                <w:sz w:val="28"/>
              </w:rPr>
            </w:pPr>
            <w:r>
              <w:rPr>
                <w:sz w:val="28"/>
              </w:rPr>
              <w:t>86</w:t>
            </w:r>
          </w:p>
        </w:tc>
        <w:tc>
          <w:tcPr>
            <w:tcW w:w="2012" w:type="dxa"/>
          </w:tcPr>
          <w:p>
            <w:pPr>
              <w:pStyle w:val="TableParagraph"/>
              <w:spacing w:line="315" w:lineRule="exact"/>
              <w:ind w:right="857"/>
              <w:jc w:val="right"/>
              <w:rPr>
                <w:sz w:val="28"/>
              </w:rPr>
            </w:pPr>
            <w:r>
              <w:rPr>
                <w:sz w:val="28"/>
              </w:rPr>
              <w:t>78</w:t>
            </w:r>
          </w:p>
        </w:tc>
        <w:tc>
          <w:tcPr>
            <w:tcW w:w="2129" w:type="dxa"/>
          </w:tcPr>
          <w:p>
            <w:pPr>
              <w:pStyle w:val="TableParagraph"/>
              <w:spacing w:line="315" w:lineRule="exact"/>
              <w:ind w:right="815"/>
              <w:jc w:val="right"/>
              <w:rPr>
                <w:sz w:val="28"/>
              </w:rPr>
            </w:pPr>
            <w:r>
              <w:rPr>
                <w:sz w:val="28"/>
              </w:rPr>
              <w:t>90,7</w:t>
            </w:r>
          </w:p>
        </w:tc>
        <w:tc>
          <w:tcPr>
            <w:tcW w:w="1238" w:type="dxa"/>
            <w:vMerge w:val="restart"/>
          </w:tcPr>
          <w:p>
            <w:pPr>
              <w:pStyle w:val="TableParagraph"/>
              <w:rPr>
                <w:sz w:val="30"/>
              </w:rPr>
            </w:pPr>
          </w:p>
          <w:p>
            <w:pPr>
              <w:pStyle w:val="TableParagraph"/>
              <w:spacing w:before="4"/>
              <w:rPr>
                <w:sz w:val="25"/>
              </w:rPr>
            </w:pPr>
          </w:p>
          <w:p>
            <w:pPr>
              <w:pStyle w:val="TableParagraph"/>
              <w:ind w:left="220"/>
              <w:rPr>
                <w:sz w:val="28"/>
              </w:rPr>
            </w:pPr>
            <w:r>
              <w:rPr>
                <w:sz w:val="28"/>
              </w:rPr>
              <w:t>р&lt;0,05</w:t>
            </w:r>
          </w:p>
        </w:tc>
      </w:tr>
      <w:tr>
        <w:trPr>
          <w:trHeight w:val="655" w:hRule="exact"/>
        </w:trPr>
        <w:tc>
          <w:tcPr>
            <w:tcW w:w="2185" w:type="dxa"/>
          </w:tcPr>
          <w:p>
            <w:pPr>
              <w:pStyle w:val="TableParagraph"/>
              <w:spacing w:line="315" w:lineRule="exact"/>
              <w:ind w:left="83" w:right="83"/>
              <w:jc w:val="center"/>
              <w:rPr>
                <w:sz w:val="28"/>
              </w:rPr>
            </w:pPr>
            <w:r>
              <w:rPr>
                <w:sz w:val="28"/>
              </w:rPr>
              <w:t>Положительный</w:t>
            </w:r>
          </w:p>
        </w:tc>
        <w:tc>
          <w:tcPr>
            <w:tcW w:w="1618" w:type="dxa"/>
          </w:tcPr>
          <w:p>
            <w:pPr>
              <w:pStyle w:val="TableParagraph"/>
              <w:spacing w:line="315" w:lineRule="exact"/>
              <w:ind w:left="662"/>
              <w:rPr>
                <w:sz w:val="28"/>
              </w:rPr>
            </w:pPr>
            <w:r>
              <w:rPr>
                <w:sz w:val="28"/>
              </w:rPr>
              <w:t>48</w:t>
            </w:r>
          </w:p>
        </w:tc>
        <w:tc>
          <w:tcPr>
            <w:tcW w:w="2012" w:type="dxa"/>
          </w:tcPr>
          <w:p>
            <w:pPr>
              <w:pStyle w:val="TableParagraph"/>
              <w:spacing w:line="315" w:lineRule="exact"/>
              <w:ind w:right="857"/>
              <w:jc w:val="right"/>
              <w:rPr>
                <w:sz w:val="28"/>
              </w:rPr>
            </w:pPr>
            <w:r>
              <w:rPr>
                <w:sz w:val="28"/>
              </w:rPr>
              <w:t>35</w:t>
            </w:r>
          </w:p>
        </w:tc>
        <w:tc>
          <w:tcPr>
            <w:tcW w:w="2129" w:type="dxa"/>
          </w:tcPr>
          <w:p>
            <w:pPr>
              <w:pStyle w:val="TableParagraph"/>
              <w:spacing w:line="315" w:lineRule="exact"/>
              <w:ind w:right="816"/>
              <w:jc w:val="right"/>
              <w:rPr>
                <w:sz w:val="28"/>
              </w:rPr>
            </w:pPr>
            <w:r>
              <w:rPr>
                <w:sz w:val="28"/>
              </w:rPr>
              <w:t>72,9</w:t>
            </w:r>
          </w:p>
        </w:tc>
        <w:tc>
          <w:tcPr>
            <w:tcW w:w="1238" w:type="dxa"/>
            <w:vMerge/>
          </w:tcPr>
          <w:p>
            <w:pPr/>
          </w:p>
        </w:tc>
      </w:tr>
      <w:tr>
        <w:trPr>
          <w:trHeight w:val="653" w:hRule="exact"/>
        </w:trPr>
        <w:tc>
          <w:tcPr>
            <w:tcW w:w="2185" w:type="dxa"/>
          </w:tcPr>
          <w:p>
            <w:pPr>
              <w:pStyle w:val="TableParagraph"/>
              <w:spacing w:line="315" w:lineRule="exact"/>
              <w:ind w:left="83" w:right="83"/>
              <w:jc w:val="center"/>
              <w:rPr>
                <w:sz w:val="28"/>
              </w:rPr>
            </w:pPr>
            <w:r>
              <w:rPr>
                <w:sz w:val="28"/>
              </w:rPr>
              <w:t>Всего</w:t>
            </w:r>
          </w:p>
        </w:tc>
        <w:tc>
          <w:tcPr>
            <w:tcW w:w="1618" w:type="dxa"/>
          </w:tcPr>
          <w:p>
            <w:pPr>
              <w:pStyle w:val="TableParagraph"/>
              <w:spacing w:line="315" w:lineRule="exact"/>
              <w:ind w:left="592"/>
              <w:rPr>
                <w:sz w:val="28"/>
              </w:rPr>
            </w:pPr>
            <w:r>
              <w:rPr>
                <w:sz w:val="28"/>
              </w:rPr>
              <w:t>134</w:t>
            </w:r>
          </w:p>
        </w:tc>
        <w:tc>
          <w:tcPr>
            <w:tcW w:w="2012" w:type="dxa"/>
          </w:tcPr>
          <w:p>
            <w:pPr>
              <w:pStyle w:val="TableParagraph"/>
              <w:spacing w:line="315" w:lineRule="exact"/>
              <w:ind w:right="789"/>
              <w:jc w:val="right"/>
              <w:rPr>
                <w:sz w:val="28"/>
              </w:rPr>
            </w:pPr>
            <w:r>
              <w:rPr>
                <w:sz w:val="28"/>
              </w:rPr>
              <w:t>113</w:t>
            </w:r>
          </w:p>
        </w:tc>
        <w:tc>
          <w:tcPr>
            <w:tcW w:w="2129" w:type="dxa"/>
          </w:tcPr>
          <w:p>
            <w:pPr>
              <w:pStyle w:val="TableParagraph"/>
              <w:spacing w:line="315" w:lineRule="exact"/>
              <w:ind w:right="816"/>
              <w:jc w:val="right"/>
              <w:rPr>
                <w:sz w:val="28"/>
              </w:rPr>
            </w:pPr>
            <w:r>
              <w:rPr>
                <w:sz w:val="28"/>
              </w:rPr>
              <w:t>84,3</w:t>
            </w:r>
          </w:p>
        </w:tc>
        <w:tc>
          <w:tcPr>
            <w:tcW w:w="1238" w:type="dxa"/>
          </w:tcPr>
          <w:p>
            <w:pPr/>
          </w:p>
        </w:tc>
      </w:tr>
    </w:tbl>
    <w:p>
      <w:pPr>
        <w:pStyle w:val="BodyText"/>
        <w:rPr>
          <w:sz w:val="20"/>
        </w:rPr>
      </w:pPr>
    </w:p>
    <w:p>
      <w:pPr>
        <w:pStyle w:val="BodyText"/>
        <w:spacing w:before="7"/>
        <w:rPr>
          <w:sz w:val="19"/>
        </w:rPr>
      </w:pPr>
    </w:p>
    <w:p>
      <w:pPr>
        <w:pStyle w:val="BodyText"/>
        <w:spacing w:line="360" w:lineRule="auto" w:before="89"/>
        <w:ind w:left="122" w:right="221" w:firstLine="719"/>
        <w:jc w:val="both"/>
      </w:pPr>
      <w:r>
        <w:rPr/>
        <w:t>Выявлена прямая корреляция размеров опухоли как с общей, так и с безрецидивной выживаемостью больных: с увеличением размера опухоли (больше 20 см) ухудшались отдалённые результаты, что может быть связано с разрывом капсулы до или во время операции и последующей диссеминацией брюшной  полости (Табл. 5.11).</w:t>
      </w:r>
    </w:p>
    <w:p>
      <w:pPr>
        <w:spacing w:after="0" w:line="360" w:lineRule="auto"/>
        <w:jc w:val="both"/>
        <w:sectPr>
          <w:pgSz w:w="11900" w:h="16850"/>
          <w:pgMar w:header="712" w:footer="0" w:top="1020" w:bottom="280" w:left="1580" w:right="900"/>
        </w:sect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before="89"/>
        <w:ind w:left="830" w:right="85" w:firstLine="6803"/>
      </w:pPr>
      <w:r>
        <w:rPr/>
        <w:t>Таблица 5.11 Безрецидивная выживаемость больных раком яичников I стадии</w:t>
      </w:r>
    </w:p>
    <w:p>
      <w:pPr>
        <w:pStyle w:val="BodyText"/>
        <w:spacing w:line="322" w:lineRule="exact"/>
        <w:ind w:left="2597"/>
      </w:pPr>
      <w:r>
        <w:rPr/>
        <w:t>в зависимости от размера опухоли</w:t>
      </w:r>
    </w:p>
    <w:p>
      <w:pPr>
        <w:pStyle w:val="BodyText"/>
        <w:spacing w:before="6"/>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1702"/>
        <w:gridCol w:w="1702"/>
        <w:gridCol w:w="1702"/>
        <w:gridCol w:w="1274"/>
      </w:tblGrid>
      <w:tr>
        <w:trPr>
          <w:trHeight w:val="655" w:hRule="exact"/>
        </w:trPr>
        <w:tc>
          <w:tcPr>
            <w:tcW w:w="2552" w:type="dxa"/>
            <w:vMerge w:val="restart"/>
          </w:tcPr>
          <w:p>
            <w:pPr>
              <w:pStyle w:val="TableParagraph"/>
              <w:spacing w:line="482" w:lineRule="auto"/>
              <w:ind w:left="923" w:right="302" w:hanging="605"/>
              <w:rPr>
                <w:sz w:val="28"/>
              </w:rPr>
            </w:pPr>
            <w:r>
              <w:rPr>
                <w:sz w:val="28"/>
              </w:rPr>
              <w:t>Размер опухоли (в см)</w:t>
            </w:r>
          </w:p>
        </w:tc>
        <w:tc>
          <w:tcPr>
            <w:tcW w:w="1702" w:type="dxa"/>
            <w:vMerge w:val="restart"/>
          </w:tcPr>
          <w:p>
            <w:pPr>
              <w:pStyle w:val="TableParagraph"/>
              <w:spacing w:line="482" w:lineRule="auto"/>
              <w:ind w:left="331" w:right="128" w:hanging="188"/>
              <w:rPr>
                <w:sz w:val="28"/>
              </w:rPr>
            </w:pPr>
            <w:r>
              <w:rPr>
                <w:sz w:val="28"/>
              </w:rPr>
              <w:t>Количество больных</w:t>
            </w:r>
          </w:p>
        </w:tc>
        <w:tc>
          <w:tcPr>
            <w:tcW w:w="3404" w:type="dxa"/>
            <w:gridSpan w:val="2"/>
          </w:tcPr>
          <w:p>
            <w:pPr>
              <w:pStyle w:val="TableParagraph"/>
              <w:spacing w:line="315" w:lineRule="exact"/>
              <w:ind w:left="280"/>
              <w:rPr>
                <w:sz w:val="28"/>
              </w:rPr>
            </w:pPr>
            <w:r>
              <w:rPr>
                <w:sz w:val="28"/>
              </w:rPr>
              <w:t>3-летняя выживаемость</w:t>
            </w:r>
          </w:p>
        </w:tc>
        <w:tc>
          <w:tcPr>
            <w:tcW w:w="1274" w:type="dxa"/>
            <w:vMerge w:val="restart"/>
          </w:tcPr>
          <w:p>
            <w:pPr>
              <w:pStyle w:val="TableParagraph"/>
              <w:rPr>
                <w:sz w:val="30"/>
              </w:rPr>
            </w:pPr>
          </w:p>
          <w:p>
            <w:pPr>
              <w:pStyle w:val="TableParagraph"/>
              <w:spacing w:before="6"/>
              <w:rPr>
                <w:sz w:val="25"/>
              </w:rPr>
            </w:pPr>
          </w:p>
          <w:p>
            <w:pPr>
              <w:pStyle w:val="TableParagraph"/>
              <w:ind w:right="4"/>
              <w:jc w:val="center"/>
              <w:rPr>
                <w:sz w:val="28"/>
              </w:rPr>
            </w:pPr>
            <w:r>
              <w:rPr>
                <w:w w:val="100"/>
                <w:sz w:val="28"/>
              </w:rPr>
              <w:t>р</w:t>
            </w:r>
          </w:p>
        </w:tc>
      </w:tr>
      <w:tr>
        <w:trPr>
          <w:trHeight w:val="653" w:hRule="exact"/>
        </w:trPr>
        <w:tc>
          <w:tcPr>
            <w:tcW w:w="2552" w:type="dxa"/>
            <w:vMerge/>
          </w:tcPr>
          <w:p>
            <w:pPr/>
          </w:p>
        </w:tc>
        <w:tc>
          <w:tcPr>
            <w:tcW w:w="1702" w:type="dxa"/>
            <w:vMerge/>
          </w:tcPr>
          <w:p>
            <w:pPr/>
          </w:p>
        </w:tc>
        <w:tc>
          <w:tcPr>
            <w:tcW w:w="1702" w:type="dxa"/>
          </w:tcPr>
          <w:p>
            <w:pPr>
              <w:pStyle w:val="TableParagraph"/>
              <w:spacing w:line="315" w:lineRule="exact"/>
              <w:jc w:val="center"/>
              <w:rPr>
                <w:sz w:val="28"/>
              </w:rPr>
            </w:pPr>
            <w:r>
              <w:rPr>
                <w:w w:val="100"/>
                <w:sz w:val="28"/>
              </w:rPr>
              <w:t>n</w:t>
            </w:r>
          </w:p>
        </w:tc>
        <w:tc>
          <w:tcPr>
            <w:tcW w:w="1702" w:type="dxa"/>
          </w:tcPr>
          <w:p>
            <w:pPr>
              <w:pStyle w:val="TableParagraph"/>
              <w:spacing w:line="315" w:lineRule="exact"/>
              <w:ind w:right="659"/>
              <w:jc w:val="right"/>
              <w:rPr>
                <w:sz w:val="28"/>
              </w:rPr>
            </w:pPr>
            <w:r>
              <w:rPr>
                <w:w w:val="100"/>
                <w:sz w:val="28"/>
              </w:rPr>
              <w:t>%</w:t>
            </w:r>
          </w:p>
        </w:tc>
        <w:tc>
          <w:tcPr>
            <w:tcW w:w="1274" w:type="dxa"/>
            <w:vMerge/>
          </w:tcPr>
          <w:p>
            <w:pPr/>
          </w:p>
        </w:tc>
      </w:tr>
      <w:tr>
        <w:trPr>
          <w:trHeight w:val="656" w:hRule="exact"/>
        </w:trPr>
        <w:tc>
          <w:tcPr>
            <w:tcW w:w="2552" w:type="dxa"/>
          </w:tcPr>
          <w:p>
            <w:pPr>
              <w:pStyle w:val="TableParagraph"/>
              <w:spacing w:line="315" w:lineRule="exact"/>
              <w:ind w:left="631" w:right="631"/>
              <w:jc w:val="center"/>
              <w:rPr>
                <w:sz w:val="28"/>
              </w:rPr>
            </w:pPr>
            <w:r>
              <w:rPr>
                <w:sz w:val="28"/>
              </w:rPr>
              <w:t>до 10</w:t>
            </w:r>
          </w:p>
        </w:tc>
        <w:tc>
          <w:tcPr>
            <w:tcW w:w="1702" w:type="dxa"/>
          </w:tcPr>
          <w:p>
            <w:pPr>
              <w:pStyle w:val="TableParagraph"/>
              <w:spacing w:line="315" w:lineRule="exact"/>
              <w:ind w:left="312" w:right="312"/>
              <w:jc w:val="center"/>
              <w:rPr>
                <w:sz w:val="28"/>
              </w:rPr>
            </w:pPr>
            <w:r>
              <w:rPr>
                <w:sz w:val="28"/>
              </w:rPr>
              <w:t>109</w:t>
            </w:r>
          </w:p>
        </w:tc>
        <w:tc>
          <w:tcPr>
            <w:tcW w:w="1702" w:type="dxa"/>
          </w:tcPr>
          <w:p>
            <w:pPr>
              <w:pStyle w:val="TableParagraph"/>
              <w:spacing w:line="315" w:lineRule="exact"/>
              <w:ind w:left="103" w:right="101"/>
              <w:jc w:val="center"/>
              <w:rPr>
                <w:sz w:val="28"/>
              </w:rPr>
            </w:pPr>
            <w:r>
              <w:rPr>
                <w:sz w:val="28"/>
              </w:rPr>
              <w:t>96</w:t>
            </w:r>
          </w:p>
        </w:tc>
        <w:tc>
          <w:tcPr>
            <w:tcW w:w="1702" w:type="dxa"/>
          </w:tcPr>
          <w:p>
            <w:pPr>
              <w:pStyle w:val="TableParagraph"/>
              <w:spacing w:line="315" w:lineRule="exact"/>
              <w:ind w:right="600"/>
              <w:jc w:val="right"/>
              <w:rPr>
                <w:sz w:val="28"/>
              </w:rPr>
            </w:pPr>
            <w:r>
              <w:rPr>
                <w:sz w:val="28"/>
              </w:rPr>
              <w:t>88,1</w:t>
            </w:r>
          </w:p>
        </w:tc>
        <w:tc>
          <w:tcPr>
            <w:tcW w:w="1274" w:type="dxa"/>
            <w:vMerge w:val="restart"/>
          </w:tcPr>
          <w:p>
            <w:pPr>
              <w:pStyle w:val="TableParagraph"/>
              <w:rPr>
                <w:sz w:val="30"/>
              </w:rPr>
            </w:pPr>
          </w:p>
          <w:p>
            <w:pPr>
              <w:pStyle w:val="TableParagraph"/>
              <w:spacing w:before="6"/>
              <w:rPr>
                <w:sz w:val="25"/>
              </w:rPr>
            </w:pPr>
          </w:p>
          <w:p>
            <w:pPr>
              <w:pStyle w:val="TableParagraph"/>
              <w:ind w:left="100"/>
              <w:rPr>
                <w:sz w:val="28"/>
              </w:rPr>
            </w:pPr>
            <w:r>
              <w:rPr>
                <w:sz w:val="28"/>
              </w:rPr>
              <w:t>р&lt;0,01</w:t>
            </w:r>
          </w:p>
        </w:tc>
      </w:tr>
      <w:tr>
        <w:trPr>
          <w:trHeight w:val="653" w:hRule="exact"/>
        </w:trPr>
        <w:tc>
          <w:tcPr>
            <w:tcW w:w="2552" w:type="dxa"/>
          </w:tcPr>
          <w:p>
            <w:pPr>
              <w:pStyle w:val="TableParagraph"/>
              <w:spacing w:line="315" w:lineRule="exact"/>
              <w:ind w:left="630" w:right="631"/>
              <w:jc w:val="center"/>
              <w:rPr>
                <w:sz w:val="28"/>
              </w:rPr>
            </w:pPr>
            <w:r>
              <w:rPr>
                <w:sz w:val="28"/>
              </w:rPr>
              <w:t>10 – 20</w:t>
            </w:r>
          </w:p>
        </w:tc>
        <w:tc>
          <w:tcPr>
            <w:tcW w:w="1702" w:type="dxa"/>
          </w:tcPr>
          <w:p>
            <w:pPr>
              <w:pStyle w:val="TableParagraph"/>
              <w:spacing w:line="315" w:lineRule="exact"/>
              <w:ind w:left="312" w:right="310"/>
              <w:jc w:val="center"/>
              <w:rPr>
                <w:sz w:val="28"/>
              </w:rPr>
            </w:pPr>
            <w:r>
              <w:rPr>
                <w:sz w:val="28"/>
              </w:rPr>
              <w:t>17</w:t>
            </w:r>
          </w:p>
        </w:tc>
        <w:tc>
          <w:tcPr>
            <w:tcW w:w="1702" w:type="dxa"/>
          </w:tcPr>
          <w:p>
            <w:pPr>
              <w:pStyle w:val="TableParagraph"/>
              <w:spacing w:line="315" w:lineRule="exact"/>
              <w:ind w:left="103" w:right="101"/>
              <w:jc w:val="center"/>
              <w:rPr>
                <w:sz w:val="28"/>
              </w:rPr>
            </w:pPr>
            <w:r>
              <w:rPr>
                <w:sz w:val="28"/>
              </w:rPr>
              <w:t>15</w:t>
            </w:r>
          </w:p>
        </w:tc>
        <w:tc>
          <w:tcPr>
            <w:tcW w:w="1702" w:type="dxa"/>
          </w:tcPr>
          <w:p>
            <w:pPr>
              <w:pStyle w:val="TableParagraph"/>
              <w:spacing w:line="315" w:lineRule="exact"/>
              <w:ind w:right="600"/>
              <w:jc w:val="right"/>
              <w:rPr>
                <w:sz w:val="28"/>
              </w:rPr>
            </w:pPr>
            <w:r>
              <w:rPr>
                <w:sz w:val="28"/>
              </w:rPr>
              <w:t>88,2</w:t>
            </w:r>
          </w:p>
        </w:tc>
        <w:tc>
          <w:tcPr>
            <w:tcW w:w="1274" w:type="dxa"/>
            <w:vMerge/>
          </w:tcPr>
          <w:p>
            <w:pPr/>
          </w:p>
        </w:tc>
      </w:tr>
      <w:tr>
        <w:trPr>
          <w:trHeight w:val="655" w:hRule="exact"/>
        </w:trPr>
        <w:tc>
          <w:tcPr>
            <w:tcW w:w="2552" w:type="dxa"/>
          </w:tcPr>
          <w:p>
            <w:pPr>
              <w:pStyle w:val="TableParagraph"/>
              <w:spacing w:line="315" w:lineRule="exact"/>
              <w:ind w:left="631" w:right="631"/>
              <w:jc w:val="center"/>
              <w:rPr>
                <w:sz w:val="28"/>
              </w:rPr>
            </w:pPr>
            <w:r>
              <w:rPr>
                <w:sz w:val="28"/>
              </w:rPr>
              <w:t>больше 20</w:t>
            </w:r>
          </w:p>
        </w:tc>
        <w:tc>
          <w:tcPr>
            <w:tcW w:w="1702" w:type="dxa"/>
          </w:tcPr>
          <w:p>
            <w:pPr>
              <w:pStyle w:val="TableParagraph"/>
              <w:spacing w:line="315" w:lineRule="exact"/>
              <w:ind w:right="1"/>
              <w:jc w:val="center"/>
              <w:rPr>
                <w:sz w:val="28"/>
              </w:rPr>
            </w:pPr>
            <w:r>
              <w:rPr>
                <w:w w:val="100"/>
                <w:sz w:val="28"/>
              </w:rPr>
              <w:t>8</w:t>
            </w:r>
          </w:p>
        </w:tc>
        <w:tc>
          <w:tcPr>
            <w:tcW w:w="1702" w:type="dxa"/>
          </w:tcPr>
          <w:p>
            <w:pPr>
              <w:pStyle w:val="TableParagraph"/>
              <w:spacing w:line="315" w:lineRule="exact"/>
              <w:jc w:val="center"/>
              <w:rPr>
                <w:sz w:val="28"/>
              </w:rPr>
            </w:pPr>
            <w:r>
              <w:rPr>
                <w:w w:val="100"/>
                <w:sz w:val="28"/>
              </w:rPr>
              <w:t>5</w:t>
            </w:r>
          </w:p>
        </w:tc>
        <w:tc>
          <w:tcPr>
            <w:tcW w:w="1702" w:type="dxa"/>
          </w:tcPr>
          <w:p>
            <w:pPr>
              <w:pStyle w:val="TableParagraph"/>
              <w:spacing w:line="315" w:lineRule="exact"/>
              <w:ind w:right="600"/>
              <w:jc w:val="right"/>
              <w:rPr>
                <w:sz w:val="28"/>
              </w:rPr>
            </w:pPr>
            <w:r>
              <w:rPr>
                <w:sz w:val="28"/>
              </w:rPr>
              <w:t>62,5</w:t>
            </w:r>
          </w:p>
        </w:tc>
        <w:tc>
          <w:tcPr>
            <w:tcW w:w="1274" w:type="dxa"/>
            <w:vMerge/>
          </w:tcPr>
          <w:p>
            <w:pPr/>
          </w:p>
        </w:tc>
      </w:tr>
      <w:tr>
        <w:trPr>
          <w:trHeight w:val="653" w:hRule="exact"/>
        </w:trPr>
        <w:tc>
          <w:tcPr>
            <w:tcW w:w="2552" w:type="dxa"/>
          </w:tcPr>
          <w:p>
            <w:pPr>
              <w:pStyle w:val="TableParagraph"/>
              <w:spacing w:line="315" w:lineRule="exact"/>
              <w:ind w:left="631" w:right="631"/>
              <w:jc w:val="center"/>
              <w:rPr>
                <w:sz w:val="28"/>
              </w:rPr>
            </w:pPr>
            <w:r>
              <w:rPr>
                <w:sz w:val="28"/>
              </w:rPr>
              <w:t>Всего</w:t>
            </w:r>
          </w:p>
        </w:tc>
        <w:tc>
          <w:tcPr>
            <w:tcW w:w="1702" w:type="dxa"/>
          </w:tcPr>
          <w:p>
            <w:pPr>
              <w:pStyle w:val="TableParagraph"/>
              <w:spacing w:line="315" w:lineRule="exact"/>
              <w:ind w:left="312" w:right="312"/>
              <w:jc w:val="center"/>
              <w:rPr>
                <w:sz w:val="28"/>
              </w:rPr>
            </w:pPr>
            <w:r>
              <w:rPr>
                <w:sz w:val="28"/>
              </w:rPr>
              <w:t>134</w:t>
            </w:r>
          </w:p>
        </w:tc>
        <w:tc>
          <w:tcPr>
            <w:tcW w:w="1702" w:type="dxa"/>
          </w:tcPr>
          <w:p>
            <w:pPr>
              <w:pStyle w:val="TableParagraph"/>
              <w:spacing w:line="315" w:lineRule="exact"/>
              <w:ind w:left="103" w:right="102"/>
              <w:jc w:val="center"/>
              <w:rPr>
                <w:sz w:val="28"/>
              </w:rPr>
            </w:pPr>
            <w:r>
              <w:rPr>
                <w:sz w:val="28"/>
              </w:rPr>
              <w:t>113</w:t>
            </w:r>
          </w:p>
        </w:tc>
        <w:tc>
          <w:tcPr>
            <w:tcW w:w="1702" w:type="dxa"/>
          </w:tcPr>
          <w:p>
            <w:pPr>
              <w:pStyle w:val="TableParagraph"/>
              <w:spacing w:line="315" w:lineRule="exact"/>
              <w:ind w:right="600"/>
              <w:jc w:val="right"/>
              <w:rPr>
                <w:sz w:val="28"/>
              </w:rPr>
            </w:pPr>
            <w:r>
              <w:rPr>
                <w:sz w:val="28"/>
              </w:rPr>
              <w:t>84,3</w:t>
            </w:r>
          </w:p>
        </w:tc>
        <w:tc>
          <w:tcPr>
            <w:tcW w:w="1274" w:type="dxa"/>
          </w:tcPr>
          <w:p>
            <w:pPr/>
          </w:p>
        </w:tc>
      </w:tr>
    </w:tbl>
    <w:p>
      <w:pPr>
        <w:pStyle w:val="BodyText"/>
        <w:spacing w:before="5"/>
        <w:rPr>
          <w:sz w:val="35"/>
        </w:rPr>
      </w:pPr>
    </w:p>
    <w:p>
      <w:pPr>
        <w:pStyle w:val="BodyText"/>
        <w:spacing w:line="360" w:lineRule="auto"/>
        <w:ind w:left="122" w:right="98" w:firstLine="719"/>
        <w:jc w:val="both"/>
      </w:pPr>
      <w:r>
        <w:rPr/>
        <w:t>На основании представленного анализа литературы и описанных результатов собственных исследований можно заключить, что  кандидатами для выполнения органосохраняющих операций могут оказаться женщины репродуктивного возраста с IА стадией высокодифференцированной опухоли яичников, не превышающей 20 см в диаметре.</w:t>
      </w:r>
    </w:p>
    <w:p>
      <w:pPr>
        <w:pStyle w:val="BodyText"/>
        <w:rPr>
          <w:sz w:val="30"/>
        </w:rPr>
      </w:pPr>
    </w:p>
    <w:p>
      <w:pPr>
        <w:pStyle w:val="BodyText"/>
        <w:spacing w:before="8"/>
        <w:rPr>
          <w:sz w:val="26"/>
        </w:rPr>
      </w:pPr>
    </w:p>
    <w:p>
      <w:pPr>
        <w:pStyle w:val="Heading1"/>
        <w:numPr>
          <w:ilvl w:val="2"/>
          <w:numId w:val="30"/>
        </w:numPr>
        <w:tabs>
          <w:tab w:pos="1543" w:val="left" w:leader="none"/>
        </w:tabs>
        <w:spacing w:line="240" w:lineRule="auto" w:before="0" w:after="0"/>
        <w:ind w:left="1542" w:right="105" w:hanging="700"/>
        <w:jc w:val="right"/>
      </w:pPr>
      <w:r>
        <w:rPr/>
        <w:t>Характеристика выполненных оперативных</w:t>
      </w:r>
      <w:r>
        <w:rPr>
          <w:spacing w:val="-19"/>
        </w:rPr>
        <w:t> </w:t>
      </w:r>
      <w:r>
        <w:rPr/>
        <w:t>вмешательств</w:t>
      </w:r>
    </w:p>
    <w:p>
      <w:pPr>
        <w:pStyle w:val="BodyText"/>
        <w:spacing w:before="8"/>
        <w:rPr>
          <w:b/>
          <w:sz w:val="27"/>
        </w:rPr>
      </w:pPr>
    </w:p>
    <w:p>
      <w:pPr>
        <w:pStyle w:val="BodyText"/>
        <w:spacing w:line="360" w:lineRule="auto"/>
        <w:ind w:left="122" w:right="105" w:firstLine="719"/>
        <w:jc w:val="both"/>
      </w:pPr>
      <w:r>
        <w:rPr/>
        <w:t>Все описанные в предыдущем разделе больные подверглись хирургическому вмешательству в различных объемах. Рандомизации больных по выбору лапаротомного, либо лапароскопического доступа в данном разделе исследования не проводилось, что, безусловно может послужить поводом для критики. Здесь уместно говорить об основной группе, вошедшей в проспективную часть исследования, где выполнялись лапароскопические вмешательства, и о ретроспективной группе контроля, в которой больные подвергались исключительно лапаротомиям.</w:t>
      </w:r>
      <w:r>
        <w:rPr>
          <w:spacing w:val="-29"/>
        </w:rPr>
        <w:t> </w:t>
      </w:r>
      <w:r>
        <w:rPr/>
        <w:t>Подобное</w:t>
      </w:r>
    </w:p>
    <w:p>
      <w:pPr>
        <w:spacing w:after="0" w:line="360" w:lineRule="auto"/>
        <w:jc w:val="both"/>
        <w:sectPr>
          <w:pgSz w:w="11900" w:h="16850"/>
          <w:pgMar w:header="712" w:footer="0" w:top="1020" w:bottom="280" w:left="1580" w:right="1020"/>
        </w:sectPr>
      </w:pPr>
    </w:p>
    <w:p>
      <w:pPr>
        <w:pStyle w:val="BodyText"/>
        <w:rPr>
          <w:sz w:val="20"/>
        </w:rPr>
      </w:pPr>
    </w:p>
    <w:p>
      <w:pPr>
        <w:pStyle w:val="BodyText"/>
        <w:spacing w:line="360" w:lineRule="auto" w:before="252"/>
        <w:ind w:left="122" w:right="218"/>
        <w:jc w:val="both"/>
      </w:pPr>
      <w:r>
        <w:rPr/>
        <w:t>разделение объясняется тем фактом, что лапароскопический доступ в лечении онкогинекологических больных начал широко применяться в клинике только с 2010 года. Сам же объем вмешательства не зависел от хирургического доступа и определялся онкологическими принципами. Он колебался от органосохраняющих операций при IА стадии пограничных опухолей и рака яичников у больных репродуктивного возраста до радикальных операций у больных в постменопаузе и при более обширном поражении (Табл. 5.12).</w:t>
      </w:r>
    </w:p>
    <w:p>
      <w:pPr>
        <w:pStyle w:val="BodyText"/>
        <w:spacing w:before="5"/>
        <w:ind w:right="223"/>
        <w:jc w:val="right"/>
      </w:pPr>
      <w:r>
        <w:rPr/>
        <w:t>Таблица 5.12</w:t>
      </w:r>
    </w:p>
    <w:p>
      <w:pPr>
        <w:pStyle w:val="BodyText"/>
        <w:spacing w:before="8"/>
        <w:rPr>
          <w:sz w:val="23"/>
        </w:rPr>
      </w:pPr>
    </w:p>
    <w:p>
      <w:pPr>
        <w:pStyle w:val="BodyText"/>
        <w:spacing w:before="89"/>
        <w:ind w:left="2640"/>
      </w:pPr>
      <w:r>
        <w:rPr/>
        <w:t>Виды оперативных вмешательств</w:t>
      </w:r>
    </w:p>
    <w:p>
      <w:pPr>
        <w:pStyle w:val="BodyText"/>
        <w:rPr>
          <w:sz w:val="20"/>
        </w:rPr>
      </w:pPr>
    </w:p>
    <w:p>
      <w:pPr>
        <w:pStyle w:val="BodyText"/>
        <w:spacing w:before="9"/>
        <w:rPr>
          <w:sz w:val="11"/>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92"/>
        <w:gridCol w:w="1853"/>
        <w:gridCol w:w="1916"/>
        <w:gridCol w:w="1421"/>
      </w:tblGrid>
      <w:tr>
        <w:trPr>
          <w:trHeight w:val="533" w:hRule="exact"/>
        </w:trPr>
        <w:tc>
          <w:tcPr>
            <w:tcW w:w="3992" w:type="dxa"/>
            <w:vMerge w:val="restart"/>
          </w:tcPr>
          <w:p>
            <w:pPr>
              <w:pStyle w:val="TableParagraph"/>
              <w:spacing w:before="161"/>
              <w:ind w:left="1385" w:right="1387"/>
              <w:jc w:val="center"/>
              <w:rPr>
                <w:sz w:val="28"/>
              </w:rPr>
            </w:pPr>
            <w:r>
              <w:rPr>
                <w:sz w:val="28"/>
              </w:rPr>
              <w:t>Операция</w:t>
            </w:r>
          </w:p>
        </w:tc>
        <w:tc>
          <w:tcPr>
            <w:tcW w:w="3769" w:type="dxa"/>
            <w:gridSpan w:val="2"/>
          </w:tcPr>
          <w:p>
            <w:pPr>
              <w:pStyle w:val="TableParagraph"/>
              <w:spacing w:line="317" w:lineRule="exact"/>
              <w:ind w:left="1423" w:right="1427"/>
              <w:jc w:val="center"/>
              <w:rPr>
                <w:sz w:val="28"/>
              </w:rPr>
            </w:pPr>
            <w:r>
              <w:rPr>
                <w:sz w:val="28"/>
              </w:rPr>
              <w:t>Доступ</w:t>
            </w:r>
          </w:p>
        </w:tc>
        <w:tc>
          <w:tcPr>
            <w:tcW w:w="1421" w:type="dxa"/>
            <w:vMerge w:val="restart"/>
          </w:tcPr>
          <w:p>
            <w:pPr>
              <w:pStyle w:val="TableParagraph"/>
              <w:spacing w:before="10"/>
              <w:rPr>
                <w:sz w:val="44"/>
              </w:rPr>
            </w:pPr>
          </w:p>
          <w:p>
            <w:pPr>
              <w:pStyle w:val="TableParagraph"/>
              <w:ind w:left="357"/>
              <w:rPr>
                <w:sz w:val="28"/>
              </w:rPr>
            </w:pPr>
            <w:r>
              <w:rPr>
                <w:sz w:val="28"/>
              </w:rPr>
              <w:t>Всего</w:t>
            </w:r>
          </w:p>
        </w:tc>
      </w:tr>
      <w:tr>
        <w:trPr>
          <w:trHeight w:val="854" w:hRule="exact"/>
        </w:trPr>
        <w:tc>
          <w:tcPr>
            <w:tcW w:w="3992" w:type="dxa"/>
            <w:vMerge/>
          </w:tcPr>
          <w:p>
            <w:pPr/>
          </w:p>
        </w:tc>
        <w:tc>
          <w:tcPr>
            <w:tcW w:w="1853" w:type="dxa"/>
          </w:tcPr>
          <w:p>
            <w:pPr>
              <w:pStyle w:val="TableParagraph"/>
              <w:spacing w:before="4"/>
              <w:rPr>
                <w:sz w:val="27"/>
              </w:rPr>
            </w:pPr>
          </w:p>
          <w:p>
            <w:pPr>
              <w:pStyle w:val="TableParagraph"/>
              <w:ind w:left="106" w:right="111"/>
              <w:jc w:val="center"/>
              <w:rPr>
                <w:sz w:val="28"/>
              </w:rPr>
            </w:pPr>
            <w:r>
              <w:rPr>
                <w:sz w:val="28"/>
              </w:rPr>
              <w:t>Лапаротомия</w:t>
            </w:r>
          </w:p>
        </w:tc>
        <w:tc>
          <w:tcPr>
            <w:tcW w:w="1916" w:type="dxa"/>
          </w:tcPr>
          <w:p>
            <w:pPr>
              <w:pStyle w:val="TableParagraph"/>
              <w:spacing w:line="315" w:lineRule="exact"/>
              <w:ind w:left="84" w:right="84"/>
              <w:jc w:val="center"/>
              <w:rPr>
                <w:sz w:val="28"/>
              </w:rPr>
            </w:pPr>
            <w:r>
              <w:rPr>
                <w:sz w:val="28"/>
              </w:rPr>
              <w:t>Лапароскопия</w:t>
            </w:r>
          </w:p>
        </w:tc>
        <w:tc>
          <w:tcPr>
            <w:tcW w:w="1421" w:type="dxa"/>
            <w:vMerge/>
          </w:tcPr>
          <w:p>
            <w:pPr/>
          </w:p>
        </w:tc>
      </w:tr>
      <w:tr>
        <w:trPr>
          <w:trHeight w:val="1054" w:hRule="exact"/>
        </w:trPr>
        <w:tc>
          <w:tcPr>
            <w:tcW w:w="3992" w:type="dxa"/>
          </w:tcPr>
          <w:p>
            <w:pPr>
              <w:pStyle w:val="TableParagraph"/>
              <w:spacing w:line="315" w:lineRule="exact"/>
              <w:ind w:left="103"/>
              <w:rPr>
                <w:sz w:val="28"/>
              </w:rPr>
            </w:pPr>
            <w:r>
              <w:rPr>
                <w:sz w:val="28"/>
              </w:rPr>
              <w:t>Органосохраняющая операция</w:t>
            </w:r>
          </w:p>
        </w:tc>
        <w:tc>
          <w:tcPr>
            <w:tcW w:w="1853" w:type="dxa"/>
          </w:tcPr>
          <w:p>
            <w:pPr>
              <w:pStyle w:val="TableParagraph"/>
              <w:spacing w:line="315" w:lineRule="exact"/>
              <w:ind w:left="106" w:right="108"/>
              <w:jc w:val="center"/>
              <w:rPr>
                <w:sz w:val="28"/>
              </w:rPr>
            </w:pPr>
            <w:r>
              <w:rPr>
                <w:sz w:val="28"/>
              </w:rPr>
              <w:t>37</w:t>
            </w:r>
          </w:p>
        </w:tc>
        <w:tc>
          <w:tcPr>
            <w:tcW w:w="1916" w:type="dxa"/>
          </w:tcPr>
          <w:p>
            <w:pPr>
              <w:pStyle w:val="TableParagraph"/>
              <w:spacing w:line="315" w:lineRule="exact"/>
              <w:ind w:left="84" w:right="84"/>
              <w:jc w:val="center"/>
              <w:rPr>
                <w:sz w:val="28"/>
              </w:rPr>
            </w:pPr>
            <w:r>
              <w:rPr>
                <w:sz w:val="28"/>
              </w:rPr>
              <w:t>18</w:t>
            </w:r>
          </w:p>
        </w:tc>
        <w:tc>
          <w:tcPr>
            <w:tcW w:w="1421" w:type="dxa"/>
          </w:tcPr>
          <w:p>
            <w:pPr>
              <w:pStyle w:val="TableParagraph"/>
              <w:spacing w:line="388" w:lineRule="auto"/>
              <w:ind w:left="321" w:right="305" w:firstLine="242"/>
              <w:rPr>
                <w:sz w:val="28"/>
              </w:rPr>
            </w:pPr>
            <w:r>
              <w:rPr>
                <w:sz w:val="28"/>
              </w:rPr>
              <w:t>55 (+15)*</w:t>
            </w:r>
          </w:p>
        </w:tc>
      </w:tr>
      <w:tr>
        <w:trPr>
          <w:trHeight w:val="1054" w:hRule="exact"/>
        </w:trPr>
        <w:tc>
          <w:tcPr>
            <w:tcW w:w="3992" w:type="dxa"/>
          </w:tcPr>
          <w:p>
            <w:pPr>
              <w:pStyle w:val="TableParagraph"/>
              <w:ind w:left="103" w:right="1404"/>
              <w:rPr>
                <w:sz w:val="28"/>
              </w:rPr>
            </w:pPr>
            <w:r>
              <w:rPr>
                <w:sz w:val="28"/>
              </w:rPr>
              <w:t>Пангистерэктомия + оментэктомия</w:t>
            </w:r>
          </w:p>
        </w:tc>
        <w:tc>
          <w:tcPr>
            <w:tcW w:w="1853" w:type="dxa"/>
          </w:tcPr>
          <w:p>
            <w:pPr>
              <w:pStyle w:val="TableParagraph"/>
              <w:spacing w:line="315" w:lineRule="exact"/>
              <w:ind w:left="106" w:right="108"/>
              <w:jc w:val="center"/>
              <w:rPr>
                <w:sz w:val="28"/>
              </w:rPr>
            </w:pPr>
            <w:r>
              <w:rPr>
                <w:sz w:val="28"/>
              </w:rPr>
              <w:t>49</w:t>
            </w:r>
          </w:p>
        </w:tc>
        <w:tc>
          <w:tcPr>
            <w:tcW w:w="1916" w:type="dxa"/>
          </w:tcPr>
          <w:p>
            <w:pPr>
              <w:pStyle w:val="TableParagraph"/>
              <w:spacing w:line="315" w:lineRule="exact"/>
              <w:ind w:right="2"/>
              <w:jc w:val="center"/>
              <w:rPr>
                <w:sz w:val="28"/>
              </w:rPr>
            </w:pPr>
            <w:r>
              <w:rPr>
                <w:w w:val="100"/>
                <w:sz w:val="28"/>
              </w:rPr>
              <w:t>7</w:t>
            </w:r>
          </w:p>
        </w:tc>
        <w:tc>
          <w:tcPr>
            <w:tcW w:w="1421" w:type="dxa"/>
          </w:tcPr>
          <w:p>
            <w:pPr>
              <w:pStyle w:val="TableParagraph"/>
              <w:spacing w:line="388" w:lineRule="auto"/>
              <w:ind w:left="393" w:right="373" w:firstLine="170"/>
              <w:rPr>
                <w:sz w:val="28"/>
              </w:rPr>
            </w:pPr>
            <w:r>
              <w:rPr>
                <w:sz w:val="28"/>
              </w:rPr>
              <w:t>56 (+8)*</w:t>
            </w:r>
          </w:p>
        </w:tc>
      </w:tr>
      <w:tr>
        <w:trPr>
          <w:trHeight w:val="533" w:hRule="exact"/>
        </w:trPr>
        <w:tc>
          <w:tcPr>
            <w:tcW w:w="3992" w:type="dxa"/>
          </w:tcPr>
          <w:p>
            <w:pPr>
              <w:pStyle w:val="TableParagraph"/>
              <w:spacing w:line="315" w:lineRule="exact"/>
              <w:ind w:left="103"/>
              <w:rPr>
                <w:sz w:val="28"/>
              </w:rPr>
            </w:pPr>
            <w:r>
              <w:rPr>
                <w:sz w:val="28"/>
              </w:rPr>
              <w:t>Конверсионная лапаротомия</w:t>
            </w:r>
          </w:p>
        </w:tc>
        <w:tc>
          <w:tcPr>
            <w:tcW w:w="1853" w:type="dxa"/>
          </w:tcPr>
          <w:p>
            <w:pPr>
              <w:pStyle w:val="TableParagraph"/>
              <w:spacing w:line="315" w:lineRule="exact"/>
              <w:ind w:left="65"/>
              <w:jc w:val="center"/>
              <w:rPr>
                <w:sz w:val="28"/>
              </w:rPr>
            </w:pPr>
            <w:r>
              <w:rPr>
                <w:w w:val="100"/>
                <w:sz w:val="28"/>
              </w:rPr>
              <w:t>-</w:t>
            </w:r>
          </w:p>
        </w:tc>
        <w:tc>
          <w:tcPr>
            <w:tcW w:w="1916" w:type="dxa"/>
          </w:tcPr>
          <w:p>
            <w:pPr>
              <w:pStyle w:val="TableParagraph"/>
              <w:spacing w:line="315" w:lineRule="exact"/>
              <w:ind w:left="81" w:right="84"/>
              <w:jc w:val="center"/>
              <w:rPr>
                <w:sz w:val="28"/>
              </w:rPr>
            </w:pPr>
            <w:r>
              <w:rPr>
                <w:sz w:val="28"/>
              </w:rPr>
              <w:t>23</w:t>
            </w:r>
          </w:p>
        </w:tc>
        <w:tc>
          <w:tcPr>
            <w:tcW w:w="1421" w:type="dxa"/>
          </w:tcPr>
          <w:p>
            <w:pPr/>
          </w:p>
        </w:tc>
      </w:tr>
      <w:tr>
        <w:trPr>
          <w:trHeight w:val="855" w:hRule="exact"/>
        </w:trPr>
        <w:tc>
          <w:tcPr>
            <w:tcW w:w="3992" w:type="dxa"/>
          </w:tcPr>
          <w:p>
            <w:pPr>
              <w:pStyle w:val="TableParagraph"/>
              <w:spacing w:line="315" w:lineRule="exact"/>
              <w:ind w:left="103"/>
              <w:rPr>
                <w:sz w:val="28"/>
              </w:rPr>
            </w:pPr>
            <w:r>
              <w:rPr>
                <w:sz w:val="28"/>
              </w:rPr>
              <w:t>Всего</w:t>
            </w:r>
          </w:p>
        </w:tc>
        <w:tc>
          <w:tcPr>
            <w:tcW w:w="1853" w:type="dxa"/>
          </w:tcPr>
          <w:p>
            <w:pPr>
              <w:pStyle w:val="TableParagraph"/>
              <w:spacing w:line="315" w:lineRule="exact"/>
              <w:ind w:left="106" w:right="42"/>
              <w:jc w:val="center"/>
              <w:rPr>
                <w:sz w:val="28"/>
              </w:rPr>
            </w:pPr>
            <w:r>
              <w:rPr>
                <w:sz w:val="28"/>
              </w:rPr>
              <w:t>86 (64,2%)</w:t>
            </w:r>
          </w:p>
        </w:tc>
        <w:tc>
          <w:tcPr>
            <w:tcW w:w="1916" w:type="dxa"/>
          </w:tcPr>
          <w:p>
            <w:pPr>
              <w:pStyle w:val="TableParagraph"/>
              <w:spacing w:line="315" w:lineRule="exact"/>
              <w:ind w:left="84" w:right="20"/>
              <w:jc w:val="center"/>
              <w:rPr>
                <w:sz w:val="28"/>
              </w:rPr>
            </w:pPr>
            <w:r>
              <w:rPr>
                <w:sz w:val="28"/>
              </w:rPr>
              <w:t>48 (35,8%)</w:t>
            </w:r>
          </w:p>
        </w:tc>
        <w:tc>
          <w:tcPr>
            <w:tcW w:w="1421" w:type="dxa"/>
          </w:tcPr>
          <w:p>
            <w:pPr>
              <w:pStyle w:val="TableParagraph"/>
              <w:spacing w:line="315" w:lineRule="exact"/>
              <w:ind w:left="264" w:right="265"/>
              <w:jc w:val="center"/>
              <w:rPr>
                <w:sz w:val="28"/>
              </w:rPr>
            </w:pPr>
            <w:r>
              <w:rPr>
                <w:sz w:val="28"/>
              </w:rPr>
              <w:t>134</w:t>
            </w:r>
          </w:p>
          <w:p>
            <w:pPr>
              <w:pStyle w:val="TableParagraph"/>
              <w:ind w:left="266" w:right="265"/>
              <w:jc w:val="center"/>
              <w:rPr>
                <w:sz w:val="28"/>
              </w:rPr>
            </w:pPr>
            <w:r>
              <w:rPr>
                <w:sz w:val="28"/>
              </w:rPr>
              <w:t>(100%)</w:t>
            </w:r>
          </w:p>
        </w:tc>
      </w:tr>
    </w:tbl>
    <w:p>
      <w:pPr>
        <w:pStyle w:val="BodyText"/>
        <w:ind w:left="1201"/>
      </w:pPr>
      <w:r>
        <w:rPr/>
        <w:t>*- конверсионные лапаротомии</w:t>
      </w:r>
    </w:p>
    <w:p>
      <w:pPr>
        <w:pStyle w:val="BodyText"/>
        <w:rPr>
          <w:sz w:val="30"/>
        </w:rPr>
      </w:pPr>
    </w:p>
    <w:p>
      <w:pPr>
        <w:pStyle w:val="BodyText"/>
        <w:spacing w:before="10"/>
        <w:rPr>
          <w:sz w:val="39"/>
        </w:rPr>
      </w:pPr>
    </w:p>
    <w:p>
      <w:pPr>
        <w:pStyle w:val="BodyText"/>
        <w:spacing w:line="360" w:lineRule="auto"/>
        <w:ind w:left="122" w:right="220" w:firstLine="719"/>
        <w:jc w:val="both"/>
      </w:pPr>
      <w:r>
        <w:rPr/>
        <w:t>Органосохраняющие операции в объеме удаления придатков матки с одной стороны, резекции контрлатерального яичника, оментэктомии выполнены у 70 больных репродуктивного возраста при IА стадии высокодифференцированных опухолей яичников, в том числе у 12 больных пограничными опухолями. Решению о выполнении органосохраняющей операции во всех случаях предшествовала</w:t>
      </w:r>
      <w:r>
        <w:rPr>
          <w:spacing w:val="-29"/>
        </w:rPr>
        <w:t> </w:t>
      </w:r>
      <w:r>
        <w:rPr/>
        <w:t>процедура</w:t>
      </w:r>
    </w:p>
    <w:p>
      <w:pPr>
        <w:spacing w:after="0" w:line="360" w:lineRule="auto"/>
        <w:jc w:val="both"/>
        <w:sectPr>
          <w:pgSz w:w="11900" w:h="16850"/>
          <w:pgMar w:header="712" w:footer="0" w:top="1020" w:bottom="280" w:left="1580" w:right="900"/>
        </w:sectPr>
      </w:pPr>
    </w:p>
    <w:p>
      <w:pPr>
        <w:pStyle w:val="BodyText"/>
        <w:rPr>
          <w:sz w:val="20"/>
        </w:rPr>
      </w:pPr>
    </w:p>
    <w:p>
      <w:pPr>
        <w:pStyle w:val="BodyText"/>
        <w:spacing w:line="360" w:lineRule="auto" w:before="252"/>
        <w:ind w:left="102" w:right="106"/>
        <w:jc w:val="both"/>
      </w:pPr>
      <w:r>
        <w:rPr/>
        <w:t>хирургического стадирования со срочным цитологическим исследованием мазков – отпечатков с различных отделов брюшной полости, у 22 больных выполнялась еще и биопсия увеличенных парааортальных лимфатических узлов. Лапароскопический доступ применен в 18 случаях, а у еще у 15 больных произведена конверсия в лапаротомию в связи с большими размерами опухоли и угрозой нарушения целостности её капсулы. Семеро из этих больных ранее подвергались нерадикальному хирургическому лечению в непрофильных учреждениях. Повторные операции у этих пациенток выполнены лапароскопическим доступом. Всего же после нерадикальных операций было госпитализировано 18 пациенток, что еще раз указывает на отсутствие онкологической настороженности у гинекологов общей лечебной сети (Рис. 5.1).</w:t>
      </w:r>
    </w:p>
    <w:p>
      <w:pPr>
        <w:pStyle w:val="BodyText"/>
        <w:rPr>
          <w:sz w:val="30"/>
        </w:rPr>
      </w:pPr>
    </w:p>
    <w:p>
      <w:pPr>
        <w:pStyle w:val="BodyText"/>
        <w:rPr>
          <w:sz w:val="30"/>
        </w:rPr>
      </w:pPr>
    </w:p>
    <w:p>
      <w:pPr>
        <w:pStyle w:val="BodyText"/>
        <w:spacing w:before="6"/>
        <w:rPr>
          <w:sz w:val="38"/>
        </w:rPr>
      </w:pPr>
    </w:p>
    <w:p>
      <w:pPr>
        <w:pStyle w:val="BodyText"/>
        <w:spacing w:line="480" w:lineRule="auto"/>
        <w:ind w:left="1290" w:firstLine="6397"/>
      </w:pPr>
      <w:r>
        <w:rPr/>
        <w:t>Рисунок 5.1 Объем операции у больных раком яичников репродуктивного</w:t>
      </w:r>
    </w:p>
    <w:p>
      <w:pPr>
        <w:pStyle w:val="BodyText"/>
        <w:spacing w:before="10"/>
        <w:ind w:left="380" w:right="380"/>
        <w:jc w:val="center"/>
      </w:pPr>
      <w:r>
        <w:rPr/>
        <w:t>возраста</w:t>
      </w:r>
    </w:p>
    <w:p>
      <w:pPr>
        <w:pStyle w:val="BodyText"/>
        <w:spacing w:before="6"/>
      </w:pPr>
      <w:r>
        <w:rPr/>
        <w:drawing>
          <wp:anchor distT="0" distB="0" distL="0" distR="0" allowOverlap="1" layoutInCell="1" locked="0" behindDoc="0" simplePos="0" relativeHeight="6208">
            <wp:simplePos x="0" y="0"/>
            <wp:positionH relativeFrom="page">
              <wp:posOffset>1562735</wp:posOffset>
            </wp:positionH>
            <wp:positionV relativeFrom="paragraph">
              <wp:posOffset>233612</wp:posOffset>
            </wp:positionV>
            <wp:extent cx="4565997" cy="2057400"/>
            <wp:effectExtent l="0" t="0" r="0" b="0"/>
            <wp:wrapTopAndBottom/>
            <wp:docPr id="93" name="image138.png" descr=""/>
            <wp:cNvGraphicFramePr>
              <a:graphicFrameLocks noChangeAspect="1"/>
            </wp:cNvGraphicFramePr>
            <a:graphic>
              <a:graphicData uri="http://schemas.openxmlformats.org/drawingml/2006/picture">
                <pic:pic>
                  <pic:nvPicPr>
                    <pic:cNvPr id="94" name="image138.png"/>
                    <pic:cNvPicPr/>
                  </pic:nvPicPr>
                  <pic:blipFill>
                    <a:blip r:embed="rId156" cstate="print"/>
                    <a:stretch>
                      <a:fillRect/>
                    </a:stretch>
                  </pic:blipFill>
                  <pic:spPr>
                    <a:xfrm>
                      <a:off x="0" y="0"/>
                      <a:ext cx="4565997" cy="2057400"/>
                    </a:xfrm>
                    <a:prstGeom prst="rect">
                      <a:avLst/>
                    </a:prstGeom>
                  </pic:spPr>
                </pic:pic>
              </a:graphicData>
            </a:graphic>
          </wp:anchor>
        </w:drawing>
      </w:r>
    </w:p>
    <w:p>
      <w:pPr>
        <w:pStyle w:val="BodyText"/>
        <w:rPr>
          <w:sz w:val="30"/>
        </w:rPr>
      </w:pPr>
    </w:p>
    <w:p>
      <w:pPr>
        <w:pStyle w:val="BodyText"/>
        <w:spacing w:before="5"/>
        <w:rPr>
          <w:sz w:val="36"/>
        </w:rPr>
      </w:pPr>
    </w:p>
    <w:p>
      <w:pPr>
        <w:pStyle w:val="BodyText"/>
        <w:tabs>
          <w:tab w:pos="1447" w:val="left" w:leader="none"/>
          <w:tab w:pos="3335" w:val="left" w:leader="none"/>
          <w:tab w:pos="4808" w:val="left" w:leader="none"/>
          <w:tab w:pos="5283" w:val="left" w:leader="none"/>
          <w:tab w:pos="6480" w:val="left" w:leader="none"/>
          <w:tab w:pos="9017" w:val="left" w:leader="none"/>
        </w:tabs>
        <w:spacing w:line="362" w:lineRule="auto"/>
        <w:ind w:left="102" w:right="109" w:firstLine="719"/>
      </w:pPr>
      <w:r>
        <w:rPr/>
        <w:t>64</w:t>
        <w:tab/>
        <w:t>радикальные</w:t>
        <w:tab/>
        <w:t>операции</w:t>
        <w:tab/>
        <w:t>в</w:t>
        <w:tab/>
        <w:t>объеме</w:t>
        <w:tab/>
        <w:t>пангистерэктомии</w:t>
        <w:tab/>
        <w:t>и оментэктомии выполнены при раке яичников IB и IC стадии, а также</w:t>
      </w:r>
      <w:r>
        <w:rPr>
          <w:spacing w:val="-19"/>
        </w:rPr>
        <w:t> </w:t>
      </w:r>
      <w:r>
        <w:rPr/>
        <w:t>при</w:t>
      </w:r>
    </w:p>
    <w:p>
      <w:pPr>
        <w:spacing w:after="0" w:line="362" w:lineRule="auto"/>
        <w:sectPr>
          <w:pgSz w:w="11900" w:h="16850"/>
          <w:pgMar w:header="712" w:footer="0" w:top="1020" w:bottom="280" w:left="1600" w:right="1020"/>
        </w:sectPr>
      </w:pPr>
    </w:p>
    <w:p>
      <w:pPr>
        <w:pStyle w:val="BodyText"/>
        <w:rPr>
          <w:sz w:val="20"/>
        </w:rPr>
      </w:pPr>
    </w:p>
    <w:p>
      <w:pPr>
        <w:pStyle w:val="BodyText"/>
        <w:spacing w:line="362" w:lineRule="auto" w:before="252"/>
        <w:ind w:left="102"/>
      </w:pPr>
      <w:r>
        <w:rPr/>
        <w:t>IA стадии у больных в постменопаузе. У 7 пациенток IА стадии операции выполнены из лапароскопического доступа (Рис. 5.2).</w:t>
      </w:r>
    </w:p>
    <w:p>
      <w:pPr>
        <w:pStyle w:val="BodyText"/>
        <w:spacing w:before="1"/>
        <w:rPr>
          <w:sz w:val="42"/>
        </w:rPr>
      </w:pPr>
    </w:p>
    <w:p>
      <w:pPr>
        <w:pStyle w:val="BodyText"/>
        <w:spacing w:line="360" w:lineRule="auto"/>
        <w:ind w:left="994" w:right="86" w:firstLine="6764"/>
      </w:pPr>
      <w:r>
        <w:rPr/>
        <w:t>Рисунок 5.2 Этапы лапароскопической органосохраняющей операции при раке</w:t>
      </w:r>
    </w:p>
    <w:p>
      <w:pPr>
        <w:pStyle w:val="BodyText"/>
        <w:spacing w:before="7"/>
        <w:ind w:left="380" w:right="380"/>
        <w:jc w:val="center"/>
      </w:pPr>
      <w:r>
        <w:rPr/>
        <w:t>яичников IA стадии</w:t>
      </w:r>
    </w:p>
    <w:p>
      <w:pPr>
        <w:pStyle w:val="BodyText"/>
        <w:rPr>
          <w:sz w:val="20"/>
        </w:rPr>
      </w:pPr>
    </w:p>
    <w:p>
      <w:pPr>
        <w:pStyle w:val="BodyText"/>
        <w:rPr>
          <w:sz w:val="27"/>
        </w:rPr>
      </w:pPr>
      <w:r>
        <w:rPr/>
        <w:drawing>
          <wp:anchor distT="0" distB="0" distL="0" distR="0" allowOverlap="1" layoutInCell="1" locked="0" behindDoc="0" simplePos="0" relativeHeight="6232">
            <wp:simplePos x="0" y="0"/>
            <wp:positionH relativeFrom="page">
              <wp:posOffset>1537335</wp:posOffset>
            </wp:positionH>
            <wp:positionV relativeFrom="paragraph">
              <wp:posOffset>222326</wp:posOffset>
            </wp:positionV>
            <wp:extent cx="2536542" cy="1984248"/>
            <wp:effectExtent l="0" t="0" r="0" b="0"/>
            <wp:wrapTopAndBottom/>
            <wp:docPr id="95" name="image139.jpeg" descr=""/>
            <wp:cNvGraphicFramePr>
              <a:graphicFrameLocks noChangeAspect="1"/>
            </wp:cNvGraphicFramePr>
            <a:graphic>
              <a:graphicData uri="http://schemas.openxmlformats.org/drawingml/2006/picture">
                <pic:pic>
                  <pic:nvPicPr>
                    <pic:cNvPr id="96" name="image139.jpeg"/>
                    <pic:cNvPicPr/>
                  </pic:nvPicPr>
                  <pic:blipFill>
                    <a:blip r:embed="rId157" cstate="print"/>
                    <a:stretch>
                      <a:fillRect/>
                    </a:stretch>
                  </pic:blipFill>
                  <pic:spPr>
                    <a:xfrm>
                      <a:off x="0" y="0"/>
                      <a:ext cx="2536542" cy="1984248"/>
                    </a:xfrm>
                    <a:prstGeom prst="rect">
                      <a:avLst/>
                    </a:prstGeom>
                  </pic:spPr>
                </pic:pic>
              </a:graphicData>
            </a:graphic>
          </wp:anchor>
        </w:drawing>
      </w:r>
    </w:p>
    <w:p>
      <w:pPr>
        <w:pStyle w:val="BodyText"/>
        <w:spacing w:before="238"/>
        <w:ind w:left="5143"/>
      </w:pPr>
      <w:r>
        <w:rPr/>
        <w:t>Удаление пораженного яичника</w:t>
      </w:r>
    </w:p>
    <w:p>
      <w:pPr>
        <w:pStyle w:val="BodyText"/>
        <w:rPr>
          <w:sz w:val="20"/>
        </w:rPr>
      </w:pPr>
    </w:p>
    <w:p>
      <w:pPr>
        <w:pStyle w:val="BodyText"/>
        <w:rPr>
          <w:sz w:val="20"/>
        </w:rPr>
      </w:pPr>
    </w:p>
    <w:p>
      <w:pPr>
        <w:pStyle w:val="BodyText"/>
        <w:rPr>
          <w:sz w:val="20"/>
        </w:rPr>
      </w:pPr>
    </w:p>
    <w:p>
      <w:pPr>
        <w:pStyle w:val="BodyText"/>
        <w:spacing w:before="11"/>
        <w:rPr>
          <w:sz w:val="12"/>
        </w:rPr>
      </w:pPr>
      <w:r>
        <w:rPr/>
        <w:drawing>
          <wp:anchor distT="0" distB="0" distL="0" distR="0" allowOverlap="1" layoutInCell="1" locked="0" behindDoc="0" simplePos="0" relativeHeight="6256">
            <wp:simplePos x="0" y="0"/>
            <wp:positionH relativeFrom="page">
              <wp:posOffset>1537335</wp:posOffset>
            </wp:positionH>
            <wp:positionV relativeFrom="paragraph">
              <wp:posOffset>119569</wp:posOffset>
            </wp:positionV>
            <wp:extent cx="2589660" cy="2281237"/>
            <wp:effectExtent l="0" t="0" r="0" b="0"/>
            <wp:wrapTopAndBottom/>
            <wp:docPr id="97" name="image140.png" descr=""/>
            <wp:cNvGraphicFramePr>
              <a:graphicFrameLocks noChangeAspect="1"/>
            </wp:cNvGraphicFramePr>
            <a:graphic>
              <a:graphicData uri="http://schemas.openxmlformats.org/drawingml/2006/picture">
                <pic:pic>
                  <pic:nvPicPr>
                    <pic:cNvPr id="98" name="image140.png"/>
                    <pic:cNvPicPr/>
                  </pic:nvPicPr>
                  <pic:blipFill>
                    <a:blip r:embed="rId158" cstate="print"/>
                    <a:stretch>
                      <a:fillRect/>
                    </a:stretch>
                  </pic:blipFill>
                  <pic:spPr>
                    <a:xfrm>
                      <a:off x="0" y="0"/>
                      <a:ext cx="2589660" cy="2281237"/>
                    </a:xfrm>
                    <a:prstGeom prst="rect">
                      <a:avLst/>
                    </a:prstGeom>
                  </pic:spPr>
                </pic:pic>
              </a:graphicData>
            </a:graphic>
          </wp:anchor>
        </w:drawing>
      </w:r>
    </w:p>
    <w:p>
      <w:pPr>
        <w:pStyle w:val="BodyText"/>
        <w:spacing w:before="7"/>
        <w:rPr>
          <w:sz w:val="25"/>
        </w:rPr>
      </w:pPr>
    </w:p>
    <w:p>
      <w:pPr>
        <w:pStyle w:val="BodyText"/>
        <w:spacing w:before="1"/>
        <w:ind w:left="4559"/>
      </w:pPr>
      <w:r>
        <w:rPr/>
        <w:t>Резекция контрлатерального</w:t>
      </w:r>
      <w:r>
        <w:rPr>
          <w:spacing w:val="55"/>
        </w:rPr>
        <w:t> </w:t>
      </w:r>
      <w:r>
        <w:rPr/>
        <w:t>яичника</w:t>
      </w:r>
    </w:p>
    <w:p>
      <w:pPr>
        <w:spacing w:after="0"/>
        <w:sectPr>
          <w:pgSz w:w="11900" w:h="16850"/>
          <w:pgMar w:header="712" w:footer="0" w:top="102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spacing w:before="89"/>
        <w:ind w:left="4867"/>
      </w:pPr>
      <w:r>
        <w:rPr/>
        <w:pict>
          <v:group style="position:absolute;margin-left:85.050003pt;margin-top:-162.599701pt;width:204.95pt;height:180.85pt;mso-position-horizontal-relative:page;mso-position-vertical-relative:paragraph;z-index:6280" coordorigin="1701,-3252" coordsize="4099,3617">
            <v:shape style="position:absolute;left:1701;top:-3252;width:4099;height:3617" coordorigin="1701,-3252" coordsize="4099,3617" path="m5489,-3252l2012,-3252,1941,-3244,1875,-3220,1817,-3184,1769,-3136,1733,-3078,1709,-3012,1701,-2941,1701,54,1709,125,1733,191,1769,248,1817,297,1875,333,1941,357,2012,365,5489,365,5560,357,5626,333,5683,297,5731,248,5768,191,5792,125,5800,54,5800,-2941,5792,-3012,5768,-3078,5731,-3136,5683,-3184,5626,-3220,5560,-3244,5489,-3252xe" filled="true" fillcolor="#ececec" stroked="false">
              <v:path arrowok="t"/>
              <v:fill type="solid"/>
            </v:shape>
            <v:shape style="position:absolute;left:1701;top:-3252;width:4099;height:3617" type="#_x0000_t75" stroked="false">
              <v:imagedata r:id="rId159" o:title=""/>
            </v:shape>
            <w10:wrap type="none"/>
          </v:group>
        </w:pict>
      </w:r>
      <w:r>
        <w:rPr/>
        <w:t>Оментэктомия</w:t>
      </w:r>
    </w:p>
    <w:p>
      <w:pPr>
        <w:pStyle w:val="BodyText"/>
        <w:rPr>
          <w:sz w:val="30"/>
        </w:rPr>
      </w:pPr>
    </w:p>
    <w:p>
      <w:pPr>
        <w:pStyle w:val="BodyText"/>
        <w:rPr>
          <w:sz w:val="30"/>
        </w:rPr>
      </w:pPr>
    </w:p>
    <w:p>
      <w:pPr>
        <w:pStyle w:val="BodyText"/>
        <w:rPr>
          <w:sz w:val="30"/>
        </w:rPr>
      </w:pPr>
    </w:p>
    <w:p>
      <w:pPr>
        <w:pStyle w:val="BodyText"/>
        <w:spacing w:before="10"/>
        <w:rPr>
          <w:sz w:val="33"/>
        </w:rPr>
      </w:pPr>
    </w:p>
    <w:p>
      <w:pPr>
        <w:pStyle w:val="BodyText"/>
        <w:spacing w:line="360" w:lineRule="auto" w:before="1"/>
        <w:ind w:left="122" w:right="223" w:firstLine="789"/>
        <w:jc w:val="both"/>
      </w:pPr>
      <w:r>
        <w:rPr/>
        <w:t>Далее мы сопоставили такие важные характеристики оперативного вмешательства, как его продолжительность, объем кровопотери, интраоперационные осложнения, особенности течения ближайшего послеоперационного периода (Табл. 5.13).</w:t>
      </w:r>
    </w:p>
    <w:p>
      <w:pPr>
        <w:pStyle w:val="BodyText"/>
        <w:spacing w:line="388" w:lineRule="auto" w:before="205" w:after="13"/>
        <w:ind w:left="1418" w:right="208" w:firstLine="6212"/>
      </w:pPr>
      <w:r>
        <w:rPr/>
        <w:t>Таблица 5.13 Особенности лапароскопических и лапаротомных операций</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9"/>
        <w:gridCol w:w="1395"/>
        <w:gridCol w:w="1320"/>
        <w:gridCol w:w="1731"/>
        <w:gridCol w:w="1501"/>
        <w:gridCol w:w="1296"/>
      </w:tblGrid>
      <w:tr>
        <w:trPr>
          <w:trHeight w:val="2293" w:hRule="exact"/>
        </w:trPr>
        <w:tc>
          <w:tcPr>
            <w:tcW w:w="1939" w:type="dxa"/>
          </w:tcPr>
          <w:p>
            <w:pPr>
              <w:pStyle w:val="TableParagraph"/>
              <w:spacing w:line="317" w:lineRule="exact"/>
              <w:ind w:left="103"/>
              <w:rPr>
                <w:sz w:val="28"/>
              </w:rPr>
            </w:pPr>
            <w:r>
              <w:rPr>
                <w:sz w:val="28"/>
              </w:rPr>
              <w:t>Группы</w:t>
            </w:r>
          </w:p>
        </w:tc>
        <w:tc>
          <w:tcPr>
            <w:tcW w:w="1395" w:type="dxa"/>
          </w:tcPr>
          <w:p>
            <w:pPr>
              <w:pStyle w:val="TableParagraph"/>
              <w:spacing w:line="276" w:lineRule="auto"/>
              <w:ind w:left="103" w:right="105" w:firstLine="69"/>
              <w:rPr>
                <w:sz w:val="28"/>
              </w:rPr>
            </w:pPr>
            <w:r>
              <w:rPr>
                <w:sz w:val="28"/>
              </w:rPr>
              <w:t>Длитель- ность операции</w:t>
            </w:r>
          </w:p>
        </w:tc>
        <w:tc>
          <w:tcPr>
            <w:tcW w:w="1320" w:type="dxa"/>
          </w:tcPr>
          <w:p>
            <w:pPr>
              <w:pStyle w:val="TableParagraph"/>
              <w:spacing w:line="276" w:lineRule="auto"/>
              <w:ind w:left="100" w:right="346" w:firstLine="69"/>
              <w:jc w:val="both"/>
              <w:rPr>
                <w:sz w:val="28"/>
              </w:rPr>
            </w:pPr>
            <w:r>
              <w:rPr>
                <w:sz w:val="28"/>
              </w:rPr>
              <w:t>Объем крово- потери</w:t>
            </w:r>
          </w:p>
        </w:tc>
        <w:tc>
          <w:tcPr>
            <w:tcW w:w="1731" w:type="dxa"/>
          </w:tcPr>
          <w:p>
            <w:pPr>
              <w:pStyle w:val="TableParagraph"/>
              <w:spacing w:line="276" w:lineRule="auto"/>
              <w:ind w:left="103" w:right="158" w:firstLine="69"/>
              <w:rPr>
                <w:sz w:val="28"/>
              </w:rPr>
            </w:pPr>
            <w:r>
              <w:rPr>
                <w:sz w:val="28"/>
              </w:rPr>
              <w:t>Интра- операцион- ные осложнения</w:t>
            </w:r>
          </w:p>
        </w:tc>
        <w:tc>
          <w:tcPr>
            <w:tcW w:w="1501" w:type="dxa"/>
          </w:tcPr>
          <w:p>
            <w:pPr>
              <w:pStyle w:val="TableParagraph"/>
              <w:spacing w:line="276" w:lineRule="auto"/>
              <w:ind w:left="103" w:right="99" w:firstLine="69"/>
              <w:rPr>
                <w:sz w:val="28"/>
              </w:rPr>
            </w:pPr>
            <w:r>
              <w:rPr>
                <w:sz w:val="28"/>
              </w:rPr>
              <w:t>Выражен- ность болевого синдрома</w:t>
            </w:r>
          </w:p>
        </w:tc>
        <w:tc>
          <w:tcPr>
            <w:tcW w:w="1296" w:type="dxa"/>
          </w:tcPr>
          <w:p>
            <w:pPr>
              <w:pStyle w:val="TableParagraph"/>
              <w:tabs>
                <w:tab w:pos="899" w:val="left" w:leader="none"/>
              </w:tabs>
              <w:spacing w:line="276" w:lineRule="auto"/>
              <w:ind w:left="100" w:right="103" w:firstLine="69"/>
              <w:rPr>
                <w:sz w:val="28"/>
              </w:rPr>
            </w:pPr>
            <w:r>
              <w:rPr>
                <w:sz w:val="28"/>
              </w:rPr>
              <w:t>Койко- день</w:t>
              <w:tab/>
              <w:t>до</w:t>
            </w:r>
            <w:r>
              <w:rPr>
                <w:w w:val="100"/>
                <w:sz w:val="28"/>
              </w:rPr>
              <w:t> </w:t>
            </w:r>
            <w:r>
              <w:rPr>
                <w:sz w:val="28"/>
              </w:rPr>
              <w:t>выписки</w:t>
            </w:r>
          </w:p>
        </w:tc>
      </w:tr>
      <w:tr>
        <w:trPr>
          <w:trHeight w:val="1320" w:hRule="exact"/>
        </w:trPr>
        <w:tc>
          <w:tcPr>
            <w:tcW w:w="1939" w:type="dxa"/>
          </w:tcPr>
          <w:p>
            <w:pPr>
              <w:pStyle w:val="TableParagraph"/>
              <w:spacing w:line="276" w:lineRule="auto"/>
              <w:ind w:left="103" w:right="109"/>
              <w:rPr>
                <w:sz w:val="28"/>
              </w:rPr>
            </w:pPr>
            <w:r>
              <w:rPr>
                <w:sz w:val="28"/>
              </w:rPr>
              <w:t>Лапароскопия (n=25)</w:t>
            </w:r>
          </w:p>
        </w:tc>
        <w:tc>
          <w:tcPr>
            <w:tcW w:w="1395" w:type="dxa"/>
          </w:tcPr>
          <w:p>
            <w:pPr>
              <w:pStyle w:val="TableParagraph"/>
              <w:spacing w:before="177"/>
              <w:ind w:left="228"/>
              <w:rPr>
                <w:sz w:val="28"/>
              </w:rPr>
            </w:pPr>
            <w:r>
              <w:rPr>
                <w:sz w:val="28"/>
              </w:rPr>
              <w:t>60±0,95</w:t>
            </w:r>
          </w:p>
          <w:p>
            <w:pPr>
              <w:pStyle w:val="TableParagraph"/>
              <w:spacing w:before="49"/>
              <w:ind w:left="131"/>
              <w:rPr>
                <w:sz w:val="28"/>
              </w:rPr>
            </w:pPr>
            <w:r>
              <w:rPr>
                <w:sz w:val="28"/>
              </w:rPr>
              <w:t>(60 - 125)</w:t>
            </w:r>
          </w:p>
        </w:tc>
        <w:tc>
          <w:tcPr>
            <w:tcW w:w="1320" w:type="dxa"/>
          </w:tcPr>
          <w:p>
            <w:pPr>
              <w:pStyle w:val="TableParagraph"/>
              <w:spacing w:line="315" w:lineRule="exact"/>
              <w:ind w:left="100" w:right="105"/>
              <w:jc w:val="center"/>
              <w:rPr>
                <w:sz w:val="28"/>
              </w:rPr>
            </w:pPr>
            <w:r>
              <w:rPr>
                <w:sz w:val="28"/>
              </w:rPr>
              <w:t>90±0,34</w:t>
            </w:r>
          </w:p>
          <w:p>
            <w:pPr>
              <w:pStyle w:val="TableParagraph"/>
              <w:spacing w:before="47"/>
              <w:ind w:left="100" w:right="105"/>
              <w:jc w:val="center"/>
              <w:rPr>
                <w:sz w:val="28"/>
              </w:rPr>
            </w:pPr>
            <w:r>
              <w:rPr>
                <w:sz w:val="28"/>
              </w:rPr>
              <w:t>(10 -</w:t>
            </w:r>
          </w:p>
          <w:p>
            <w:pPr>
              <w:pStyle w:val="TableParagraph"/>
              <w:spacing w:before="49"/>
              <w:ind w:left="100" w:right="101"/>
              <w:jc w:val="center"/>
              <w:rPr>
                <w:sz w:val="28"/>
              </w:rPr>
            </w:pPr>
            <w:r>
              <w:rPr>
                <w:sz w:val="28"/>
              </w:rPr>
              <w:t>120)</w:t>
            </w:r>
          </w:p>
        </w:tc>
        <w:tc>
          <w:tcPr>
            <w:tcW w:w="1731" w:type="dxa"/>
          </w:tcPr>
          <w:p>
            <w:pPr>
              <w:pStyle w:val="TableParagraph"/>
              <w:spacing w:before="6"/>
              <w:rPr>
                <w:sz w:val="31"/>
              </w:rPr>
            </w:pPr>
          </w:p>
          <w:p>
            <w:pPr>
              <w:pStyle w:val="TableParagraph"/>
              <w:jc w:val="center"/>
              <w:rPr>
                <w:sz w:val="28"/>
              </w:rPr>
            </w:pPr>
            <w:r>
              <w:rPr>
                <w:w w:val="100"/>
                <w:sz w:val="28"/>
              </w:rPr>
              <w:t>-</w:t>
            </w:r>
          </w:p>
        </w:tc>
        <w:tc>
          <w:tcPr>
            <w:tcW w:w="1501" w:type="dxa"/>
          </w:tcPr>
          <w:p>
            <w:pPr>
              <w:pStyle w:val="TableParagraph"/>
              <w:spacing w:before="6"/>
              <w:rPr>
                <w:sz w:val="31"/>
              </w:rPr>
            </w:pPr>
          </w:p>
          <w:p>
            <w:pPr>
              <w:pStyle w:val="TableParagraph"/>
              <w:ind w:left="465" w:right="469"/>
              <w:jc w:val="center"/>
              <w:rPr>
                <w:sz w:val="28"/>
              </w:rPr>
            </w:pPr>
            <w:r>
              <w:rPr>
                <w:sz w:val="28"/>
              </w:rPr>
              <w:t>0 - 1</w:t>
            </w:r>
          </w:p>
        </w:tc>
        <w:tc>
          <w:tcPr>
            <w:tcW w:w="1296" w:type="dxa"/>
          </w:tcPr>
          <w:p>
            <w:pPr>
              <w:pStyle w:val="TableParagraph"/>
              <w:spacing w:before="79"/>
              <w:ind w:right="1"/>
              <w:jc w:val="center"/>
              <w:rPr>
                <w:sz w:val="28"/>
              </w:rPr>
            </w:pPr>
            <w:r>
              <w:rPr>
                <w:w w:val="100"/>
                <w:sz w:val="28"/>
              </w:rPr>
              <w:t>5</w:t>
            </w:r>
          </w:p>
          <w:p>
            <w:pPr>
              <w:pStyle w:val="TableParagraph"/>
              <w:spacing w:before="246"/>
              <w:ind w:left="202" w:right="203"/>
              <w:jc w:val="center"/>
              <w:rPr>
                <w:sz w:val="28"/>
              </w:rPr>
            </w:pPr>
            <w:r>
              <w:rPr>
                <w:sz w:val="28"/>
              </w:rPr>
              <w:t>(3 - 7)</w:t>
            </w:r>
          </w:p>
        </w:tc>
      </w:tr>
      <w:tr>
        <w:trPr>
          <w:trHeight w:val="1322" w:hRule="exact"/>
        </w:trPr>
        <w:tc>
          <w:tcPr>
            <w:tcW w:w="1939" w:type="dxa"/>
          </w:tcPr>
          <w:p>
            <w:pPr>
              <w:pStyle w:val="TableParagraph"/>
              <w:spacing w:line="276" w:lineRule="auto"/>
              <w:ind w:left="103" w:right="220"/>
              <w:rPr>
                <w:sz w:val="28"/>
              </w:rPr>
            </w:pPr>
            <w:r>
              <w:rPr>
                <w:sz w:val="28"/>
              </w:rPr>
              <w:t>Лапаротомия (n=86)</w:t>
            </w:r>
          </w:p>
        </w:tc>
        <w:tc>
          <w:tcPr>
            <w:tcW w:w="1395" w:type="dxa"/>
          </w:tcPr>
          <w:p>
            <w:pPr>
              <w:pStyle w:val="TableParagraph"/>
              <w:spacing w:before="180"/>
              <w:ind w:left="228"/>
              <w:rPr>
                <w:sz w:val="28"/>
              </w:rPr>
            </w:pPr>
            <w:r>
              <w:rPr>
                <w:sz w:val="28"/>
              </w:rPr>
              <w:t>90±0,45</w:t>
            </w:r>
          </w:p>
          <w:p>
            <w:pPr>
              <w:pStyle w:val="TableParagraph"/>
              <w:spacing w:before="47"/>
              <w:ind w:left="131"/>
              <w:rPr>
                <w:sz w:val="28"/>
              </w:rPr>
            </w:pPr>
            <w:r>
              <w:rPr>
                <w:sz w:val="28"/>
              </w:rPr>
              <w:t>(55 - 110)</w:t>
            </w:r>
          </w:p>
        </w:tc>
        <w:tc>
          <w:tcPr>
            <w:tcW w:w="1320" w:type="dxa"/>
          </w:tcPr>
          <w:p>
            <w:pPr>
              <w:pStyle w:val="TableParagraph"/>
              <w:spacing w:line="317" w:lineRule="exact"/>
              <w:ind w:left="100" w:right="105"/>
              <w:jc w:val="center"/>
              <w:rPr>
                <w:sz w:val="28"/>
              </w:rPr>
            </w:pPr>
            <w:r>
              <w:rPr>
                <w:sz w:val="28"/>
              </w:rPr>
              <w:t>250±0,65</w:t>
            </w:r>
          </w:p>
          <w:p>
            <w:pPr>
              <w:pStyle w:val="TableParagraph"/>
              <w:spacing w:before="47"/>
              <w:ind w:left="100" w:right="105"/>
              <w:jc w:val="center"/>
              <w:rPr>
                <w:sz w:val="28"/>
              </w:rPr>
            </w:pPr>
            <w:r>
              <w:rPr>
                <w:sz w:val="28"/>
              </w:rPr>
              <w:t>(100 -</w:t>
            </w:r>
          </w:p>
          <w:p>
            <w:pPr>
              <w:pStyle w:val="TableParagraph"/>
              <w:spacing w:before="47"/>
              <w:ind w:left="100" w:right="101"/>
              <w:jc w:val="center"/>
              <w:rPr>
                <w:sz w:val="28"/>
              </w:rPr>
            </w:pPr>
            <w:r>
              <w:rPr>
                <w:sz w:val="28"/>
              </w:rPr>
              <w:t>350)</w:t>
            </w:r>
          </w:p>
        </w:tc>
        <w:tc>
          <w:tcPr>
            <w:tcW w:w="1731" w:type="dxa"/>
          </w:tcPr>
          <w:p>
            <w:pPr>
              <w:pStyle w:val="TableParagraph"/>
              <w:spacing w:before="6"/>
              <w:rPr>
                <w:sz w:val="28"/>
              </w:rPr>
            </w:pPr>
          </w:p>
          <w:p>
            <w:pPr>
              <w:pStyle w:val="TableParagraph"/>
              <w:ind w:left="726" w:right="725"/>
              <w:jc w:val="center"/>
              <w:rPr>
                <w:sz w:val="18"/>
              </w:rPr>
            </w:pPr>
            <w:r>
              <w:rPr>
                <w:position w:val="-12"/>
                <w:sz w:val="28"/>
              </w:rPr>
              <w:t>1</w:t>
            </w:r>
            <w:r>
              <w:rPr>
                <w:sz w:val="18"/>
              </w:rPr>
              <w:t>*</w:t>
            </w:r>
          </w:p>
        </w:tc>
        <w:tc>
          <w:tcPr>
            <w:tcW w:w="1501" w:type="dxa"/>
          </w:tcPr>
          <w:p>
            <w:pPr>
              <w:pStyle w:val="TableParagraph"/>
              <w:spacing w:before="8"/>
              <w:rPr>
                <w:sz w:val="31"/>
              </w:rPr>
            </w:pPr>
          </w:p>
          <w:p>
            <w:pPr>
              <w:pStyle w:val="TableParagraph"/>
              <w:ind w:left="466" w:right="467"/>
              <w:jc w:val="center"/>
              <w:rPr>
                <w:sz w:val="28"/>
              </w:rPr>
            </w:pPr>
            <w:r>
              <w:rPr>
                <w:sz w:val="28"/>
              </w:rPr>
              <w:t>5 - 8</w:t>
            </w:r>
          </w:p>
        </w:tc>
        <w:tc>
          <w:tcPr>
            <w:tcW w:w="1296" w:type="dxa"/>
          </w:tcPr>
          <w:p>
            <w:pPr>
              <w:pStyle w:val="TableParagraph"/>
              <w:spacing w:before="79"/>
              <w:ind w:right="6"/>
              <w:jc w:val="center"/>
              <w:rPr>
                <w:sz w:val="28"/>
              </w:rPr>
            </w:pPr>
            <w:r>
              <w:rPr>
                <w:w w:val="100"/>
                <w:sz w:val="28"/>
              </w:rPr>
              <w:t>9</w:t>
            </w:r>
          </w:p>
          <w:p>
            <w:pPr>
              <w:pStyle w:val="TableParagraph"/>
              <w:spacing w:before="249"/>
              <w:ind w:left="203" w:right="203"/>
              <w:jc w:val="center"/>
              <w:rPr>
                <w:sz w:val="28"/>
              </w:rPr>
            </w:pPr>
            <w:r>
              <w:rPr>
                <w:sz w:val="28"/>
              </w:rPr>
              <w:t>(8 - 14)</w:t>
            </w:r>
          </w:p>
        </w:tc>
      </w:tr>
    </w:tbl>
    <w:p>
      <w:pPr>
        <w:pStyle w:val="BodyText"/>
        <w:ind w:left="841"/>
      </w:pPr>
      <w:r>
        <w:rPr/>
        <w:t>* - 1 кровотечение из нисходящих ветвей правой маточной артерии</w:t>
      </w:r>
    </w:p>
    <w:p>
      <w:pPr>
        <w:spacing w:after="0"/>
        <w:sectPr>
          <w:pgSz w:w="11900" w:h="16850"/>
          <w:pgMar w:header="712" w:footer="0" w:top="1020" w:bottom="280" w:left="1580" w:right="900"/>
        </w:sectPr>
      </w:pPr>
    </w:p>
    <w:p>
      <w:pPr>
        <w:pStyle w:val="BodyText"/>
        <w:rPr>
          <w:sz w:val="20"/>
        </w:rPr>
      </w:pPr>
    </w:p>
    <w:p>
      <w:pPr>
        <w:pStyle w:val="BodyText"/>
        <w:spacing w:before="2"/>
      </w:pPr>
    </w:p>
    <w:p>
      <w:pPr>
        <w:pStyle w:val="BodyText"/>
        <w:spacing w:line="360" w:lineRule="auto" w:before="89"/>
        <w:ind w:left="102" w:right="100" w:firstLine="719"/>
        <w:jc w:val="both"/>
      </w:pPr>
      <w:r>
        <w:rPr/>
        <w:t>Из таблицы 5.13 видно, что общая длительность операций в 1-й группе составила 60 мин, тогда как в группе, где операции выполнялись лапаротомным доступом - 90 мин. При анализе указанных показателей необходимо учитывать во-первых, время ожидания результатов срочного гистологического и цитологического исследований, а во-вторых, тот факт, что из лапаротомного доступа в 7 раз чаще выполнялись операции в радикальном объеме. В целом же можно говорить о сопоставимой продолжительности выполненных операций.</w:t>
      </w:r>
    </w:p>
    <w:p>
      <w:pPr>
        <w:pStyle w:val="BodyText"/>
        <w:spacing w:line="360" w:lineRule="auto" w:before="5"/>
        <w:ind w:left="102" w:right="99" w:firstLine="208"/>
        <w:jc w:val="both"/>
      </w:pPr>
      <w:r>
        <w:rPr/>
        <w:t>Объем же интраоперационной кровопотери достоверно ниже  оказался при лапароскопических операциях, требующих более тщательного и скрупулезного оперирования в условиях надежного гемостаза. Интраоперационная кровопотеря менее 50 мл отмечалась у 90% больных 1-й группы, только у одной пациентки при конверсионной лапаротомии она составила 125</w:t>
      </w:r>
      <w:r>
        <w:rPr>
          <w:spacing w:val="-9"/>
        </w:rPr>
        <w:t> </w:t>
      </w:r>
      <w:r>
        <w:rPr/>
        <w:t>мл.</w:t>
      </w:r>
    </w:p>
    <w:p>
      <w:pPr>
        <w:pStyle w:val="BodyText"/>
        <w:spacing w:line="360" w:lineRule="auto" w:before="207"/>
        <w:ind w:left="102" w:right="103" w:firstLine="719"/>
        <w:jc w:val="both"/>
      </w:pPr>
      <w:r>
        <w:rPr/>
        <w:t>Интраоперационное осложнение (кровотечение из нисходящих ветвей маточной артерии) возникло в одном случае при выполнении операции открытым доступом.</w:t>
      </w:r>
    </w:p>
    <w:p>
      <w:pPr>
        <w:pStyle w:val="BodyText"/>
        <w:spacing w:line="360" w:lineRule="auto" w:before="204"/>
        <w:ind w:left="102" w:right="100" w:firstLine="719"/>
        <w:jc w:val="both"/>
      </w:pPr>
      <w:r>
        <w:rPr/>
        <w:t>Оценка выраженности болевого синдрома проводилось по шкале ВОЗ (Рис. 6). После лапароскопических операций больные практически не предъявляли жалоб на болевые ощущения, что способствовало ранней активизации, отказу от введения обезболивающих препаратов, быстрому восстановлению работы</w:t>
      </w:r>
      <w:r>
        <w:rPr>
          <w:spacing w:val="-13"/>
        </w:rPr>
        <w:t> </w:t>
      </w:r>
      <w:r>
        <w:rPr/>
        <w:t>кишечника.</w:t>
      </w:r>
    </w:p>
    <w:p>
      <w:pPr>
        <w:spacing w:after="0" w:line="360" w:lineRule="auto"/>
        <w:jc w:val="both"/>
        <w:sectPr>
          <w:pgSz w:w="11900" w:h="16850"/>
          <w:pgMar w:header="712" w:footer="0" w:top="1020" w:bottom="280" w:left="1600" w:right="1020"/>
        </w:sectPr>
      </w:pPr>
    </w:p>
    <w:p>
      <w:pPr>
        <w:pStyle w:val="BodyText"/>
        <w:rPr>
          <w:sz w:val="20"/>
        </w:rPr>
      </w:pPr>
    </w:p>
    <w:p>
      <w:pPr>
        <w:pStyle w:val="BodyText"/>
        <w:spacing w:before="2"/>
      </w:pPr>
    </w:p>
    <w:p>
      <w:pPr>
        <w:pStyle w:val="BodyText"/>
        <w:spacing w:line="482" w:lineRule="auto" w:before="89"/>
        <w:ind w:left="2142" w:right="85" w:firstLine="5617"/>
      </w:pPr>
      <w:r>
        <w:rPr/>
        <w:t>Рисунок 5.2 Шкала оценки интенсивности боли (ВОЗ, 2007)</w:t>
      </w:r>
    </w:p>
    <w:p>
      <w:pPr>
        <w:pStyle w:val="BodyText"/>
        <w:rPr>
          <w:sz w:val="20"/>
        </w:rPr>
      </w:pPr>
    </w:p>
    <w:p>
      <w:pPr>
        <w:pStyle w:val="BodyText"/>
        <w:rPr>
          <w:sz w:val="20"/>
        </w:rPr>
      </w:pPr>
    </w:p>
    <w:p>
      <w:pPr>
        <w:pStyle w:val="BodyText"/>
        <w:spacing w:before="3"/>
        <w:rPr>
          <w:sz w:val="17"/>
        </w:rPr>
      </w:pPr>
      <w:r>
        <w:rPr/>
        <w:drawing>
          <wp:anchor distT="0" distB="0" distL="0" distR="0" allowOverlap="1" layoutInCell="1" locked="0" behindDoc="0" simplePos="0" relativeHeight="6304">
            <wp:simplePos x="0" y="0"/>
            <wp:positionH relativeFrom="page">
              <wp:posOffset>1537335</wp:posOffset>
            </wp:positionH>
            <wp:positionV relativeFrom="paragraph">
              <wp:posOffset>150871</wp:posOffset>
            </wp:positionV>
            <wp:extent cx="4913792" cy="3381375"/>
            <wp:effectExtent l="0" t="0" r="0" b="0"/>
            <wp:wrapTopAndBottom/>
            <wp:docPr id="99" name="image142.png" descr=""/>
            <wp:cNvGraphicFramePr>
              <a:graphicFrameLocks noChangeAspect="1"/>
            </wp:cNvGraphicFramePr>
            <a:graphic>
              <a:graphicData uri="http://schemas.openxmlformats.org/drawingml/2006/picture">
                <pic:pic>
                  <pic:nvPicPr>
                    <pic:cNvPr id="100" name="image142.png"/>
                    <pic:cNvPicPr/>
                  </pic:nvPicPr>
                  <pic:blipFill>
                    <a:blip r:embed="rId160" cstate="print"/>
                    <a:stretch>
                      <a:fillRect/>
                    </a:stretch>
                  </pic:blipFill>
                  <pic:spPr>
                    <a:xfrm>
                      <a:off x="0" y="0"/>
                      <a:ext cx="4913792" cy="3381375"/>
                    </a:xfrm>
                    <a:prstGeom prst="rect">
                      <a:avLst/>
                    </a:prstGeom>
                  </pic:spPr>
                </pic:pic>
              </a:graphicData>
            </a:graphic>
          </wp:anchor>
        </w:drawing>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8"/>
        <w:rPr>
          <w:sz w:val="26"/>
        </w:rPr>
      </w:pPr>
    </w:p>
    <w:p>
      <w:pPr>
        <w:pStyle w:val="BodyText"/>
        <w:spacing w:line="360" w:lineRule="auto" w:before="1"/>
        <w:ind w:left="102" w:right="104" w:firstLine="719"/>
        <w:jc w:val="both"/>
      </w:pPr>
      <w:r>
        <w:rPr/>
        <w:t>О более предпочтительном для больных лапароскопическом доступе, с точки зрения «переносимости» хирургического вмешательства, говорит и достоверное (в 2 раза)  сокращение сроков госпитализации.</w:t>
      </w:r>
    </w:p>
    <w:p>
      <w:pPr>
        <w:pStyle w:val="BodyText"/>
        <w:spacing w:line="360" w:lineRule="auto" w:before="204"/>
        <w:ind w:left="102" w:right="105" w:firstLine="719"/>
        <w:jc w:val="both"/>
      </w:pPr>
      <w:r>
        <w:rPr/>
        <w:t>В отношении риска послеоперационных осложнений лапароскопический доступ также оказался практически безопасным (Табл. 5.14).</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508" w:lineRule="auto" w:before="224" w:after="22"/>
        <w:ind w:left="1384" w:right="108" w:firstLine="6246"/>
      </w:pPr>
      <w:r>
        <w:rPr/>
        <w:t>Таблица 5.14 Послеоперационные осложнения у больных раком яичников</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8"/>
        <w:gridCol w:w="2127"/>
        <w:gridCol w:w="2269"/>
      </w:tblGrid>
      <w:tr>
        <w:trPr>
          <w:trHeight w:val="1054" w:hRule="exact"/>
        </w:trPr>
        <w:tc>
          <w:tcPr>
            <w:tcW w:w="4678" w:type="dxa"/>
          </w:tcPr>
          <w:p>
            <w:pPr>
              <w:pStyle w:val="TableParagraph"/>
              <w:spacing w:before="254"/>
              <w:ind w:left="347"/>
              <w:rPr>
                <w:sz w:val="28"/>
              </w:rPr>
            </w:pPr>
            <w:r>
              <w:rPr>
                <w:sz w:val="28"/>
              </w:rPr>
              <w:t>Послеоперационные осложнения</w:t>
            </w:r>
          </w:p>
        </w:tc>
        <w:tc>
          <w:tcPr>
            <w:tcW w:w="2127" w:type="dxa"/>
          </w:tcPr>
          <w:p>
            <w:pPr>
              <w:pStyle w:val="TableParagraph"/>
              <w:spacing w:line="388" w:lineRule="auto"/>
              <w:ind w:left="605" w:right="191" w:hanging="396"/>
              <w:rPr>
                <w:sz w:val="28"/>
              </w:rPr>
            </w:pPr>
            <w:r>
              <w:rPr>
                <w:sz w:val="28"/>
              </w:rPr>
              <w:t>Лапароскопия (n = 25)</w:t>
            </w:r>
          </w:p>
        </w:tc>
        <w:tc>
          <w:tcPr>
            <w:tcW w:w="2269" w:type="dxa"/>
          </w:tcPr>
          <w:p>
            <w:pPr>
              <w:pStyle w:val="TableParagraph"/>
              <w:spacing w:line="388" w:lineRule="auto"/>
              <w:ind w:left="677" w:right="319" w:hanging="344"/>
              <w:rPr>
                <w:sz w:val="28"/>
              </w:rPr>
            </w:pPr>
            <w:r>
              <w:rPr>
                <w:sz w:val="28"/>
              </w:rPr>
              <w:t>Лапаротомия (n = 86)</w:t>
            </w:r>
          </w:p>
        </w:tc>
      </w:tr>
      <w:tr>
        <w:trPr>
          <w:trHeight w:val="533" w:hRule="exact"/>
        </w:trPr>
        <w:tc>
          <w:tcPr>
            <w:tcW w:w="4678" w:type="dxa"/>
          </w:tcPr>
          <w:p>
            <w:pPr>
              <w:pStyle w:val="TableParagraph"/>
              <w:spacing w:line="315" w:lineRule="exact"/>
              <w:ind w:left="103"/>
              <w:rPr>
                <w:sz w:val="28"/>
              </w:rPr>
            </w:pPr>
            <w:r>
              <w:rPr>
                <w:sz w:val="28"/>
              </w:rPr>
              <w:t>Серома послеоперационной раны</w:t>
            </w:r>
          </w:p>
        </w:tc>
        <w:tc>
          <w:tcPr>
            <w:tcW w:w="2127" w:type="dxa"/>
          </w:tcPr>
          <w:p>
            <w:pPr>
              <w:pStyle w:val="TableParagraph"/>
              <w:spacing w:line="315" w:lineRule="exact"/>
              <w:ind w:left="1"/>
              <w:jc w:val="center"/>
              <w:rPr>
                <w:sz w:val="28"/>
              </w:rPr>
            </w:pPr>
            <w:r>
              <w:rPr>
                <w:w w:val="100"/>
                <w:sz w:val="28"/>
              </w:rPr>
              <w:t>0</w:t>
            </w:r>
          </w:p>
        </w:tc>
        <w:tc>
          <w:tcPr>
            <w:tcW w:w="2269" w:type="dxa"/>
          </w:tcPr>
          <w:p>
            <w:pPr>
              <w:pStyle w:val="TableParagraph"/>
              <w:spacing w:line="315" w:lineRule="exact"/>
              <w:jc w:val="center"/>
              <w:rPr>
                <w:sz w:val="28"/>
              </w:rPr>
            </w:pPr>
            <w:r>
              <w:rPr>
                <w:w w:val="100"/>
                <w:sz w:val="28"/>
              </w:rPr>
              <w:t>3</w:t>
            </w:r>
          </w:p>
        </w:tc>
      </w:tr>
      <w:tr>
        <w:trPr>
          <w:trHeight w:val="531" w:hRule="exact"/>
        </w:trPr>
        <w:tc>
          <w:tcPr>
            <w:tcW w:w="4678" w:type="dxa"/>
          </w:tcPr>
          <w:p>
            <w:pPr>
              <w:pStyle w:val="TableParagraph"/>
              <w:spacing w:line="315" w:lineRule="exact"/>
              <w:ind w:left="103"/>
              <w:rPr>
                <w:sz w:val="28"/>
              </w:rPr>
            </w:pPr>
            <w:r>
              <w:rPr>
                <w:sz w:val="28"/>
              </w:rPr>
              <w:t>Парез кишечника</w:t>
            </w:r>
          </w:p>
        </w:tc>
        <w:tc>
          <w:tcPr>
            <w:tcW w:w="2127" w:type="dxa"/>
          </w:tcPr>
          <w:p>
            <w:pPr>
              <w:pStyle w:val="TableParagraph"/>
              <w:spacing w:line="315" w:lineRule="exact"/>
              <w:ind w:left="1"/>
              <w:jc w:val="center"/>
              <w:rPr>
                <w:sz w:val="28"/>
              </w:rPr>
            </w:pPr>
            <w:r>
              <w:rPr>
                <w:w w:val="100"/>
                <w:sz w:val="28"/>
              </w:rPr>
              <w:t>0</w:t>
            </w:r>
          </w:p>
        </w:tc>
        <w:tc>
          <w:tcPr>
            <w:tcW w:w="2269" w:type="dxa"/>
          </w:tcPr>
          <w:p>
            <w:pPr>
              <w:pStyle w:val="TableParagraph"/>
              <w:spacing w:line="315" w:lineRule="exact"/>
              <w:jc w:val="center"/>
              <w:rPr>
                <w:sz w:val="28"/>
              </w:rPr>
            </w:pPr>
            <w:r>
              <w:rPr>
                <w:w w:val="100"/>
                <w:sz w:val="28"/>
              </w:rPr>
              <w:t>3</w:t>
            </w:r>
          </w:p>
        </w:tc>
      </w:tr>
      <w:tr>
        <w:trPr>
          <w:trHeight w:val="533" w:hRule="exact"/>
        </w:trPr>
        <w:tc>
          <w:tcPr>
            <w:tcW w:w="4678" w:type="dxa"/>
          </w:tcPr>
          <w:p>
            <w:pPr>
              <w:pStyle w:val="TableParagraph"/>
              <w:spacing w:line="315" w:lineRule="exact"/>
              <w:ind w:left="103"/>
              <w:rPr>
                <w:sz w:val="28"/>
              </w:rPr>
            </w:pPr>
            <w:r>
              <w:rPr>
                <w:sz w:val="28"/>
              </w:rPr>
              <w:t>Пневмония</w:t>
            </w:r>
          </w:p>
        </w:tc>
        <w:tc>
          <w:tcPr>
            <w:tcW w:w="2127" w:type="dxa"/>
          </w:tcPr>
          <w:p>
            <w:pPr>
              <w:pStyle w:val="TableParagraph"/>
              <w:spacing w:line="315" w:lineRule="exact"/>
              <w:ind w:left="1"/>
              <w:jc w:val="center"/>
              <w:rPr>
                <w:sz w:val="28"/>
              </w:rPr>
            </w:pPr>
            <w:r>
              <w:rPr>
                <w:w w:val="100"/>
                <w:sz w:val="28"/>
              </w:rPr>
              <w:t>0</w:t>
            </w:r>
          </w:p>
        </w:tc>
        <w:tc>
          <w:tcPr>
            <w:tcW w:w="2269" w:type="dxa"/>
          </w:tcPr>
          <w:p>
            <w:pPr>
              <w:pStyle w:val="TableParagraph"/>
              <w:spacing w:line="315" w:lineRule="exact"/>
              <w:jc w:val="center"/>
              <w:rPr>
                <w:sz w:val="28"/>
              </w:rPr>
            </w:pPr>
            <w:r>
              <w:rPr>
                <w:w w:val="100"/>
                <w:sz w:val="28"/>
              </w:rPr>
              <w:t>1</w:t>
            </w:r>
          </w:p>
        </w:tc>
      </w:tr>
      <w:tr>
        <w:trPr>
          <w:trHeight w:val="533" w:hRule="exact"/>
        </w:trPr>
        <w:tc>
          <w:tcPr>
            <w:tcW w:w="4678" w:type="dxa"/>
          </w:tcPr>
          <w:p>
            <w:pPr>
              <w:pStyle w:val="TableParagraph"/>
              <w:spacing w:line="315" w:lineRule="exact"/>
              <w:ind w:left="103"/>
              <w:rPr>
                <w:sz w:val="28"/>
              </w:rPr>
            </w:pPr>
            <w:r>
              <w:rPr>
                <w:sz w:val="28"/>
              </w:rPr>
              <w:t>Всего</w:t>
            </w:r>
          </w:p>
        </w:tc>
        <w:tc>
          <w:tcPr>
            <w:tcW w:w="2127" w:type="dxa"/>
          </w:tcPr>
          <w:p>
            <w:pPr>
              <w:pStyle w:val="TableParagraph"/>
              <w:spacing w:line="315" w:lineRule="exact"/>
              <w:ind w:left="1"/>
              <w:jc w:val="center"/>
              <w:rPr>
                <w:sz w:val="28"/>
              </w:rPr>
            </w:pPr>
            <w:r>
              <w:rPr>
                <w:w w:val="100"/>
                <w:sz w:val="28"/>
              </w:rPr>
              <w:t>0</w:t>
            </w:r>
          </w:p>
        </w:tc>
        <w:tc>
          <w:tcPr>
            <w:tcW w:w="2269" w:type="dxa"/>
          </w:tcPr>
          <w:p>
            <w:pPr>
              <w:pStyle w:val="TableParagraph"/>
              <w:spacing w:line="315" w:lineRule="exact"/>
              <w:jc w:val="center"/>
              <w:rPr>
                <w:sz w:val="28"/>
              </w:rPr>
            </w:pPr>
            <w:r>
              <w:rPr>
                <w:w w:val="100"/>
                <w:sz w:val="28"/>
              </w:rPr>
              <w:t>7</w:t>
            </w:r>
          </w:p>
        </w:tc>
      </w:tr>
    </w:tbl>
    <w:p>
      <w:pPr>
        <w:pStyle w:val="BodyText"/>
        <w:spacing w:before="3"/>
        <w:rPr>
          <w:sz w:val="41"/>
        </w:rPr>
      </w:pPr>
    </w:p>
    <w:p>
      <w:pPr>
        <w:pStyle w:val="BodyText"/>
        <w:spacing w:line="360" w:lineRule="auto" w:before="1"/>
        <w:ind w:left="122" w:right="118" w:firstLine="719"/>
        <w:jc w:val="both"/>
      </w:pPr>
      <w:r>
        <w:rPr/>
        <w:t>Осложнения после лапаротомий встретились менее чем в  8% случаев, не были тяжелыми и, за редким исключением, не привели к удлинению сроков госпитализации. И все же полное отсутствие как интра-, так и послеоперационных осложнений после лапароскопических операций позволяет признать этот доступ наиболее безопасным.</w:t>
      </w:r>
    </w:p>
    <w:p>
      <w:pPr>
        <w:pStyle w:val="BodyText"/>
        <w:spacing w:line="360" w:lineRule="auto" w:before="5"/>
        <w:ind w:left="122" w:right="126" w:firstLine="719"/>
        <w:jc w:val="both"/>
      </w:pPr>
      <w:r>
        <w:rPr/>
        <w:t>В этой главе мы вновь убедились в преимуществах лапароскопического доступа в хирургии рака органов репродуктивной системы. Применительно к лечению больных раком эндометрия лапароскопические операции уже во всем мире признаны оптимальными еще в связи и с тем, что они не оказывают отрицательного влияния на прогноз заболевания.</w:t>
      </w:r>
    </w:p>
    <w:p>
      <w:pPr>
        <w:spacing w:after="0" w:line="360" w:lineRule="auto"/>
        <w:jc w:val="both"/>
        <w:sectPr>
          <w:headerReference w:type="default" r:id="rId161"/>
          <w:pgSz w:w="11900" w:h="16850"/>
          <w:pgMar w:header="712" w:footer="0" w:top="1020" w:bottom="280" w:left="1580" w:right="1000"/>
          <w:pgNumType w:start="230"/>
        </w:sectPr>
      </w:pPr>
    </w:p>
    <w:p>
      <w:pPr>
        <w:pStyle w:val="BodyText"/>
        <w:rPr>
          <w:sz w:val="20"/>
        </w:rPr>
      </w:pPr>
    </w:p>
    <w:p>
      <w:pPr>
        <w:pStyle w:val="Heading1"/>
        <w:numPr>
          <w:ilvl w:val="2"/>
          <w:numId w:val="30"/>
        </w:numPr>
        <w:tabs>
          <w:tab w:pos="1556" w:val="left" w:leader="none"/>
        </w:tabs>
        <w:spacing w:line="362" w:lineRule="auto" w:before="257" w:after="0"/>
        <w:ind w:left="1798" w:right="139" w:hanging="943"/>
        <w:jc w:val="left"/>
      </w:pPr>
      <w:r>
        <w:rPr/>
        <w:t>Отдаленные результаты лечения больных раком яичников I стадии после лапароскопических</w:t>
      </w:r>
      <w:r>
        <w:rPr>
          <w:spacing w:val="-15"/>
        </w:rPr>
        <w:t> </w:t>
      </w:r>
      <w:r>
        <w:rPr/>
        <w:t>операций</w:t>
      </w:r>
    </w:p>
    <w:p>
      <w:pPr>
        <w:pStyle w:val="BodyText"/>
        <w:rPr>
          <w:b/>
          <w:sz w:val="30"/>
        </w:rPr>
      </w:pPr>
    </w:p>
    <w:p>
      <w:pPr>
        <w:pStyle w:val="BodyText"/>
        <w:rPr>
          <w:b/>
          <w:sz w:val="30"/>
        </w:rPr>
      </w:pPr>
    </w:p>
    <w:p>
      <w:pPr>
        <w:pStyle w:val="BodyText"/>
        <w:spacing w:before="7"/>
        <w:rPr>
          <w:b/>
          <w:sz w:val="23"/>
        </w:rPr>
      </w:pPr>
    </w:p>
    <w:p>
      <w:pPr>
        <w:pStyle w:val="BodyText"/>
        <w:tabs>
          <w:tab w:pos="4188" w:val="left" w:leader="none"/>
        </w:tabs>
        <w:spacing w:line="362" w:lineRule="auto"/>
        <w:ind w:left="102" w:right="568" w:firstLine="719"/>
      </w:pPr>
      <w:r>
        <w:rPr/>
        <w:t>В этом разделе</w:t>
      </w:r>
      <w:r>
        <w:rPr>
          <w:spacing w:val="-5"/>
        </w:rPr>
        <w:t> </w:t>
      </w:r>
      <w:r>
        <w:rPr/>
        <w:t>работы</w:t>
      </w:r>
      <w:r>
        <w:rPr>
          <w:spacing w:val="-1"/>
        </w:rPr>
        <w:t> </w:t>
      </w:r>
      <w:r>
        <w:rPr/>
        <w:t>мы</w:t>
        <w:tab/>
        <w:t>рассмотрели</w:t>
      </w:r>
      <w:r>
        <w:rPr>
          <w:spacing w:val="-9"/>
        </w:rPr>
        <w:t> </w:t>
      </w:r>
      <w:r>
        <w:rPr/>
        <w:t>онкологические</w:t>
      </w:r>
      <w:r>
        <w:rPr>
          <w:spacing w:val="-9"/>
        </w:rPr>
        <w:t> </w:t>
      </w:r>
      <w:r>
        <w:rPr/>
        <w:t>аспекты</w:t>
      </w:r>
      <w:r>
        <w:rPr>
          <w:w w:val="100"/>
        </w:rPr>
        <w:t> </w:t>
      </w:r>
      <w:r>
        <w:rPr/>
        <w:t>лапароскопического доступа в хирургии начального рака</w:t>
      </w:r>
      <w:r>
        <w:rPr>
          <w:spacing w:val="-20"/>
        </w:rPr>
        <w:t> </w:t>
      </w:r>
      <w:r>
        <w:rPr/>
        <w:t>яичников.</w:t>
      </w:r>
    </w:p>
    <w:p>
      <w:pPr>
        <w:pStyle w:val="BodyText"/>
        <w:spacing w:line="360" w:lineRule="auto" w:before="1"/>
        <w:ind w:left="102" w:right="101" w:firstLine="719"/>
        <w:jc w:val="both"/>
      </w:pPr>
      <w:r>
        <w:rPr/>
        <w:t>Основным критерием оценки эффективности проведенного лечения  в онкологии являются показатели общей и безрецидивной выживаемости больных. Как уже было показано в обзоре литературы, рак яичников является самой агрессивной опухолью органов женской репродуктивной системы. 5- летняя выживаемость при этой патологии не превышает 30% и не меняется на протяжение уже более 40 лет. Если говорить о первой стадии заболевания, которая, к сожалению, на сегодняшний день остается большой редкостью, то выживаемость в этой ситуации может достигать 90%. Как известно, рецидивы рака яичников чаще всего возникают в течение первого года наблюдения после законченного первичного лечения. 134 больные раком яичников, описываемые в этой главе, прослежены в сроки от 3 до 10 и более</w:t>
      </w:r>
      <w:r>
        <w:rPr>
          <w:spacing w:val="-10"/>
        </w:rPr>
        <w:t> </w:t>
      </w:r>
      <w:r>
        <w:rPr/>
        <w:t>лет.</w:t>
      </w:r>
    </w:p>
    <w:p>
      <w:pPr>
        <w:pStyle w:val="BodyText"/>
        <w:spacing w:line="360" w:lineRule="auto" w:before="7"/>
        <w:ind w:left="102" w:right="249" w:firstLine="719"/>
        <w:jc w:val="both"/>
      </w:pPr>
      <w:r>
        <w:rPr/>
        <w:t>Прежде всего, мы сопоставили отдаленные результаты с применявшимися программами комплексного лечения.</w:t>
      </w:r>
    </w:p>
    <w:p>
      <w:pPr>
        <w:pStyle w:val="BodyText"/>
        <w:spacing w:line="360" w:lineRule="auto" w:before="5"/>
        <w:ind w:left="102" w:right="245" w:firstLine="719"/>
        <w:jc w:val="both"/>
      </w:pPr>
      <w:r>
        <w:rPr/>
        <w:t>Влияние степени дифференцировки опухоли и ее гистотипа на показатели выживаемости в зависимости от применявшихся методов лечения представлено в следующих таблицах (Табл. 5.15, 5.16).</w:t>
      </w:r>
    </w:p>
    <w:p>
      <w:pPr>
        <w:spacing w:after="0" w:line="360" w:lineRule="auto"/>
        <w:jc w:val="both"/>
        <w:sectPr>
          <w:pgSz w:w="11900" w:h="16850"/>
          <w:pgMar w:header="712" w:footer="0" w:top="1020" w:bottom="280" w:left="1600" w:right="1020"/>
        </w:sectPr>
      </w:pPr>
    </w:p>
    <w:p>
      <w:pPr>
        <w:pStyle w:val="BodyText"/>
        <w:rPr>
          <w:sz w:val="20"/>
        </w:rPr>
      </w:pPr>
    </w:p>
    <w:p>
      <w:pPr>
        <w:pStyle w:val="BodyText"/>
        <w:spacing w:line="362" w:lineRule="auto" w:before="252"/>
        <w:ind w:left="613" w:right="167" w:firstLine="6798"/>
      </w:pPr>
      <w:r>
        <w:rPr/>
        <w:t>Таблица 5.15 Безрецидивная выживаемость больных раком яичников I стадии в</w:t>
      </w:r>
    </w:p>
    <w:p>
      <w:pPr>
        <w:pStyle w:val="BodyText"/>
        <w:spacing w:before="2"/>
        <w:ind w:left="1342"/>
      </w:pPr>
      <w:r>
        <w:rPr/>
        <w:t>зависимости от гистотипа опухоли и методов лечения</w:t>
      </w:r>
    </w:p>
    <w:p>
      <w:pPr>
        <w:pStyle w:val="BodyText"/>
        <w:rPr>
          <w:sz w:val="20"/>
        </w:rPr>
      </w:pPr>
    </w:p>
    <w:p>
      <w:pPr>
        <w:pStyle w:val="BodyText"/>
        <w:rPr>
          <w:sz w:val="20"/>
        </w:rPr>
      </w:pPr>
    </w:p>
    <w:p>
      <w:pPr>
        <w:pStyle w:val="BodyText"/>
        <w:spacing w:before="5" w:after="1"/>
        <w:rPr>
          <w:sz w:val="16"/>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6"/>
        <w:gridCol w:w="991"/>
        <w:gridCol w:w="1277"/>
        <w:gridCol w:w="1274"/>
        <w:gridCol w:w="1277"/>
        <w:gridCol w:w="1416"/>
      </w:tblGrid>
      <w:tr>
        <w:trPr>
          <w:trHeight w:val="977" w:hRule="exact"/>
        </w:trPr>
        <w:tc>
          <w:tcPr>
            <w:tcW w:w="2696" w:type="dxa"/>
            <w:vMerge w:val="restart"/>
          </w:tcPr>
          <w:p>
            <w:pPr>
              <w:pStyle w:val="TableParagraph"/>
              <w:rPr>
                <w:sz w:val="30"/>
              </w:rPr>
            </w:pPr>
          </w:p>
          <w:p>
            <w:pPr>
              <w:pStyle w:val="TableParagraph"/>
              <w:rPr>
                <w:sz w:val="30"/>
              </w:rPr>
            </w:pPr>
          </w:p>
          <w:p>
            <w:pPr>
              <w:pStyle w:val="TableParagraph"/>
              <w:rPr>
                <w:sz w:val="30"/>
              </w:rPr>
            </w:pPr>
          </w:p>
          <w:p>
            <w:pPr>
              <w:pStyle w:val="TableParagraph"/>
              <w:spacing w:before="10"/>
              <w:rPr>
                <w:sz w:val="35"/>
              </w:rPr>
            </w:pPr>
          </w:p>
          <w:p>
            <w:pPr>
              <w:pStyle w:val="TableParagraph"/>
              <w:ind w:left="367"/>
              <w:rPr>
                <w:sz w:val="28"/>
              </w:rPr>
            </w:pPr>
            <w:r>
              <w:rPr>
                <w:sz w:val="28"/>
              </w:rPr>
              <w:t>Метод лечения</w:t>
            </w:r>
          </w:p>
        </w:tc>
        <w:tc>
          <w:tcPr>
            <w:tcW w:w="991" w:type="dxa"/>
            <w:vMerge w:val="restart"/>
          </w:tcPr>
          <w:p>
            <w:pPr>
              <w:pStyle w:val="TableParagraph"/>
              <w:spacing w:before="11"/>
              <w:rPr>
                <w:sz w:val="41"/>
              </w:rPr>
            </w:pPr>
          </w:p>
          <w:p>
            <w:pPr>
              <w:pStyle w:val="TableParagraph"/>
              <w:spacing w:line="360" w:lineRule="auto"/>
              <w:ind w:left="39" w:right="184"/>
              <w:jc w:val="center"/>
              <w:rPr>
                <w:sz w:val="28"/>
              </w:rPr>
            </w:pPr>
            <w:r>
              <w:rPr>
                <w:sz w:val="28"/>
              </w:rPr>
              <w:t>Кол- во боль</w:t>
            </w:r>
          </w:p>
          <w:p>
            <w:pPr>
              <w:pStyle w:val="TableParagraph"/>
              <w:spacing w:before="7"/>
              <w:ind w:left="41" w:right="184"/>
              <w:jc w:val="center"/>
              <w:rPr>
                <w:sz w:val="28"/>
              </w:rPr>
            </w:pPr>
            <w:r>
              <w:rPr>
                <w:sz w:val="28"/>
              </w:rPr>
              <w:t>-ных</w:t>
            </w:r>
          </w:p>
        </w:tc>
        <w:tc>
          <w:tcPr>
            <w:tcW w:w="5245" w:type="dxa"/>
            <w:gridSpan w:val="4"/>
          </w:tcPr>
          <w:p>
            <w:pPr>
              <w:pStyle w:val="TableParagraph"/>
              <w:spacing w:line="362" w:lineRule="auto"/>
              <w:ind w:left="2335" w:right="335" w:hanging="2127"/>
              <w:rPr>
                <w:sz w:val="28"/>
              </w:rPr>
            </w:pPr>
            <w:r>
              <w:rPr>
                <w:sz w:val="28"/>
              </w:rPr>
              <w:t>3-летняя безрецидивная выживаемость (%)</w:t>
            </w:r>
          </w:p>
        </w:tc>
      </w:tr>
      <w:tr>
        <w:trPr>
          <w:trHeight w:val="1942" w:hRule="exact"/>
        </w:trPr>
        <w:tc>
          <w:tcPr>
            <w:tcW w:w="2696" w:type="dxa"/>
            <w:vMerge/>
          </w:tcPr>
          <w:p>
            <w:pPr/>
          </w:p>
        </w:tc>
        <w:tc>
          <w:tcPr>
            <w:tcW w:w="991" w:type="dxa"/>
            <w:vMerge/>
          </w:tcPr>
          <w:p>
            <w:pPr/>
          </w:p>
        </w:tc>
        <w:tc>
          <w:tcPr>
            <w:tcW w:w="1277" w:type="dxa"/>
          </w:tcPr>
          <w:p>
            <w:pPr>
              <w:pStyle w:val="TableParagraph"/>
              <w:spacing w:before="4"/>
              <w:rPr>
                <w:sz w:val="41"/>
              </w:rPr>
            </w:pPr>
          </w:p>
          <w:p>
            <w:pPr>
              <w:pStyle w:val="TableParagraph"/>
              <w:spacing w:line="362" w:lineRule="auto"/>
              <w:ind w:left="316" w:right="322" w:hanging="123"/>
              <w:rPr>
                <w:sz w:val="28"/>
              </w:rPr>
            </w:pPr>
            <w:r>
              <w:rPr>
                <w:sz w:val="28"/>
              </w:rPr>
              <w:t>сероз- ный</w:t>
            </w:r>
          </w:p>
        </w:tc>
        <w:tc>
          <w:tcPr>
            <w:tcW w:w="1274" w:type="dxa"/>
          </w:tcPr>
          <w:p>
            <w:pPr>
              <w:pStyle w:val="TableParagraph"/>
              <w:spacing w:before="4"/>
              <w:rPr>
                <w:sz w:val="41"/>
              </w:rPr>
            </w:pPr>
          </w:p>
          <w:p>
            <w:pPr>
              <w:pStyle w:val="TableParagraph"/>
              <w:spacing w:line="362" w:lineRule="auto"/>
              <w:ind w:left="115" w:right="241" w:firstLine="88"/>
              <w:rPr>
                <w:sz w:val="28"/>
              </w:rPr>
            </w:pPr>
            <w:r>
              <w:rPr>
                <w:sz w:val="28"/>
              </w:rPr>
              <w:t>муци- нозный</w:t>
            </w:r>
          </w:p>
        </w:tc>
        <w:tc>
          <w:tcPr>
            <w:tcW w:w="1277" w:type="dxa"/>
          </w:tcPr>
          <w:p>
            <w:pPr>
              <w:pStyle w:val="TableParagraph"/>
              <w:spacing w:line="360" w:lineRule="auto" w:before="235"/>
              <w:ind w:left="134" w:right="276" w:hanging="1"/>
              <w:jc w:val="center"/>
              <w:rPr>
                <w:sz w:val="28"/>
              </w:rPr>
            </w:pPr>
            <w:r>
              <w:rPr>
                <w:sz w:val="28"/>
              </w:rPr>
              <w:t>эндо- метрио</w:t>
            </w:r>
          </w:p>
          <w:p>
            <w:pPr>
              <w:pStyle w:val="TableParagraph"/>
              <w:spacing w:before="5"/>
              <w:ind w:left="106" w:right="247"/>
              <w:jc w:val="center"/>
              <w:rPr>
                <w:sz w:val="28"/>
              </w:rPr>
            </w:pPr>
            <w:r>
              <w:rPr>
                <w:sz w:val="28"/>
              </w:rPr>
              <w:t>-идный</w:t>
            </w:r>
          </w:p>
        </w:tc>
        <w:tc>
          <w:tcPr>
            <w:tcW w:w="1416" w:type="dxa"/>
          </w:tcPr>
          <w:p>
            <w:pPr>
              <w:pStyle w:val="TableParagraph"/>
              <w:spacing w:line="360" w:lineRule="auto"/>
              <w:ind w:left="117" w:right="259" w:hanging="1"/>
              <w:jc w:val="center"/>
              <w:rPr>
                <w:sz w:val="28"/>
              </w:rPr>
            </w:pPr>
            <w:r>
              <w:rPr>
                <w:sz w:val="28"/>
              </w:rPr>
              <w:t>мезо- нефроид</w:t>
            </w:r>
          </w:p>
          <w:p>
            <w:pPr>
              <w:pStyle w:val="TableParagraph"/>
              <w:spacing w:before="14"/>
              <w:ind w:right="144"/>
              <w:jc w:val="center"/>
              <w:rPr>
                <w:sz w:val="28"/>
              </w:rPr>
            </w:pPr>
            <w:r>
              <w:rPr>
                <w:w w:val="100"/>
                <w:sz w:val="28"/>
              </w:rPr>
              <w:t>-</w:t>
            </w:r>
          </w:p>
          <w:p>
            <w:pPr>
              <w:pStyle w:val="TableParagraph"/>
              <w:spacing w:before="159"/>
              <w:ind w:left="115" w:right="258"/>
              <w:jc w:val="center"/>
              <w:rPr>
                <w:sz w:val="28"/>
              </w:rPr>
            </w:pPr>
            <w:r>
              <w:rPr>
                <w:sz w:val="28"/>
              </w:rPr>
              <w:t>ный</w:t>
            </w:r>
          </w:p>
        </w:tc>
      </w:tr>
      <w:tr>
        <w:trPr>
          <w:trHeight w:val="1459" w:hRule="exact"/>
        </w:trPr>
        <w:tc>
          <w:tcPr>
            <w:tcW w:w="2696" w:type="dxa"/>
          </w:tcPr>
          <w:p>
            <w:pPr>
              <w:pStyle w:val="TableParagraph"/>
              <w:spacing w:line="360" w:lineRule="auto"/>
              <w:ind w:left="388" w:right="530" w:hanging="1"/>
              <w:jc w:val="center"/>
              <w:rPr>
                <w:sz w:val="28"/>
              </w:rPr>
            </w:pPr>
            <w:r>
              <w:rPr>
                <w:sz w:val="28"/>
              </w:rPr>
              <w:t>Органосохра- няющее хирургическое</w:t>
            </w:r>
          </w:p>
        </w:tc>
        <w:tc>
          <w:tcPr>
            <w:tcW w:w="991" w:type="dxa"/>
          </w:tcPr>
          <w:p>
            <w:pPr>
              <w:pStyle w:val="TableParagraph"/>
              <w:rPr>
                <w:sz w:val="30"/>
              </w:rPr>
            </w:pPr>
          </w:p>
          <w:p>
            <w:pPr>
              <w:pStyle w:val="TableParagraph"/>
              <w:spacing w:before="4"/>
              <w:rPr>
                <w:sz w:val="32"/>
              </w:rPr>
            </w:pPr>
          </w:p>
          <w:p>
            <w:pPr>
              <w:pStyle w:val="TableParagraph"/>
              <w:spacing w:before="1"/>
              <w:ind w:left="275"/>
              <w:rPr>
                <w:sz w:val="28"/>
              </w:rPr>
            </w:pPr>
            <w:r>
              <w:rPr>
                <w:sz w:val="28"/>
              </w:rPr>
              <w:t>47</w:t>
            </w:r>
          </w:p>
        </w:tc>
        <w:tc>
          <w:tcPr>
            <w:tcW w:w="1277" w:type="dxa"/>
          </w:tcPr>
          <w:p>
            <w:pPr>
              <w:pStyle w:val="TableParagraph"/>
              <w:rPr>
                <w:sz w:val="30"/>
              </w:rPr>
            </w:pPr>
          </w:p>
          <w:p>
            <w:pPr>
              <w:pStyle w:val="TableParagraph"/>
              <w:spacing w:before="4"/>
              <w:rPr>
                <w:sz w:val="32"/>
              </w:rPr>
            </w:pPr>
          </w:p>
          <w:p>
            <w:pPr>
              <w:pStyle w:val="TableParagraph"/>
              <w:spacing w:before="1"/>
              <w:ind w:left="14" w:right="157"/>
              <w:jc w:val="center"/>
              <w:rPr>
                <w:sz w:val="28"/>
              </w:rPr>
            </w:pPr>
            <w:r>
              <w:rPr>
                <w:sz w:val="28"/>
              </w:rPr>
              <w:t>100,0</w:t>
            </w:r>
          </w:p>
        </w:tc>
        <w:tc>
          <w:tcPr>
            <w:tcW w:w="1274" w:type="dxa"/>
          </w:tcPr>
          <w:p>
            <w:pPr>
              <w:pStyle w:val="TableParagraph"/>
              <w:rPr>
                <w:sz w:val="30"/>
              </w:rPr>
            </w:pPr>
          </w:p>
          <w:p>
            <w:pPr>
              <w:pStyle w:val="TableParagraph"/>
              <w:spacing w:before="4"/>
              <w:rPr>
                <w:sz w:val="32"/>
              </w:rPr>
            </w:pPr>
          </w:p>
          <w:p>
            <w:pPr>
              <w:pStyle w:val="TableParagraph"/>
              <w:spacing w:before="1"/>
              <w:ind w:left="111" w:right="255"/>
              <w:jc w:val="center"/>
              <w:rPr>
                <w:sz w:val="28"/>
              </w:rPr>
            </w:pPr>
            <w:r>
              <w:rPr>
                <w:sz w:val="28"/>
              </w:rPr>
              <w:t>72,7</w:t>
            </w:r>
          </w:p>
        </w:tc>
        <w:tc>
          <w:tcPr>
            <w:tcW w:w="1277" w:type="dxa"/>
          </w:tcPr>
          <w:p>
            <w:pPr>
              <w:pStyle w:val="TableParagraph"/>
              <w:rPr>
                <w:sz w:val="30"/>
              </w:rPr>
            </w:pPr>
          </w:p>
          <w:p>
            <w:pPr>
              <w:pStyle w:val="TableParagraph"/>
              <w:spacing w:before="4"/>
              <w:rPr>
                <w:sz w:val="32"/>
              </w:rPr>
            </w:pPr>
          </w:p>
          <w:p>
            <w:pPr>
              <w:pStyle w:val="TableParagraph"/>
              <w:spacing w:before="1"/>
              <w:ind w:left="104" w:right="247"/>
              <w:jc w:val="center"/>
              <w:rPr>
                <w:sz w:val="28"/>
              </w:rPr>
            </w:pPr>
            <w:r>
              <w:rPr>
                <w:sz w:val="28"/>
              </w:rPr>
              <w:t>100,0</w:t>
            </w:r>
          </w:p>
        </w:tc>
        <w:tc>
          <w:tcPr>
            <w:tcW w:w="1416" w:type="dxa"/>
          </w:tcPr>
          <w:p>
            <w:pPr/>
          </w:p>
        </w:tc>
      </w:tr>
      <w:tr>
        <w:trPr>
          <w:trHeight w:val="1460" w:hRule="exact"/>
        </w:trPr>
        <w:tc>
          <w:tcPr>
            <w:tcW w:w="2696" w:type="dxa"/>
          </w:tcPr>
          <w:p>
            <w:pPr>
              <w:pStyle w:val="TableParagraph"/>
              <w:spacing w:line="360" w:lineRule="auto"/>
              <w:ind w:left="196" w:right="341" w:firstLine="1"/>
              <w:jc w:val="center"/>
              <w:rPr>
                <w:sz w:val="28"/>
              </w:rPr>
            </w:pPr>
            <w:r>
              <w:rPr>
                <w:sz w:val="28"/>
              </w:rPr>
              <w:t>Органосохра- няющее комбинированное</w:t>
            </w:r>
          </w:p>
        </w:tc>
        <w:tc>
          <w:tcPr>
            <w:tcW w:w="991" w:type="dxa"/>
          </w:tcPr>
          <w:p>
            <w:pPr>
              <w:pStyle w:val="TableParagraph"/>
              <w:rPr>
                <w:sz w:val="30"/>
              </w:rPr>
            </w:pPr>
          </w:p>
          <w:p>
            <w:pPr>
              <w:pStyle w:val="TableParagraph"/>
              <w:spacing w:before="5"/>
              <w:rPr>
                <w:sz w:val="32"/>
              </w:rPr>
            </w:pPr>
          </w:p>
          <w:p>
            <w:pPr>
              <w:pStyle w:val="TableParagraph"/>
              <w:ind w:left="275"/>
              <w:rPr>
                <w:sz w:val="28"/>
              </w:rPr>
            </w:pPr>
            <w:r>
              <w:rPr>
                <w:sz w:val="28"/>
              </w:rPr>
              <w:t>23</w:t>
            </w:r>
          </w:p>
        </w:tc>
        <w:tc>
          <w:tcPr>
            <w:tcW w:w="1277" w:type="dxa"/>
          </w:tcPr>
          <w:p>
            <w:pPr>
              <w:pStyle w:val="TableParagraph"/>
              <w:rPr>
                <w:sz w:val="30"/>
              </w:rPr>
            </w:pPr>
          </w:p>
          <w:p>
            <w:pPr>
              <w:pStyle w:val="TableParagraph"/>
              <w:spacing w:before="5"/>
              <w:rPr>
                <w:sz w:val="32"/>
              </w:rPr>
            </w:pPr>
          </w:p>
          <w:p>
            <w:pPr>
              <w:pStyle w:val="TableParagraph"/>
              <w:ind w:left="15" w:right="157"/>
              <w:jc w:val="center"/>
              <w:rPr>
                <w:sz w:val="28"/>
              </w:rPr>
            </w:pPr>
            <w:r>
              <w:rPr>
                <w:sz w:val="28"/>
              </w:rPr>
              <w:t>75,0</w:t>
            </w:r>
          </w:p>
        </w:tc>
        <w:tc>
          <w:tcPr>
            <w:tcW w:w="1274" w:type="dxa"/>
          </w:tcPr>
          <w:p>
            <w:pPr>
              <w:pStyle w:val="TableParagraph"/>
              <w:rPr>
                <w:sz w:val="30"/>
              </w:rPr>
            </w:pPr>
          </w:p>
          <w:p>
            <w:pPr>
              <w:pStyle w:val="TableParagraph"/>
              <w:spacing w:before="5"/>
              <w:rPr>
                <w:sz w:val="32"/>
              </w:rPr>
            </w:pPr>
          </w:p>
          <w:p>
            <w:pPr>
              <w:pStyle w:val="TableParagraph"/>
              <w:ind w:left="110" w:right="255"/>
              <w:jc w:val="center"/>
              <w:rPr>
                <w:sz w:val="28"/>
              </w:rPr>
            </w:pPr>
            <w:r>
              <w:rPr>
                <w:sz w:val="28"/>
              </w:rPr>
              <w:t>100,0</w:t>
            </w:r>
          </w:p>
        </w:tc>
        <w:tc>
          <w:tcPr>
            <w:tcW w:w="1277" w:type="dxa"/>
          </w:tcPr>
          <w:p>
            <w:pPr>
              <w:pStyle w:val="TableParagraph"/>
              <w:rPr>
                <w:sz w:val="30"/>
              </w:rPr>
            </w:pPr>
          </w:p>
          <w:p>
            <w:pPr>
              <w:pStyle w:val="TableParagraph"/>
              <w:spacing w:before="5"/>
              <w:rPr>
                <w:sz w:val="32"/>
              </w:rPr>
            </w:pPr>
          </w:p>
          <w:p>
            <w:pPr>
              <w:pStyle w:val="TableParagraph"/>
              <w:ind w:left="104" w:right="247"/>
              <w:jc w:val="center"/>
              <w:rPr>
                <w:sz w:val="28"/>
              </w:rPr>
            </w:pPr>
            <w:r>
              <w:rPr>
                <w:sz w:val="28"/>
              </w:rPr>
              <w:t>100,0</w:t>
            </w:r>
          </w:p>
        </w:tc>
        <w:tc>
          <w:tcPr>
            <w:tcW w:w="1416" w:type="dxa"/>
          </w:tcPr>
          <w:p>
            <w:pPr/>
          </w:p>
        </w:tc>
      </w:tr>
      <w:tr>
        <w:trPr>
          <w:trHeight w:val="974" w:hRule="exact"/>
        </w:trPr>
        <w:tc>
          <w:tcPr>
            <w:tcW w:w="2696" w:type="dxa"/>
          </w:tcPr>
          <w:p>
            <w:pPr>
              <w:pStyle w:val="TableParagraph"/>
              <w:spacing w:line="360" w:lineRule="auto"/>
              <w:ind w:left="388" w:right="513" w:firstLine="124"/>
              <w:rPr>
                <w:sz w:val="28"/>
              </w:rPr>
            </w:pPr>
            <w:r>
              <w:rPr>
                <w:sz w:val="28"/>
              </w:rPr>
              <w:t>Радикальное хирургическое</w:t>
            </w:r>
          </w:p>
        </w:tc>
        <w:tc>
          <w:tcPr>
            <w:tcW w:w="991" w:type="dxa"/>
          </w:tcPr>
          <w:p>
            <w:pPr>
              <w:pStyle w:val="TableParagraph"/>
              <w:spacing w:before="3"/>
              <w:rPr>
                <w:sz w:val="41"/>
              </w:rPr>
            </w:pPr>
          </w:p>
          <w:p>
            <w:pPr>
              <w:pStyle w:val="TableParagraph"/>
              <w:spacing w:before="1"/>
              <w:ind w:left="275"/>
              <w:rPr>
                <w:sz w:val="28"/>
              </w:rPr>
            </w:pPr>
            <w:r>
              <w:rPr>
                <w:sz w:val="28"/>
              </w:rPr>
              <w:t>28</w:t>
            </w:r>
          </w:p>
        </w:tc>
        <w:tc>
          <w:tcPr>
            <w:tcW w:w="1277" w:type="dxa"/>
          </w:tcPr>
          <w:p>
            <w:pPr>
              <w:pStyle w:val="TableParagraph"/>
              <w:spacing w:before="3"/>
              <w:rPr>
                <w:sz w:val="41"/>
              </w:rPr>
            </w:pPr>
          </w:p>
          <w:p>
            <w:pPr>
              <w:pStyle w:val="TableParagraph"/>
              <w:spacing w:before="1"/>
              <w:ind w:left="14" w:right="157"/>
              <w:jc w:val="center"/>
              <w:rPr>
                <w:sz w:val="28"/>
              </w:rPr>
            </w:pPr>
            <w:r>
              <w:rPr>
                <w:sz w:val="28"/>
              </w:rPr>
              <w:t>100,0</w:t>
            </w:r>
          </w:p>
        </w:tc>
        <w:tc>
          <w:tcPr>
            <w:tcW w:w="1274" w:type="dxa"/>
          </w:tcPr>
          <w:p>
            <w:pPr>
              <w:pStyle w:val="TableParagraph"/>
              <w:spacing w:before="3"/>
              <w:rPr>
                <w:sz w:val="41"/>
              </w:rPr>
            </w:pPr>
          </w:p>
          <w:p>
            <w:pPr>
              <w:pStyle w:val="TableParagraph"/>
              <w:spacing w:before="1"/>
              <w:ind w:left="110" w:right="255"/>
              <w:jc w:val="center"/>
              <w:rPr>
                <w:sz w:val="28"/>
              </w:rPr>
            </w:pPr>
            <w:r>
              <w:rPr>
                <w:sz w:val="28"/>
              </w:rPr>
              <w:t>100,0</w:t>
            </w:r>
          </w:p>
        </w:tc>
        <w:tc>
          <w:tcPr>
            <w:tcW w:w="1277" w:type="dxa"/>
          </w:tcPr>
          <w:p>
            <w:pPr>
              <w:pStyle w:val="TableParagraph"/>
              <w:spacing w:before="3"/>
              <w:rPr>
                <w:sz w:val="41"/>
              </w:rPr>
            </w:pPr>
          </w:p>
          <w:p>
            <w:pPr>
              <w:pStyle w:val="TableParagraph"/>
              <w:spacing w:before="1"/>
              <w:ind w:left="105" w:right="247"/>
              <w:jc w:val="center"/>
              <w:rPr>
                <w:sz w:val="28"/>
              </w:rPr>
            </w:pPr>
            <w:r>
              <w:rPr>
                <w:sz w:val="28"/>
              </w:rPr>
              <w:t>50,0</w:t>
            </w:r>
          </w:p>
        </w:tc>
        <w:tc>
          <w:tcPr>
            <w:tcW w:w="1416" w:type="dxa"/>
          </w:tcPr>
          <w:p>
            <w:pPr/>
          </w:p>
        </w:tc>
      </w:tr>
      <w:tr>
        <w:trPr>
          <w:trHeight w:val="977" w:hRule="exact"/>
        </w:trPr>
        <w:tc>
          <w:tcPr>
            <w:tcW w:w="2696" w:type="dxa"/>
          </w:tcPr>
          <w:p>
            <w:pPr>
              <w:pStyle w:val="TableParagraph"/>
              <w:spacing w:line="360" w:lineRule="auto"/>
              <w:ind w:left="268" w:right="252" w:firstLine="314"/>
              <w:rPr>
                <w:sz w:val="28"/>
              </w:rPr>
            </w:pPr>
            <w:r>
              <w:rPr>
                <w:sz w:val="28"/>
              </w:rPr>
              <w:t>Радикальное комбинированное</w:t>
            </w:r>
          </w:p>
        </w:tc>
        <w:tc>
          <w:tcPr>
            <w:tcW w:w="991" w:type="dxa"/>
          </w:tcPr>
          <w:p>
            <w:pPr>
              <w:pStyle w:val="TableParagraph"/>
              <w:spacing w:before="6"/>
              <w:rPr>
                <w:sz w:val="41"/>
              </w:rPr>
            </w:pPr>
          </w:p>
          <w:p>
            <w:pPr>
              <w:pStyle w:val="TableParagraph"/>
              <w:ind w:right="348"/>
              <w:jc w:val="right"/>
              <w:rPr>
                <w:sz w:val="28"/>
              </w:rPr>
            </w:pPr>
            <w:r>
              <w:rPr>
                <w:sz w:val="28"/>
              </w:rPr>
              <w:t>36</w:t>
            </w:r>
          </w:p>
        </w:tc>
        <w:tc>
          <w:tcPr>
            <w:tcW w:w="1277" w:type="dxa"/>
          </w:tcPr>
          <w:p>
            <w:pPr>
              <w:pStyle w:val="TableParagraph"/>
              <w:spacing w:before="6"/>
              <w:rPr>
                <w:sz w:val="41"/>
              </w:rPr>
            </w:pPr>
          </w:p>
          <w:p>
            <w:pPr>
              <w:pStyle w:val="TableParagraph"/>
              <w:ind w:left="15" w:right="157"/>
              <w:jc w:val="center"/>
              <w:rPr>
                <w:sz w:val="28"/>
              </w:rPr>
            </w:pPr>
            <w:r>
              <w:rPr>
                <w:sz w:val="28"/>
              </w:rPr>
              <w:t>73,0</w:t>
            </w:r>
          </w:p>
        </w:tc>
        <w:tc>
          <w:tcPr>
            <w:tcW w:w="1274" w:type="dxa"/>
          </w:tcPr>
          <w:p>
            <w:pPr>
              <w:pStyle w:val="TableParagraph"/>
              <w:spacing w:before="6"/>
              <w:rPr>
                <w:sz w:val="41"/>
              </w:rPr>
            </w:pPr>
          </w:p>
          <w:p>
            <w:pPr>
              <w:pStyle w:val="TableParagraph"/>
              <w:ind w:left="111" w:right="255"/>
              <w:jc w:val="center"/>
              <w:rPr>
                <w:sz w:val="28"/>
              </w:rPr>
            </w:pPr>
            <w:r>
              <w:rPr>
                <w:sz w:val="28"/>
              </w:rPr>
              <w:t>68,0</w:t>
            </w:r>
          </w:p>
        </w:tc>
        <w:tc>
          <w:tcPr>
            <w:tcW w:w="1277" w:type="dxa"/>
          </w:tcPr>
          <w:p>
            <w:pPr>
              <w:pStyle w:val="TableParagraph"/>
              <w:spacing w:before="6"/>
              <w:rPr>
                <w:sz w:val="41"/>
              </w:rPr>
            </w:pPr>
          </w:p>
          <w:p>
            <w:pPr>
              <w:pStyle w:val="TableParagraph"/>
              <w:ind w:left="105" w:right="247"/>
              <w:jc w:val="center"/>
              <w:rPr>
                <w:sz w:val="28"/>
              </w:rPr>
            </w:pPr>
            <w:r>
              <w:rPr>
                <w:sz w:val="28"/>
              </w:rPr>
              <w:t>43,8</w:t>
            </w:r>
          </w:p>
        </w:tc>
        <w:tc>
          <w:tcPr>
            <w:tcW w:w="1416" w:type="dxa"/>
          </w:tcPr>
          <w:p>
            <w:pPr>
              <w:pStyle w:val="TableParagraph"/>
              <w:spacing w:before="6"/>
              <w:rPr>
                <w:sz w:val="41"/>
              </w:rPr>
            </w:pPr>
          </w:p>
          <w:p>
            <w:pPr>
              <w:pStyle w:val="TableParagraph"/>
              <w:ind w:left="583"/>
              <w:rPr>
                <w:sz w:val="28"/>
              </w:rPr>
            </w:pPr>
            <w:r>
              <w:rPr>
                <w:w w:val="100"/>
                <w:sz w:val="28"/>
              </w:rPr>
              <w:t>-</w:t>
            </w:r>
          </w:p>
        </w:tc>
      </w:tr>
      <w:tr>
        <w:trPr>
          <w:trHeight w:val="1097" w:hRule="exact"/>
        </w:trPr>
        <w:tc>
          <w:tcPr>
            <w:tcW w:w="2696" w:type="dxa"/>
          </w:tcPr>
          <w:p>
            <w:pPr>
              <w:pStyle w:val="TableParagraph"/>
              <w:spacing w:before="113"/>
              <w:ind w:left="906" w:right="1050"/>
              <w:jc w:val="center"/>
              <w:rPr>
                <w:sz w:val="28"/>
              </w:rPr>
            </w:pPr>
            <w:r>
              <w:rPr>
                <w:sz w:val="28"/>
              </w:rPr>
              <w:t>Всего</w:t>
            </w:r>
          </w:p>
        </w:tc>
        <w:tc>
          <w:tcPr>
            <w:tcW w:w="991" w:type="dxa"/>
          </w:tcPr>
          <w:p>
            <w:pPr>
              <w:pStyle w:val="TableParagraph"/>
              <w:rPr>
                <w:sz w:val="30"/>
              </w:rPr>
            </w:pPr>
          </w:p>
          <w:p>
            <w:pPr>
              <w:pStyle w:val="TableParagraph"/>
              <w:spacing w:before="191"/>
              <w:ind w:right="352"/>
              <w:jc w:val="right"/>
              <w:rPr>
                <w:sz w:val="28"/>
              </w:rPr>
            </w:pPr>
            <w:r>
              <w:rPr>
                <w:sz w:val="28"/>
              </w:rPr>
              <w:t>134</w:t>
            </w:r>
          </w:p>
        </w:tc>
        <w:tc>
          <w:tcPr>
            <w:tcW w:w="1277" w:type="dxa"/>
          </w:tcPr>
          <w:p>
            <w:pPr>
              <w:pStyle w:val="TableParagraph"/>
              <w:rPr>
                <w:sz w:val="30"/>
              </w:rPr>
            </w:pPr>
          </w:p>
          <w:p>
            <w:pPr>
              <w:pStyle w:val="TableParagraph"/>
              <w:spacing w:before="191"/>
              <w:ind w:left="15" w:right="157"/>
              <w:jc w:val="center"/>
              <w:rPr>
                <w:sz w:val="28"/>
              </w:rPr>
            </w:pPr>
            <w:r>
              <w:rPr>
                <w:sz w:val="28"/>
              </w:rPr>
              <w:t>82,0</w:t>
            </w:r>
          </w:p>
        </w:tc>
        <w:tc>
          <w:tcPr>
            <w:tcW w:w="1274" w:type="dxa"/>
          </w:tcPr>
          <w:p>
            <w:pPr>
              <w:pStyle w:val="TableParagraph"/>
              <w:rPr>
                <w:sz w:val="30"/>
              </w:rPr>
            </w:pPr>
          </w:p>
          <w:p>
            <w:pPr>
              <w:pStyle w:val="TableParagraph"/>
              <w:spacing w:before="191"/>
              <w:ind w:left="111" w:right="255"/>
              <w:jc w:val="center"/>
              <w:rPr>
                <w:sz w:val="28"/>
              </w:rPr>
            </w:pPr>
            <w:r>
              <w:rPr>
                <w:sz w:val="28"/>
              </w:rPr>
              <w:t>91,7</w:t>
            </w:r>
          </w:p>
        </w:tc>
        <w:tc>
          <w:tcPr>
            <w:tcW w:w="1277" w:type="dxa"/>
          </w:tcPr>
          <w:p>
            <w:pPr>
              <w:pStyle w:val="TableParagraph"/>
              <w:rPr>
                <w:sz w:val="30"/>
              </w:rPr>
            </w:pPr>
          </w:p>
          <w:p>
            <w:pPr>
              <w:pStyle w:val="TableParagraph"/>
              <w:spacing w:before="191"/>
              <w:ind w:left="105" w:right="247"/>
              <w:jc w:val="center"/>
              <w:rPr>
                <w:sz w:val="28"/>
              </w:rPr>
            </w:pPr>
            <w:r>
              <w:rPr>
                <w:sz w:val="28"/>
              </w:rPr>
              <w:t>94,7</w:t>
            </w:r>
          </w:p>
        </w:tc>
        <w:tc>
          <w:tcPr>
            <w:tcW w:w="1416" w:type="dxa"/>
          </w:tcPr>
          <w:p>
            <w:pPr>
              <w:pStyle w:val="TableParagraph"/>
              <w:rPr>
                <w:sz w:val="30"/>
              </w:rPr>
            </w:pPr>
          </w:p>
          <w:p>
            <w:pPr>
              <w:pStyle w:val="TableParagraph"/>
              <w:spacing w:before="191"/>
              <w:ind w:left="583"/>
              <w:rPr>
                <w:sz w:val="28"/>
              </w:rPr>
            </w:pPr>
            <w:r>
              <w:rPr>
                <w:w w:val="100"/>
                <w:sz w:val="28"/>
              </w:rPr>
              <w:t>-</w:t>
            </w:r>
          </w:p>
        </w:tc>
      </w:tr>
    </w:tbl>
    <w:p>
      <w:pPr>
        <w:spacing w:after="0"/>
        <w:rPr>
          <w:sz w:val="28"/>
        </w:rPr>
        <w:sectPr>
          <w:pgSz w:w="11900" w:h="16850"/>
          <w:pgMar w:header="712" w:footer="0" w:top="1020" w:bottom="280" w:left="1660" w:right="1080"/>
        </w:sect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line="360" w:lineRule="auto" w:before="89"/>
        <w:ind w:left="693" w:right="107" w:firstLine="6798"/>
      </w:pPr>
      <w:r>
        <w:rPr/>
        <w:t>Таблица 5.16 Безрецидивная выживаемость больных раком яичников I стадии в</w:t>
      </w:r>
    </w:p>
    <w:p>
      <w:pPr>
        <w:pStyle w:val="BodyText"/>
        <w:spacing w:before="5"/>
        <w:ind w:left="417"/>
      </w:pPr>
      <w:r>
        <w:rPr/>
        <w:t>зависимости от степени дифференцировки опухоли и методов лечения</w:t>
      </w:r>
    </w:p>
    <w:p>
      <w:pPr>
        <w:pStyle w:val="BodyText"/>
        <w:spacing w:before="6"/>
        <w:rPr>
          <w:sz w:val="14"/>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6"/>
        <w:gridCol w:w="1274"/>
        <w:gridCol w:w="1702"/>
        <w:gridCol w:w="1560"/>
        <w:gridCol w:w="1700"/>
      </w:tblGrid>
      <w:tr>
        <w:trPr>
          <w:trHeight w:val="655" w:hRule="exact"/>
        </w:trPr>
        <w:tc>
          <w:tcPr>
            <w:tcW w:w="2696" w:type="dxa"/>
            <w:vMerge w:val="restart"/>
          </w:tcPr>
          <w:p>
            <w:pPr>
              <w:pStyle w:val="TableParagraph"/>
              <w:rPr>
                <w:sz w:val="30"/>
              </w:rPr>
            </w:pPr>
          </w:p>
          <w:p>
            <w:pPr>
              <w:pStyle w:val="TableParagraph"/>
              <w:spacing w:before="10"/>
              <w:rPr>
                <w:sz w:val="25"/>
              </w:rPr>
            </w:pPr>
          </w:p>
          <w:p>
            <w:pPr>
              <w:pStyle w:val="TableParagraph"/>
              <w:spacing w:before="1"/>
              <w:ind w:left="367"/>
              <w:rPr>
                <w:sz w:val="28"/>
              </w:rPr>
            </w:pPr>
            <w:r>
              <w:rPr>
                <w:sz w:val="28"/>
              </w:rPr>
              <w:t>Метод лечения</w:t>
            </w:r>
          </w:p>
        </w:tc>
        <w:tc>
          <w:tcPr>
            <w:tcW w:w="1274" w:type="dxa"/>
            <w:vMerge w:val="restart"/>
          </w:tcPr>
          <w:p>
            <w:pPr>
              <w:pStyle w:val="TableParagraph"/>
              <w:spacing w:before="161"/>
              <w:ind w:left="115" w:right="258" w:hanging="3"/>
              <w:jc w:val="center"/>
              <w:rPr>
                <w:sz w:val="28"/>
              </w:rPr>
            </w:pPr>
            <w:r>
              <w:rPr>
                <w:sz w:val="28"/>
              </w:rPr>
              <w:t>Кол-во больны х</w:t>
            </w:r>
          </w:p>
        </w:tc>
        <w:tc>
          <w:tcPr>
            <w:tcW w:w="4962" w:type="dxa"/>
            <w:gridSpan w:val="3"/>
          </w:tcPr>
          <w:p>
            <w:pPr>
              <w:pStyle w:val="TableParagraph"/>
              <w:spacing w:line="242" w:lineRule="auto"/>
              <w:ind w:left="1289" w:right="1099" w:hanging="322"/>
              <w:rPr>
                <w:sz w:val="28"/>
              </w:rPr>
            </w:pPr>
            <w:r>
              <w:rPr>
                <w:sz w:val="28"/>
              </w:rPr>
              <w:t>3-летняя безрецидивная выживаемость (%)</w:t>
            </w:r>
          </w:p>
        </w:tc>
      </w:tr>
      <w:tr>
        <w:trPr>
          <w:trHeight w:val="653" w:hRule="exact"/>
        </w:trPr>
        <w:tc>
          <w:tcPr>
            <w:tcW w:w="2696" w:type="dxa"/>
            <w:vMerge/>
          </w:tcPr>
          <w:p>
            <w:pPr/>
          </w:p>
        </w:tc>
        <w:tc>
          <w:tcPr>
            <w:tcW w:w="1274" w:type="dxa"/>
            <w:vMerge/>
          </w:tcPr>
          <w:p>
            <w:pPr/>
          </w:p>
        </w:tc>
        <w:tc>
          <w:tcPr>
            <w:tcW w:w="1702" w:type="dxa"/>
          </w:tcPr>
          <w:p>
            <w:pPr>
              <w:pStyle w:val="TableParagraph"/>
              <w:spacing w:before="4"/>
              <w:rPr>
                <w:sz w:val="27"/>
              </w:rPr>
            </w:pPr>
          </w:p>
          <w:p>
            <w:pPr>
              <w:pStyle w:val="TableParagraph"/>
              <w:ind w:left="103" w:right="248"/>
              <w:jc w:val="center"/>
              <w:rPr>
                <w:sz w:val="18"/>
              </w:rPr>
            </w:pPr>
            <w:r>
              <w:rPr>
                <w:sz w:val="28"/>
              </w:rPr>
              <w:t>G</w:t>
            </w:r>
            <w:r>
              <w:rPr>
                <w:position w:val="-3"/>
                <w:sz w:val="18"/>
              </w:rPr>
              <w:t>1</w:t>
            </w:r>
          </w:p>
        </w:tc>
        <w:tc>
          <w:tcPr>
            <w:tcW w:w="1560" w:type="dxa"/>
          </w:tcPr>
          <w:p>
            <w:pPr>
              <w:pStyle w:val="TableParagraph"/>
              <w:spacing w:before="4"/>
              <w:rPr>
                <w:sz w:val="27"/>
              </w:rPr>
            </w:pPr>
          </w:p>
          <w:p>
            <w:pPr>
              <w:pStyle w:val="TableParagraph"/>
              <w:ind w:left="151" w:right="300"/>
              <w:jc w:val="center"/>
              <w:rPr>
                <w:sz w:val="18"/>
              </w:rPr>
            </w:pPr>
            <w:r>
              <w:rPr>
                <w:sz w:val="28"/>
              </w:rPr>
              <w:t>G</w:t>
            </w:r>
            <w:r>
              <w:rPr>
                <w:position w:val="-3"/>
                <w:sz w:val="18"/>
              </w:rPr>
              <w:t>2</w:t>
            </w:r>
          </w:p>
        </w:tc>
        <w:tc>
          <w:tcPr>
            <w:tcW w:w="1700" w:type="dxa"/>
          </w:tcPr>
          <w:p>
            <w:pPr>
              <w:pStyle w:val="TableParagraph"/>
              <w:spacing w:before="4"/>
              <w:rPr>
                <w:sz w:val="27"/>
              </w:rPr>
            </w:pPr>
          </w:p>
          <w:p>
            <w:pPr>
              <w:pStyle w:val="TableParagraph"/>
              <w:ind w:left="345" w:right="487"/>
              <w:jc w:val="center"/>
              <w:rPr>
                <w:sz w:val="18"/>
              </w:rPr>
            </w:pPr>
            <w:r>
              <w:rPr>
                <w:sz w:val="28"/>
              </w:rPr>
              <w:t>G</w:t>
            </w:r>
            <w:r>
              <w:rPr>
                <w:position w:val="-3"/>
                <w:sz w:val="18"/>
              </w:rPr>
              <w:t>3</w:t>
            </w:r>
          </w:p>
        </w:tc>
      </w:tr>
      <w:tr>
        <w:trPr>
          <w:trHeight w:val="977" w:hRule="exact"/>
        </w:trPr>
        <w:tc>
          <w:tcPr>
            <w:tcW w:w="2696" w:type="dxa"/>
          </w:tcPr>
          <w:p>
            <w:pPr>
              <w:pStyle w:val="TableParagraph"/>
              <w:ind w:left="388" w:right="530" w:hanging="1"/>
              <w:jc w:val="center"/>
              <w:rPr>
                <w:sz w:val="28"/>
              </w:rPr>
            </w:pPr>
            <w:r>
              <w:rPr>
                <w:sz w:val="28"/>
              </w:rPr>
              <w:t>Органосохра- няющее хирургическое</w:t>
            </w:r>
          </w:p>
        </w:tc>
        <w:tc>
          <w:tcPr>
            <w:tcW w:w="1274" w:type="dxa"/>
          </w:tcPr>
          <w:p>
            <w:pPr>
              <w:pStyle w:val="TableParagraph"/>
              <w:spacing w:before="7"/>
              <w:rPr>
                <w:sz w:val="27"/>
              </w:rPr>
            </w:pPr>
          </w:p>
          <w:p>
            <w:pPr>
              <w:pStyle w:val="TableParagraph"/>
              <w:ind w:left="417"/>
              <w:rPr>
                <w:sz w:val="28"/>
              </w:rPr>
            </w:pPr>
            <w:r>
              <w:rPr>
                <w:sz w:val="28"/>
              </w:rPr>
              <w:t>47</w:t>
            </w:r>
          </w:p>
        </w:tc>
        <w:tc>
          <w:tcPr>
            <w:tcW w:w="1702" w:type="dxa"/>
          </w:tcPr>
          <w:p>
            <w:pPr>
              <w:pStyle w:val="TableParagraph"/>
              <w:spacing w:before="6"/>
              <w:rPr>
                <w:sz w:val="41"/>
              </w:rPr>
            </w:pPr>
          </w:p>
          <w:p>
            <w:pPr>
              <w:pStyle w:val="TableParagraph"/>
              <w:spacing w:before="1"/>
              <w:ind w:left="103" w:right="247"/>
              <w:jc w:val="center"/>
              <w:rPr>
                <w:sz w:val="28"/>
              </w:rPr>
            </w:pPr>
            <w:r>
              <w:rPr>
                <w:sz w:val="28"/>
              </w:rPr>
              <w:t>77,8</w:t>
            </w:r>
          </w:p>
        </w:tc>
        <w:tc>
          <w:tcPr>
            <w:tcW w:w="1560" w:type="dxa"/>
          </w:tcPr>
          <w:p>
            <w:pPr>
              <w:pStyle w:val="TableParagraph"/>
              <w:spacing w:before="6"/>
              <w:rPr>
                <w:sz w:val="41"/>
              </w:rPr>
            </w:pPr>
          </w:p>
          <w:p>
            <w:pPr>
              <w:pStyle w:val="TableParagraph"/>
              <w:spacing w:before="1"/>
              <w:ind w:left="157" w:right="300"/>
              <w:jc w:val="center"/>
              <w:rPr>
                <w:sz w:val="28"/>
              </w:rPr>
            </w:pPr>
            <w:r>
              <w:rPr>
                <w:sz w:val="28"/>
              </w:rPr>
              <w:t>100,0</w:t>
            </w:r>
          </w:p>
        </w:tc>
        <w:tc>
          <w:tcPr>
            <w:tcW w:w="1700" w:type="dxa"/>
          </w:tcPr>
          <w:p>
            <w:pPr>
              <w:pStyle w:val="TableParagraph"/>
              <w:spacing w:before="6"/>
              <w:rPr>
                <w:sz w:val="41"/>
              </w:rPr>
            </w:pPr>
          </w:p>
          <w:p>
            <w:pPr>
              <w:pStyle w:val="TableParagraph"/>
              <w:spacing w:before="1"/>
              <w:ind w:left="345" w:right="487"/>
              <w:jc w:val="center"/>
              <w:rPr>
                <w:sz w:val="28"/>
              </w:rPr>
            </w:pPr>
            <w:r>
              <w:rPr>
                <w:sz w:val="28"/>
              </w:rPr>
              <w:t>100,0</w:t>
            </w:r>
          </w:p>
        </w:tc>
      </w:tr>
      <w:tr>
        <w:trPr>
          <w:trHeight w:val="977" w:hRule="exact"/>
        </w:trPr>
        <w:tc>
          <w:tcPr>
            <w:tcW w:w="2696" w:type="dxa"/>
          </w:tcPr>
          <w:p>
            <w:pPr>
              <w:pStyle w:val="TableParagraph"/>
              <w:ind w:left="196" w:right="341" w:firstLine="1"/>
              <w:jc w:val="center"/>
              <w:rPr>
                <w:sz w:val="28"/>
              </w:rPr>
            </w:pPr>
            <w:r>
              <w:rPr>
                <w:sz w:val="28"/>
              </w:rPr>
              <w:t>Органосохра- няющее комбинированное</w:t>
            </w:r>
          </w:p>
        </w:tc>
        <w:tc>
          <w:tcPr>
            <w:tcW w:w="1274" w:type="dxa"/>
          </w:tcPr>
          <w:p>
            <w:pPr>
              <w:pStyle w:val="TableParagraph"/>
              <w:spacing w:before="4"/>
              <w:rPr>
                <w:sz w:val="27"/>
              </w:rPr>
            </w:pPr>
          </w:p>
          <w:p>
            <w:pPr>
              <w:pStyle w:val="TableParagraph"/>
              <w:ind w:left="417"/>
              <w:rPr>
                <w:sz w:val="28"/>
              </w:rPr>
            </w:pPr>
            <w:r>
              <w:rPr>
                <w:sz w:val="28"/>
              </w:rPr>
              <w:t>23</w:t>
            </w:r>
          </w:p>
        </w:tc>
        <w:tc>
          <w:tcPr>
            <w:tcW w:w="1702" w:type="dxa"/>
          </w:tcPr>
          <w:p>
            <w:pPr>
              <w:pStyle w:val="TableParagraph"/>
              <w:spacing w:before="3"/>
              <w:rPr>
                <w:sz w:val="41"/>
              </w:rPr>
            </w:pPr>
          </w:p>
          <w:p>
            <w:pPr>
              <w:pStyle w:val="TableParagraph"/>
              <w:spacing w:before="1"/>
              <w:ind w:left="103" w:right="247"/>
              <w:jc w:val="center"/>
              <w:rPr>
                <w:sz w:val="28"/>
              </w:rPr>
            </w:pPr>
            <w:r>
              <w:rPr>
                <w:sz w:val="28"/>
              </w:rPr>
              <w:t>92,3</w:t>
            </w:r>
          </w:p>
        </w:tc>
        <w:tc>
          <w:tcPr>
            <w:tcW w:w="1560" w:type="dxa"/>
          </w:tcPr>
          <w:p>
            <w:pPr>
              <w:pStyle w:val="TableParagraph"/>
              <w:spacing w:before="3"/>
              <w:rPr>
                <w:sz w:val="41"/>
              </w:rPr>
            </w:pPr>
          </w:p>
          <w:p>
            <w:pPr>
              <w:pStyle w:val="TableParagraph"/>
              <w:spacing w:before="1"/>
              <w:ind w:left="157" w:right="300"/>
              <w:jc w:val="center"/>
              <w:rPr>
                <w:sz w:val="28"/>
              </w:rPr>
            </w:pPr>
            <w:r>
              <w:rPr>
                <w:sz w:val="28"/>
              </w:rPr>
              <w:t>100,0</w:t>
            </w:r>
          </w:p>
        </w:tc>
        <w:tc>
          <w:tcPr>
            <w:tcW w:w="1700" w:type="dxa"/>
          </w:tcPr>
          <w:p>
            <w:pPr>
              <w:pStyle w:val="TableParagraph"/>
              <w:spacing w:before="3"/>
              <w:rPr>
                <w:sz w:val="41"/>
              </w:rPr>
            </w:pPr>
          </w:p>
          <w:p>
            <w:pPr>
              <w:pStyle w:val="TableParagraph"/>
              <w:spacing w:before="1"/>
              <w:ind w:left="346" w:right="487"/>
              <w:jc w:val="center"/>
              <w:rPr>
                <w:sz w:val="28"/>
              </w:rPr>
            </w:pPr>
            <w:r>
              <w:rPr>
                <w:sz w:val="28"/>
              </w:rPr>
              <w:t>50,0</w:t>
            </w:r>
          </w:p>
        </w:tc>
      </w:tr>
      <w:tr>
        <w:trPr>
          <w:trHeight w:val="653" w:hRule="exact"/>
        </w:trPr>
        <w:tc>
          <w:tcPr>
            <w:tcW w:w="2696" w:type="dxa"/>
          </w:tcPr>
          <w:p>
            <w:pPr>
              <w:pStyle w:val="TableParagraph"/>
              <w:ind w:left="388" w:right="513" w:firstLine="124"/>
              <w:rPr>
                <w:sz w:val="28"/>
              </w:rPr>
            </w:pPr>
            <w:r>
              <w:rPr>
                <w:sz w:val="28"/>
              </w:rPr>
              <w:t>Радикальное хирургическое</w:t>
            </w:r>
          </w:p>
        </w:tc>
        <w:tc>
          <w:tcPr>
            <w:tcW w:w="1274" w:type="dxa"/>
          </w:tcPr>
          <w:p>
            <w:pPr>
              <w:pStyle w:val="TableParagraph"/>
              <w:spacing w:before="153"/>
              <w:ind w:left="417"/>
              <w:rPr>
                <w:sz w:val="28"/>
              </w:rPr>
            </w:pPr>
            <w:r>
              <w:rPr>
                <w:sz w:val="28"/>
              </w:rPr>
              <w:t>28</w:t>
            </w:r>
          </w:p>
        </w:tc>
        <w:tc>
          <w:tcPr>
            <w:tcW w:w="1702" w:type="dxa"/>
          </w:tcPr>
          <w:p>
            <w:pPr>
              <w:pStyle w:val="TableParagraph"/>
              <w:spacing w:before="4"/>
              <w:rPr>
                <w:sz w:val="27"/>
              </w:rPr>
            </w:pPr>
          </w:p>
          <w:p>
            <w:pPr>
              <w:pStyle w:val="TableParagraph"/>
              <w:ind w:left="103" w:right="247"/>
              <w:jc w:val="center"/>
              <w:rPr>
                <w:sz w:val="28"/>
              </w:rPr>
            </w:pPr>
            <w:r>
              <w:rPr>
                <w:sz w:val="28"/>
              </w:rPr>
              <w:t>90,0</w:t>
            </w:r>
          </w:p>
        </w:tc>
        <w:tc>
          <w:tcPr>
            <w:tcW w:w="1560" w:type="dxa"/>
          </w:tcPr>
          <w:p>
            <w:pPr>
              <w:pStyle w:val="TableParagraph"/>
              <w:spacing w:before="4"/>
              <w:rPr>
                <w:sz w:val="27"/>
              </w:rPr>
            </w:pPr>
          </w:p>
          <w:p>
            <w:pPr>
              <w:pStyle w:val="TableParagraph"/>
              <w:ind w:left="157" w:right="300"/>
              <w:jc w:val="center"/>
              <w:rPr>
                <w:sz w:val="28"/>
              </w:rPr>
            </w:pPr>
            <w:r>
              <w:rPr>
                <w:sz w:val="28"/>
              </w:rPr>
              <w:t>100,0</w:t>
            </w:r>
          </w:p>
        </w:tc>
        <w:tc>
          <w:tcPr>
            <w:tcW w:w="1700" w:type="dxa"/>
          </w:tcPr>
          <w:p>
            <w:pPr>
              <w:pStyle w:val="TableParagraph"/>
              <w:spacing w:line="315" w:lineRule="exact"/>
              <w:ind w:right="143"/>
              <w:jc w:val="center"/>
              <w:rPr>
                <w:sz w:val="28"/>
              </w:rPr>
            </w:pPr>
            <w:r>
              <w:rPr>
                <w:w w:val="100"/>
                <w:sz w:val="28"/>
              </w:rPr>
              <w:t>-</w:t>
            </w:r>
          </w:p>
        </w:tc>
      </w:tr>
      <w:tr>
        <w:trPr>
          <w:trHeight w:val="653" w:hRule="exact"/>
        </w:trPr>
        <w:tc>
          <w:tcPr>
            <w:tcW w:w="2696" w:type="dxa"/>
          </w:tcPr>
          <w:p>
            <w:pPr>
              <w:pStyle w:val="TableParagraph"/>
              <w:ind w:left="268" w:right="252" w:firstLine="314"/>
              <w:rPr>
                <w:sz w:val="28"/>
              </w:rPr>
            </w:pPr>
            <w:r>
              <w:rPr>
                <w:sz w:val="28"/>
              </w:rPr>
              <w:t>Радикальное комбинированное</w:t>
            </w:r>
          </w:p>
        </w:tc>
        <w:tc>
          <w:tcPr>
            <w:tcW w:w="1274" w:type="dxa"/>
          </w:tcPr>
          <w:p>
            <w:pPr>
              <w:pStyle w:val="TableParagraph"/>
              <w:spacing w:before="153"/>
              <w:ind w:right="491"/>
              <w:jc w:val="right"/>
              <w:rPr>
                <w:sz w:val="28"/>
              </w:rPr>
            </w:pPr>
            <w:r>
              <w:rPr>
                <w:sz w:val="28"/>
              </w:rPr>
              <w:t>36</w:t>
            </w:r>
          </w:p>
        </w:tc>
        <w:tc>
          <w:tcPr>
            <w:tcW w:w="1702" w:type="dxa"/>
          </w:tcPr>
          <w:p>
            <w:pPr>
              <w:pStyle w:val="TableParagraph"/>
              <w:spacing w:before="4"/>
              <w:rPr>
                <w:sz w:val="27"/>
              </w:rPr>
            </w:pPr>
          </w:p>
          <w:p>
            <w:pPr>
              <w:pStyle w:val="TableParagraph"/>
              <w:ind w:left="103" w:right="247"/>
              <w:jc w:val="center"/>
              <w:rPr>
                <w:sz w:val="28"/>
              </w:rPr>
            </w:pPr>
            <w:r>
              <w:rPr>
                <w:sz w:val="28"/>
              </w:rPr>
              <w:t>75,2</w:t>
            </w:r>
          </w:p>
        </w:tc>
        <w:tc>
          <w:tcPr>
            <w:tcW w:w="1560" w:type="dxa"/>
          </w:tcPr>
          <w:p>
            <w:pPr>
              <w:pStyle w:val="TableParagraph"/>
              <w:spacing w:before="4"/>
              <w:rPr>
                <w:sz w:val="27"/>
              </w:rPr>
            </w:pPr>
          </w:p>
          <w:p>
            <w:pPr>
              <w:pStyle w:val="TableParagraph"/>
              <w:ind w:left="154" w:right="300"/>
              <w:jc w:val="center"/>
              <w:rPr>
                <w:sz w:val="28"/>
              </w:rPr>
            </w:pPr>
            <w:r>
              <w:rPr>
                <w:sz w:val="28"/>
              </w:rPr>
              <w:t>60,0</w:t>
            </w:r>
          </w:p>
        </w:tc>
        <w:tc>
          <w:tcPr>
            <w:tcW w:w="1700" w:type="dxa"/>
          </w:tcPr>
          <w:p>
            <w:pPr>
              <w:pStyle w:val="TableParagraph"/>
              <w:spacing w:before="4"/>
              <w:rPr>
                <w:sz w:val="27"/>
              </w:rPr>
            </w:pPr>
          </w:p>
          <w:p>
            <w:pPr>
              <w:pStyle w:val="TableParagraph"/>
              <w:ind w:left="346" w:right="487"/>
              <w:jc w:val="center"/>
              <w:rPr>
                <w:sz w:val="28"/>
              </w:rPr>
            </w:pPr>
            <w:r>
              <w:rPr>
                <w:sz w:val="28"/>
              </w:rPr>
              <w:t>43,0</w:t>
            </w:r>
          </w:p>
        </w:tc>
      </w:tr>
      <w:tr>
        <w:trPr>
          <w:trHeight w:val="977" w:hRule="exact"/>
        </w:trPr>
        <w:tc>
          <w:tcPr>
            <w:tcW w:w="2696" w:type="dxa"/>
          </w:tcPr>
          <w:p>
            <w:pPr>
              <w:pStyle w:val="TableParagraph"/>
              <w:spacing w:before="6"/>
              <w:rPr>
                <w:sz w:val="27"/>
              </w:rPr>
            </w:pPr>
          </w:p>
          <w:p>
            <w:pPr>
              <w:pStyle w:val="TableParagraph"/>
              <w:spacing w:before="1"/>
              <w:ind w:left="906" w:right="1050"/>
              <w:jc w:val="center"/>
              <w:rPr>
                <w:sz w:val="28"/>
              </w:rPr>
            </w:pPr>
            <w:r>
              <w:rPr>
                <w:sz w:val="28"/>
              </w:rPr>
              <w:t>Всего</w:t>
            </w:r>
          </w:p>
        </w:tc>
        <w:tc>
          <w:tcPr>
            <w:tcW w:w="1274" w:type="dxa"/>
          </w:tcPr>
          <w:p>
            <w:pPr>
              <w:pStyle w:val="TableParagraph"/>
              <w:spacing w:before="6"/>
              <w:rPr>
                <w:sz w:val="41"/>
              </w:rPr>
            </w:pPr>
          </w:p>
          <w:p>
            <w:pPr>
              <w:pStyle w:val="TableParagraph"/>
              <w:ind w:right="493"/>
              <w:jc w:val="right"/>
              <w:rPr>
                <w:sz w:val="28"/>
              </w:rPr>
            </w:pPr>
            <w:r>
              <w:rPr>
                <w:sz w:val="28"/>
              </w:rPr>
              <w:t>134</w:t>
            </w:r>
          </w:p>
        </w:tc>
        <w:tc>
          <w:tcPr>
            <w:tcW w:w="1702" w:type="dxa"/>
          </w:tcPr>
          <w:p>
            <w:pPr>
              <w:pStyle w:val="TableParagraph"/>
              <w:spacing w:before="6"/>
              <w:rPr>
                <w:sz w:val="41"/>
              </w:rPr>
            </w:pPr>
          </w:p>
          <w:p>
            <w:pPr>
              <w:pStyle w:val="TableParagraph"/>
              <w:ind w:left="103" w:right="247"/>
              <w:jc w:val="center"/>
              <w:rPr>
                <w:sz w:val="28"/>
              </w:rPr>
            </w:pPr>
            <w:r>
              <w:rPr>
                <w:sz w:val="28"/>
              </w:rPr>
              <w:t>83,7</w:t>
            </w:r>
          </w:p>
        </w:tc>
        <w:tc>
          <w:tcPr>
            <w:tcW w:w="1560" w:type="dxa"/>
          </w:tcPr>
          <w:p>
            <w:pPr>
              <w:pStyle w:val="TableParagraph"/>
              <w:spacing w:before="6"/>
              <w:rPr>
                <w:sz w:val="41"/>
              </w:rPr>
            </w:pPr>
          </w:p>
          <w:p>
            <w:pPr>
              <w:pStyle w:val="TableParagraph"/>
              <w:ind w:left="154" w:right="300"/>
              <w:jc w:val="center"/>
              <w:rPr>
                <w:sz w:val="28"/>
              </w:rPr>
            </w:pPr>
            <w:r>
              <w:rPr>
                <w:sz w:val="28"/>
              </w:rPr>
              <w:t>72,7</w:t>
            </w:r>
          </w:p>
        </w:tc>
        <w:tc>
          <w:tcPr>
            <w:tcW w:w="1700" w:type="dxa"/>
          </w:tcPr>
          <w:p>
            <w:pPr>
              <w:pStyle w:val="TableParagraph"/>
              <w:spacing w:before="6"/>
              <w:rPr>
                <w:sz w:val="41"/>
              </w:rPr>
            </w:pPr>
          </w:p>
          <w:p>
            <w:pPr>
              <w:pStyle w:val="TableParagraph"/>
              <w:ind w:left="346" w:right="487"/>
              <w:jc w:val="center"/>
              <w:rPr>
                <w:sz w:val="28"/>
              </w:rPr>
            </w:pPr>
            <w:r>
              <w:rPr>
                <w:sz w:val="28"/>
              </w:rPr>
              <w:t>76,7</w:t>
            </w:r>
          </w:p>
        </w:tc>
      </w:tr>
    </w:tbl>
    <w:p>
      <w:pPr>
        <w:pStyle w:val="BodyText"/>
        <w:spacing w:before="6"/>
        <w:rPr>
          <w:sz w:val="41"/>
        </w:rPr>
      </w:pPr>
    </w:p>
    <w:p>
      <w:pPr>
        <w:pStyle w:val="BodyText"/>
        <w:tabs>
          <w:tab w:pos="1152" w:val="left" w:leader="none"/>
          <w:tab w:pos="1488" w:val="left" w:leader="none"/>
          <w:tab w:pos="1861" w:val="left" w:leader="none"/>
          <w:tab w:pos="2352" w:val="left" w:leader="none"/>
          <w:tab w:pos="3675" w:val="left" w:leader="none"/>
          <w:tab w:pos="3932" w:val="left" w:leader="none"/>
          <w:tab w:pos="4362" w:val="left" w:leader="none"/>
          <w:tab w:pos="4534" w:val="left" w:leader="none"/>
          <w:tab w:pos="5151" w:val="left" w:leader="none"/>
          <w:tab w:pos="5389" w:val="left" w:leader="none"/>
          <w:tab w:pos="6316" w:val="left" w:leader="none"/>
          <w:tab w:pos="6821" w:val="left" w:leader="none"/>
          <w:tab w:pos="7010" w:val="left" w:leader="none"/>
          <w:tab w:pos="7484" w:val="left" w:leader="none"/>
          <w:tab w:pos="7521" w:val="left" w:leader="none"/>
          <w:tab w:pos="7884" w:val="left" w:leader="none"/>
          <w:tab w:pos="7999" w:val="left" w:leader="none"/>
          <w:tab w:pos="8153" w:val="left" w:leader="none"/>
          <w:tab w:pos="8373" w:val="left" w:leader="none"/>
          <w:tab w:pos="8787" w:val="left" w:leader="none"/>
          <w:tab w:pos="8923" w:val="left" w:leader="none"/>
        </w:tabs>
        <w:spacing w:line="360" w:lineRule="auto"/>
        <w:ind w:left="122" w:right="121" w:firstLine="719"/>
      </w:pPr>
      <w:r>
        <w:rPr/>
        <w:t>Из-за</w:t>
        <w:tab/>
        <w:tab/>
        <w:t>небольшого</w:t>
        <w:tab/>
        <w:t>количества</w:t>
        <w:tab/>
        <w:tab/>
        <w:t>пациентов</w:t>
        <w:tab/>
        <w:tab/>
        <w:t>в</w:t>
        <w:tab/>
        <w:tab/>
        <w:t>каждой</w:t>
        <w:tab/>
        <w:t>из перечисленных групп больных говорить о высокой информативности приведенных данных не представляется возможным. Несколько худшие результаты лечения больных, подвергшихся радикальным операциям и адъювантной химиотерапии могут быть объяснены концентрацией у этих </w:t>
      </w:r>
      <w:r>
        <w:rPr>
          <w:spacing w:val="-1"/>
        </w:rPr>
        <w:t>больных</w:t>
        <w:tab/>
        <w:tab/>
      </w:r>
      <w:r>
        <w:rPr/>
        <w:t>неблагоприятных</w:t>
        <w:tab/>
        <w:tab/>
        <w:t>прогностических</w:t>
        <w:tab/>
        <w:t>признаков</w:t>
        <w:tab/>
        <w:t>и</w:t>
        <w:tab/>
        <w:tab/>
        <w:t>более распространённых опухолевых процессов. В целом, лучшие показатели безрецидивной</w:t>
        <w:tab/>
        <w:t>выживаемости</w:t>
        <w:tab/>
        <w:tab/>
        <w:t>продемонстрировали</w:t>
        <w:tab/>
        <w:t>больные</w:t>
        <w:tab/>
        <w:tab/>
        <w:t>с высокодифференцированными </w:t>
      </w:r>
      <w:r>
        <w:rPr>
          <w:spacing w:val="45"/>
        </w:rPr>
        <w:t> </w:t>
      </w:r>
      <w:r>
        <w:rPr/>
        <w:t>эндометриоидными </w:t>
      </w:r>
      <w:r>
        <w:rPr>
          <w:spacing w:val="43"/>
        </w:rPr>
        <w:t> </w:t>
      </w:r>
      <w:r>
        <w:rPr/>
        <w:t>опухолями.</w:t>
        <w:tab/>
        <w:tab/>
        <w:t>Мы </w:t>
      </w:r>
      <w:r>
        <w:rPr>
          <w:spacing w:val="49"/>
        </w:rPr>
        <w:t> </w:t>
      </w:r>
      <w:r>
        <w:rPr/>
        <w:t>не</w:t>
      </w:r>
      <w:r>
        <w:rPr>
          <w:w w:val="100"/>
        </w:rPr>
        <w:t> </w:t>
      </w:r>
      <w:r>
        <w:rPr/>
        <w:t>выявили преимущества радикального комбинированного метода лечения перед</w:t>
        <w:tab/>
      </w:r>
      <w:r>
        <w:rPr>
          <w:spacing w:val="-1"/>
        </w:rPr>
        <w:t>органосохраняющим</w:t>
        <w:tab/>
        <w:tab/>
        <w:tab/>
      </w:r>
      <w:r>
        <w:rPr/>
        <w:t>при</w:t>
        <w:tab/>
        <w:t>поражении</w:t>
        <w:tab/>
        <w:t>одного</w:t>
        <w:tab/>
        <w:tab/>
        <w:t>яичника. Целесообразность же выполнения радикальных операций и проведения адъювантной химиотерапии при IB и IC не вызывает</w:t>
      </w:r>
      <w:r>
        <w:rPr>
          <w:spacing w:val="-18"/>
        </w:rPr>
        <w:t> </w:t>
      </w:r>
      <w:r>
        <w:rPr/>
        <w:t>сомнений.</w:t>
      </w:r>
    </w:p>
    <w:p>
      <w:pPr>
        <w:spacing w:after="0" w:line="360" w:lineRule="auto"/>
        <w:sectPr>
          <w:pgSz w:w="11900" w:h="16850"/>
          <w:pgMar w:header="712" w:footer="0" w:top="1020" w:bottom="280" w:left="1580" w:right="1140"/>
        </w:sectPr>
      </w:pPr>
    </w:p>
    <w:p>
      <w:pPr>
        <w:pStyle w:val="BodyText"/>
        <w:rPr>
          <w:sz w:val="20"/>
        </w:rPr>
      </w:pPr>
    </w:p>
    <w:p>
      <w:pPr>
        <w:pStyle w:val="BodyText"/>
        <w:spacing w:line="360" w:lineRule="auto" w:before="252"/>
        <w:ind w:left="222" w:right="247" w:firstLine="719"/>
        <w:jc w:val="both"/>
      </w:pPr>
      <w:r>
        <w:rPr/>
        <w:t>В заключении этого раздела работы мы попытались выяснить, играет ли вид хирургического доступа роль самостоятельного прогностического признака (Табл. 5.17).</w:t>
      </w:r>
    </w:p>
    <w:p>
      <w:pPr>
        <w:pStyle w:val="BodyText"/>
        <w:spacing w:line="360" w:lineRule="auto" w:before="5"/>
        <w:ind w:left="793" w:right="85" w:firstLine="6940"/>
      </w:pPr>
      <w:r>
        <w:rPr/>
        <w:t>Таблица 5.17 Безрецидивная выживаемость больных раком яичников I стадии в</w:t>
      </w:r>
    </w:p>
    <w:p>
      <w:pPr>
        <w:pStyle w:val="BodyText"/>
        <w:spacing w:before="7"/>
        <w:ind w:left="2348"/>
      </w:pPr>
      <w:r>
        <w:rPr/>
        <w:t>зависимости от хирургического доступа</w:t>
      </w:r>
    </w:p>
    <w:p>
      <w:pPr>
        <w:pStyle w:val="BodyText"/>
        <w:spacing w:before="5"/>
        <w:rPr>
          <w:sz w:val="14"/>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9"/>
        <w:gridCol w:w="1668"/>
        <w:gridCol w:w="1843"/>
        <w:gridCol w:w="1700"/>
      </w:tblGrid>
      <w:tr>
        <w:trPr>
          <w:trHeight w:val="1054" w:hRule="exact"/>
        </w:trPr>
        <w:tc>
          <w:tcPr>
            <w:tcW w:w="3829" w:type="dxa"/>
          </w:tcPr>
          <w:p>
            <w:pPr/>
          </w:p>
        </w:tc>
        <w:tc>
          <w:tcPr>
            <w:tcW w:w="5211" w:type="dxa"/>
            <w:gridSpan w:val="3"/>
          </w:tcPr>
          <w:p>
            <w:pPr>
              <w:pStyle w:val="TableParagraph"/>
              <w:spacing w:line="388" w:lineRule="auto"/>
              <w:ind w:left="2318" w:right="143" w:hanging="2161"/>
              <w:rPr>
                <w:sz w:val="28"/>
              </w:rPr>
            </w:pPr>
            <w:r>
              <w:rPr>
                <w:sz w:val="28"/>
              </w:rPr>
              <w:t>3-х летняя безрецидивная выживаемость n(%)</w:t>
            </w:r>
          </w:p>
        </w:tc>
      </w:tr>
      <w:tr>
        <w:trPr>
          <w:trHeight w:val="533" w:hRule="exact"/>
        </w:trPr>
        <w:tc>
          <w:tcPr>
            <w:tcW w:w="3829" w:type="dxa"/>
            <w:vMerge w:val="restart"/>
          </w:tcPr>
          <w:p>
            <w:pPr>
              <w:pStyle w:val="TableParagraph"/>
              <w:spacing w:before="10"/>
              <w:rPr>
                <w:sz w:val="44"/>
              </w:rPr>
            </w:pPr>
          </w:p>
          <w:p>
            <w:pPr>
              <w:pStyle w:val="TableParagraph"/>
              <w:ind w:left="165" w:right="165"/>
              <w:jc w:val="center"/>
              <w:rPr>
                <w:sz w:val="28"/>
              </w:rPr>
            </w:pPr>
            <w:r>
              <w:rPr>
                <w:sz w:val="28"/>
              </w:rPr>
              <w:t>Операция</w:t>
            </w:r>
          </w:p>
        </w:tc>
        <w:tc>
          <w:tcPr>
            <w:tcW w:w="3512" w:type="dxa"/>
            <w:gridSpan w:val="2"/>
          </w:tcPr>
          <w:p>
            <w:pPr>
              <w:pStyle w:val="TableParagraph"/>
              <w:spacing w:line="315" w:lineRule="exact"/>
              <w:ind w:left="1296" w:right="1297"/>
              <w:jc w:val="center"/>
              <w:rPr>
                <w:sz w:val="28"/>
              </w:rPr>
            </w:pPr>
            <w:r>
              <w:rPr>
                <w:sz w:val="28"/>
              </w:rPr>
              <w:t>Доступ</w:t>
            </w:r>
          </w:p>
        </w:tc>
        <w:tc>
          <w:tcPr>
            <w:tcW w:w="1700" w:type="dxa"/>
            <w:vMerge w:val="restart"/>
          </w:tcPr>
          <w:p>
            <w:pPr>
              <w:pStyle w:val="TableParagraph"/>
              <w:rPr>
                <w:sz w:val="30"/>
              </w:rPr>
            </w:pPr>
          </w:p>
          <w:p>
            <w:pPr>
              <w:pStyle w:val="TableParagraph"/>
              <w:spacing w:before="4"/>
              <w:rPr>
                <w:sz w:val="37"/>
              </w:rPr>
            </w:pPr>
          </w:p>
          <w:p>
            <w:pPr>
              <w:pStyle w:val="TableParagraph"/>
              <w:spacing w:before="1"/>
              <w:ind w:left="497"/>
              <w:rPr>
                <w:sz w:val="28"/>
              </w:rPr>
            </w:pPr>
            <w:r>
              <w:rPr>
                <w:sz w:val="28"/>
              </w:rPr>
              <w:t>Всего</w:t>
            </w:r>
          </w:p>
        </w:tc>
      </w:tr>
      <w:tr>
        <w:trPr>
          <w:trHeight w:val="1044" w:hRule="exact"/>
        </w:trPr>
        <w:tc>
          <w:tcPr>
            <w:tcW w:w="3829" w:type="dxa"/>
            <w:vMerge/>
          </w:tcPr>
          <w:p>
            <w:pPr/>
          </w:p>
        </w:tc>
        <w:tc>
          <w:tcPr>
            <w:tcW w:w="1668" w:type="dxa"/>
          </w:tcPr>
          <w:p>
            <w:pPr>
              <w:pStyle w:val="TableParagraph"/>
              <w:spacing w:before="86"/>
              <w:ind w:left="597" w:right="201" w:hanging="384"/>
              <w:rPr>
                <w:sz w:val="28"/>
              </w:rPr>
            </w:pPr>
            <w:r>
              <w:rPr>
                <w:sz w:val="28"/>
              </w:rPr>
              <w:t>Лапарото- мия</w:t>
            </w:r>
          </w:p>
        </w:tc>
        <w:tc>
          <w:tcPr>
            <w:tcW w:w="1843" w:type="dxa"/>
          </w:tcPr>
          <w:p>
            <w:pPr>
              <w:pStyle w:val="TableParagraph"/>
              <w:spacing w:before="86"/>
              <w:ind w:left="698" w:right="219" w:hanging="466"/>
              <w:rPr>
                <w:sz w:val="28"/>
              </w:rPr>
            </w:pPr>
            <w:r>
              <w:rPr>
                <w:sz w:val="28"/>
              </w:rPr>
              <w:t>Лапароско- пия</w:t>
            </w:r>
          </w:p>
        </w:tc>
        <w:tc>
          <w:tcPr>
            <w:tcW w:w="1700" w:type="dxa"/>
            <w:vMerge/>
          </w:tcPr>
          <w:p>
            <w:pPr/>
          </w:p>
        </w:tc>
      </w:tr>
      <w:tr>
        <w:trPr>
          <w:trHeight w:val="1575" w:hRule="exact"/>
        </w:trPr>
        <w:tc>
          <w:tcPr>
            <w:tcW w:w="3829" w:type="dxa"/>
          </w:tcPr>
          <w:p>
            <w:pPr>
              <w:pStyle w:val="TableParagraph"/>
              <w:spacing w:before="8"/>
              <w:rPr>
                <w:sz w:val="30"/>
              </w:rPr>
            </w:pPr>
          </w:p>
          <w:p>
            <w:pPr>
              <w:pStyle w:val="TableParagraph"/>
              <w:ind w:left="1355" w:right="643" w:hanging="696"/>
              <w:rPr>
                <w:sz w:val="28"/>
              </w:rPr>
            </w:pPr>
            <w:r>
              <w:rPr>
                <w:sz w:val="28"/>
              </w:rPr>
              <w:t>Органосохраняющая операция</w:t>
            </w:r>
          </w:p>
        </w:tc>
        <w:tc>
          <w:tcPr>
            <w:tcW w:w="1668" w:type="dxa"/>
          </w:tcPr>
          <w:p>
            <w:pPr>
              <w:pStyle w:val="TableParagraph"/>
              <w:spacing w:line="388" w:lineRule="auto" w:before="252"/>
              <w:ind w:left="487" w:right="475" w:firstLine="19"/>
              <w:rPr>
                <w:sz w:val="28"/>
              </w:rPr>
            </w:pPr>
            <w:r>
              <w:rPr>
                <w:sz w:val="28"/>
              </w:rPr>
              <w:t>31/37 (83,8)</w:t>
            </w:r>
          </w:p>
        </w:tc>
        <w:tc>
          <w:tcPr>
            <w:tcW w:w="1843" w:type="dxa"/>
          </w:tcPr>
          <w:p>
            <w:pPr>
              <w:pStyle w:val="TableParagraph"/>
              <w:spacing w:line="388" w:lineRule="auto" w:before="252"/>
              <w:ind w:left="576" w:right="561" w:firstLine="19"/>
              <w:rPr>
                <w:sz w:val="28"/>
              </w:rPr>
            </w:pPr>
            <w:r>
              <w:rPr>
                <w:sz w:val="28"/>
              </w:rPr>
              <w:t>14/18 (77,8)</w:t>
            </w:r>
          </w:p>
        </w:tc>
        <w:tc>
          <w:tcPr>
            <w:tcW w:w="1700" w:type="dxa"/>
          </w:tcPr>
          <w:p>
            <w:pPr>
              <w:pStyle w:val="TableParagraph"/>
              <w:spacing w:line="388" w:lineRule="auto"/>
              <w:ind w:left="504" w:right="489" w:firstLine="19"/>
              <w:rPr>
                <w:sz w:val="28"/>
              </w:rPr>
            </w:pPr>
            <w:r>
              <w:rPr>
                <w:sz w:val="28"/>
              </w:rPr>
              <w:t>45/55 (81,8)</w:t>
            </w:r>
          </w:p>
        </w:tc>
      </w:tr>
      <w:tr>
        <w:trPr>
          <w:trHeight w:val="1577" w:hRule="exact"/>
        </w:trPr>
        <w:tc>
          <w:tcPr>
            <w:tcW w:w="3829" w:type="dxa"/>
          </w:tcPr>
          <w:p>
            <w:pPr>
              <w:pStyle w:val="TableParagraph"/>
              <w:spacing w:before="10"/>
              <w:rPr>
                <w:sz w:val="30"/>
              </w:rPr>
            </w:pPr>
          </w:p>
          <w:p>
            <w:pPr>
              <w:pStyle w:val="TableParagraph"/>
              <w:ind w:left="1065" w:right="663" w:hanging="384"/>
              <w:rPr>
                <w:sz w:val="28"/>
              </w:rPr>
            </w:pPr>
            <w:r>
              <w:rPr>
                <w:sz w:val="28"/>
              </w:rPr>
              <w:t>Пангистерэктомия + оментэктомия</w:t>
            </w:r>
          </w:p>
        </w:tc>
        <w:tc>
          <w:tcPr>
            <w:tcW w:w="1668" w:type="dxa"/>
          </w:tcPr>
          <w:p>
            <w:pPr>
              <w:pStyle w:val="TableParagraph"/>
              <w:spacing w:line="388" w:lineRule="auto" w:before="254"/>
              <w:ind w:left="487" w:right="475" w:firstLine="19"/>
              <w:rPr>
                <w:sz w:val="28"/>
              </w:rPr>
            </w:pPr>
            <w:r>
              <w:rPr>
                <w:sz w:val="28"/>
              </w:rPr>
              <w:t>43/49 (87,6)</w:t>
            </w:r>
          </w:p>
        </w:tc>
        <w:tc>
          <w:tcPr>
            <w:tcW w:w="1843" w:type="dxa"/>
          </w:tcPr>
          <w:p>
            <w:pPr>
              <w:pStyle w:val="TableParagraph"/>
              <w:spacing w:line="388" w:lineRule="auto" w:before="254"/>
              <w:ind w:left="576" w:right="561" w:firstLine="223"/>
              <w:rPr>
                <w:sz w:val="28"/>
              </w:rPr>
            </w:pPr>
            <w:r>
              <w:rPr>
                <w:sz w:val="28"/>
              </w:rPr>
              <w:t>6/7 (85,1)</w:t>
            </w:r>
          </w:p>
        </w:tc>
        <w:tc>
          <w:tcPr>
            <w:tcW w:w="1700" w:type="dxa"/>
          </w:tcPr>
          <w:p>
            <w:pPr>
              <w:pStyle w:val="TableParagraph"/>
              <w:spacing w:line="388" w:lineRule="auto"/>
              <w:ind w:left="504" w:right="489" w:firstLine="19"/>
              <w:rPr>
                <w:sz w:val="28"/>
              </w:rPr>
            </w:pPr>
            <w:r>
              <w:rPr>
                <w:sz w:val="28"/>
              </w:rPr>
              <w:t>49/56 (87,5)</w:t>
            </w:r>
          </w:p>
        </w:tc>
      </w:tr>
      <w:tr>
        <w:trPr>
          <w:trHeight w:val="1575" w:hRule="exact"/>
        </w:trPr>
        <w:tc>
          <w:tcPr>
            <w:tcW w:w="3829" w:type="dxa"/>
          </w:tcPr>
          <w:p>
            <w:pPr>
              <w:pStyle w:val="TableParagraph"/>
              <w:spacing w:before="7"/>
              <w:rPr>
                <w:sz w:val="44"/>
              </w:rPr>
            </w:pPr>
          </w:p>
          <w:p>
            <w:pPr>
              <w:pStyle w:val="TableParagraph"/>
              <w:spacing w:before="1"/>
              <w:ind w:left="165" w:right="167"/>
              <w:jc w:val="center"/>
              <w:rPr>
                <w:sz w:val="28"/>
              </w:rPr>
            </w:pPr>
            <w:r>
              <w:rPr>
                <w:sz w:val="28"/>
              </w:rPr>
              <w:t>Конверсионная лапаротомия</w:t>
            </w:r>
          </w:p>
        </w:tc>
        <w:tc>
          <w:tcPr>
            <w:tcW w:w="1668" w:type="dxa"/>
          </w:tcPr>
          <w:p>
            <w:pPr>
              <w:pStyle w:val="TableParagraph"/>
              <w:spacing w:before="7"/>
              <w:rPr>
                <w:sz w:val="44"/>
              </w:rPr>
            </w:pPr>
          </w:p>
          <w:p>
            <w:pPr>
              <w:pStyle w:val="TableParagraph"/>
              <w:spacing w:before="1"/>
              <w:ind w:right="3"/>
              <w:jc w:val="center"/>
              <w:rPr>
                <w:sz w:val="28"/>
              </w:rPr>
            </w:pPr>
            <w:r>
              <w:rPr>
                <w:w w:val="100"/>
                <w:sz w:val="28"/>
              </w:rPr>
              <w:t>-</w:t>
            </w:r>
          </w:p>
        </w:tc>
        <w:tc>
          <w:tcPr>
            <w:tcW w:w="1843" w:type="dxa"/>
          </w:tcPr>
          <w:p>
            <w:pPr>
              <w:pStyle w:val="TableParagraph"/>
              <w:spacing w:line="388" w:lineRule="auto"/>
              <w:ind w:left="576" w:right="518" w:firstLine="81"/>
              <w:rPr>
                <w:sz w:val="28"/>
              </w:rPr>
            </w:pPr>
            <w:r>
              <w:rPr>
                <w:sz w:val="28"/>
              </w:rPr>
              <w:t>13/23 (56,5)</w:t>
            </w:r>
          </w:p>
        </w:tc>
        <w:tc>
          <w:tcPr>
            <w:tcW w:w="1700" w:type="dxa"/>
          </w:tcPr>
          <w:p>
            <w:pPr>
              <w:pStyle w:val="TableParagraph"/>
              <w:spacing w:line="388" w:lineRule="auto"/>
              <w:ind w:left="504" w:right="489" w:firstLine="14"/>
              <w:rPr>
                <w:sz w:val="28"/>
              </w:rPr>
            </w:pPr>
            <w:r>
              <w:rPr>
                <w:sz w:val="28"/>
              </w:rPr>
              <w:t>13/23 (56,5)</w:t>
            </w:r>
          </w:p>
        </w:tc>
      </w:tr>
      <w:tr>
        <w:trPr>
          <w:trHeight w:val="1056" w:hRule="exact"/>
        </w:trPr>
        <w:tc>
          <w:tcPr>
            <w:tcW w:w="3829" w:type="dxa"/>
          </w:tcPr>
          <w:p>
            <w:pPr>
              <w:pStyle w:val="TableParagraph"/>
              <w:spacing w:before="254"/>
              <w:ind w:left="165" w:right="165"/>
              <w:jc w:val="center"/>
              <w:rPr>
                <w:sz w:val="28"/>
              </w:rPr>
            </w:pPr>
            <w:r>
              <w:rPr>
                <w:sz w:val="28"/>
              </w:rPr>
              <w:t>Всего</w:t>
            </w:r>
          </w:p>
        </w:tc>
        <w:tc>
          <w:tcPr>
            <w:tcW w:w="1668" w:type="dxa"/>
          </w:tcPr>
          <w:p>
            <w:pPr>
              <w:pStyle w:val="TableParagraph"/>
              <w:spacing w:line="388" w:lineRule="auto"/>
              <w:ind w:left="371" w:right="358" w:firstLine="134"/>
              <w:rPr>
                <w:sz w:val="28"/>
              </w:rPr>
            </w:pPr>
            <w:r>
              <w:rPr>
                <w:sz w:val="28"/>
              </w:rPr>
              <w:t>74/86 (86,0%)</w:t>
            </w:r>
          </w:p>
        </w:tc>
        <w:tc>
          <w:tcPr>
            <w:tcW w:w="1843" w:type="dxa"/>
          </w:tcPr>
          <w:p>
            <w:pPr>
              <w:pStyle w:val="TableParagraph"/>
              <w:spacing w:line="388" w:lineRule="auto"/>
              <w:ind w:left="458" w:right="445" w:firstLine="136"/>
              <w:rPr>
                <w:sz w:val="28"/>
              </w:rPr>
            </w:pPr>
            <w:r>
              <w:rPr>
                <w:sz w:val="28"/>
              </w:rPr>
              <w:t>20/25 (80,0%)</w:t>
            </w:r>
          </w:p>
        </w:tc>
        <w:tc>
          <w:tcPr>
            <w:tcW w:w="1700" w:type="dxa"/>
          </w:tcPr>
          <w:p>
            <w:pPr>
              <w:pStyle w:val="TableParagraph"/>
              <w:spacing w:line="388" w:lineRule="auto"/>
              <w:ind w:left="389" w:right="368" w:hanging="5"/>
              <w:rPr>
                <w:sz w:val="28"/>
              </w:rPr>
            </w:pPr>
            <w:r>
              <w:rPr>
                <w:sz w:val="28"/>
              </w:rPr>
              <w:t>113/134 (84,3%)</w:t>
            </w:r>
          </w:p>
        </w:tc>
      </w:tr>
    </w:tbl>
    <w:p>
      <w:pPr>
        <w:pStyle w:val="BodyText"/>
        <w:spacing w:before="3"/>
        <w:rPr>
          <w:sz w:val="41"/>
        </w:rPr>
      </w:pPr>
    </w:p>
    <w:p>
      <w:pPr>
        <w:pStyle w:val="BodyText"/>
        <w:spacing w:line="360" w:lineRule="auto" w:before="1"/>
        <w:ind w:left="222" w:right="249" w:firstLine="719"/>
        <w:jc w:val="both"/>
      </w:pPr>
      <w:r>
        <w:rPr/>
        <w:t>Полученные значения безрецидивной выживаемости для всех групп больных I стадии рака яичников составила 84,3%, что соответствует результатам ведущих мировых клиник. Однако, при сопоставлении сроков безрецидивной выживаемости отмечена тенденция к их уменьшению после лапароскопических операций по сравнению</w:t>
      </w:r>
      <w:r>
        <w:rPr>
          <w:spacing w:val="-25"/>
        </w:rPr>
        <w:t> </w:t>
      </w:r>
      <w:r>
        <w:rPr/>
        <w:t>с</w:t>
      </w:r>
    </w:p>
    <w:p>
      <w:pPr>
        <w:spacing w:after="0" w:line="360" w:lineRule="auto"/>
        <w:jc w:val="both"/>
        <w:sectPr>
          <w:pgSz w:w="11900" w:h="16850"/>
          <w:pgMar w:header="712" w:footer="0" w:top="1020" w:bottom="280" w:left="1480" w:right="1020"/>
        </w:sect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line="360" w:lineRule="auto" w:before="89"/>
        <w:ind w:left="102" w:right="105"/>
        <w:jc w:val="both"/>
      </w:pPr>
      <w:r>
        <w:rPr/>
        <w:t>открытыми вмешательствами. В особенности это касается конверсионных лапаротомий, выполненных в результате недооценки степени распространения опухоли, с чем связана большая продолжительность и травматичность операций. Как правило речь тут идет о попытках повторных лапароскопических вмешательств. Нельзя также исключить, что имплантационные микрометастазы существовали уже к моменту выполнения второй операции.</w:t>
      </w:r>
    </w:p>
    <w:p>
      <w:pPr>
        <w:pStyle w:val="BodyText"/>
        <w:spacing w:line="360" w:lineRule="auto" w:before="5"/>
        <w:ind w:left="102" w:right="102" w:firstLine="789"/>
        <w:jc w:val="both"/>
      </w:pPr>
      <w:r>
        <w:rPr/>
        <w:t>В литературе существуют многочисленные публикации, объясняющие высокую частоту рецидивирования после лапароскопических операций по поводу рака яичников повышенным давлением газа в брюшной полости, негерметичностью установленных троакаров, возможным негативным влиянием самого углекислого газа, трудностями соблюдения правил абластики в ходе вмешательства. Все эти негативные моменты нашли подтверждение и в нашем исследовании. В первую очередь, обращает на себя внимание высокая частота имплантационных метастазов в послеоперационные</w:t>
      </w:r>
      <w:r>
        <w:rPr>
          <w:spacing w:val="-20"/>
        </w:rPr>
        <w:t> </w:t>
      </w:r>
      <w:r>
        <w:rPr/>
        <w:t>рубцы.</w:t>
      </w:r>
    </w:p>
    <w:p>
      <w:pPr>
        <w:pStyle w:val="BodyText"/>
        <w:spacing w:line="360" w:lineRule="auto" w:before="5"/>
        <w:ind w:left="102" w:right="98" w:firstLine="719"/>
        <w:jc w:val="both"/>
      </w:pPr>
      <w:r>
        <w:rPr/>
        <w:t>Их частота заметно уменьшается при снижении давления газа в брюшной полости ниже 8 мм.рт.ст., использовании специальных герметичных троакаров, извлечении препарата в контейнере и послойном ушивании послеоперационных ран. Подобная техника применяется в онкологических клиниках, но и она не позволила избежать возникновения рецидивов. У 5 (20%) из 25 больных через 4 - 6 месяцев после лапароскопических операций развились имплантационные метастазы: в 4 случаях в области троакарной раны и в одном – в культе влагалища. При повторной операции у 3 из них выявлен канцероматоз брюшины. Эти случаи продолжают ряд описаний подобных наблюдений развития port- site метастазов в отечественной и зарубежной литературе и заставляет крайне осторожно относиться к лапароскопическому доступу при</w:t>
      </w:r>
    </w:p>
    <w:p>
      <w:pPr>
        <w:spacing w:after="0" w:line="360" w:lineRule="auto"/>
        <w:jc w:val="both"/>
        <w:sectPr>
          <w:pgSz w:w="11900" w:h="16850"/>
          <w:pgMar w:header="712" w:footer="0" w:top="1020" w:bottom="280" w:left="1600" w:right="1160"/>
        </w:sectPr>
      </w:pPr>
    </w:p>
    <w:p>
      <w:pPr>
        <w:pStyle w:val="BodyText"/>
        <w:rPr>
          <w:sz w:val="20"/>
        </w:rPr>
      </w:pPr>
    </w:p>
    <w:p>
      <w:pPr>
        <w:pStyle w:val="BodyText"/>
        <w:spacing w:line="362" w:lineRule="auto" w:before="252"/>
        <w:ind w:left="102"/>
      </w:pPr>
      <w:r>
        <w:rPr/>
        <w:t>хирургическом лечении такой крайне агрессивной опухоли, как рак яичников.</w:t>
      </w:r>
    </w:p>
    <w:p>
      <w:pPr>
        <w:pStyle w:val="BodyText"/>
        <w:spacing w:line="360" w:lineRule="auto" w:before="2"/>
        <w:ind w:left="102" w:right="202" w:firstLine="719"/>
        <w:jc w:val="both"/>
      </w:pPr>
      <w:r>
        <w:rPr/>
        <w:t>Из 18 нерадикально прооперированных больных, поступивших в клинику для повторных операций, у пятерых уже определялись порт-сайт метастазы </w:t>
      </w:r>
      <w:r>
        <w:rPr>
          <w:spacing w:val="67"/>
        </w:rPr>
        <w:t> </w:t>
      </w:r>
      <w:r>
        <w:rPr/>
        <w:t>(27,7%!).</w:t>
      </w:r>
    </w:p>
    <w:p>
      <w:pPr>
        <w:pStyle w:val="BodyText"/>
        <w:spacing w:line="360" w:lineRule="auto" w:before="7"/>
        <w:ind w:left="102" w:right="204" w:firstLine="719"/>
        <w:jc w:val="both"/>
      </w:pPr>
      <w:r>
        <w:rPr/>
        <w:t>Органосохраняющее лечение было проведено 52 больным репродуктивного возраста. После окончания лечения забеременели 13 пациенток (24%). У 3 пациенток беременность закончилась нормальными родами,  у остальных по разным причинам беременность была прервана.</w:t>
      </w:r>
    </w:p>
    <w:p>
      <w:pPr>
        <w:pStyle w:val="BodyText"/>
        <w:spacing w:line="360" w:lineRule="auto" w:before="4"/>
        <w:ind w:left="102" w:right="200" w:firstLine="789"/>
        <w:jc w:val="both"/>
      </w:pPr>
      <w:r>
        <w:rPr/>
        <w:t>Примечательно, что в процентном соотношении большая часть беременностей (61,5%) наступила после лапароскопических операций, что свидетельствует о меньшей травматичности и отсутствии осложнений спаечного характера в этой группе</w:t>
      </w:r>
      <w:r>
        <w:rPr>
          <w:spacing w:val="-19"/>
        </w:rPr>
        <w:t> </w:t>
      </w:r>
      <w:r>
        <w:rPr/>
        <w:t>больных.</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
        <w:rPr>
          <w:sz w:val="24"/>
        </w:rPr>
      </w:pPr>
    </w:p>
    <w:p>
      <w:pPr>
        <w:pStyle w:val="Heading1"/>
        <w:numPr>
          <w:ilvl w:val="1"/>
          <w:numId w:val="30"/>
        </w:numPr>
        <w:tabs>
          <w:tab w:pos="700" w:val="left" w:leader="none"/>
        </w:tabs>
        <w:spacing w:line="362" w:lineRule="auto" w:before="1" w:after="0"/>
        <w:ind w:left="2730" w:right="102" w:hanging="2592"/>
        <w:jc w:val="left"/>
      </w:pPr>
      <w:r>
        <w:rPr/>
        <w:t>Диагностическая лапароскопия в процессе лечения и</w:t>
      </w:r>
      <w:r>
        <w:rPr>
          <w:spacing w:val="-21"/>
        </w:rPr>
        <w:t> </w:t>
      </w:r>
      <w:r>
        <w:rPr/>
        <w:t>наблюдения за больными раком</w:t>
      </w:r>
      <w:r>
        <w:rPr>
          <w:spacing w:val="-7"/>
        </w:rPr>
        <w:t> </w:t>
      </w:r>
      <w:r>
        <w:rPr/>
        <w:t>яичников</w:t>
      </w:r>
    </w:p>
    <w:p>
      <w:pPr>
        <w:pStyle w:val="BodyText"/>
        <w:rPr>
          <w:b/>
          <w:sz w:val="30"/>
        </w:rPr>
      </w:pPr>
    </w:p>
    <w:p>
      <w:pPr>
        <w:pStyle w:val="BodyText"/>
        <w:spacing w:line="360" w:lineRule="auto" w:before="267"/>
        <w:ind w:left="102" w:right="208" w:firstLine="719"/>
        <w:jc w:val="both"/>
      </w:pPr>
      <w:r>
        <w:rPr/>
        <w:t>В заключительном разделе этой главы рассмотрены клинические ситуации, при которых может оказаться показано применение диагностической лапароскопии.</w:t>
      </w:r>
    </w:p>
    <w:p>
      <w:pPr>
        <w:pStyle w:val="BodyText"/>
        <w:spacing w:line="360" w:lineRule="auto" w:before="5"/>
        <w:ind w:left="102" w:right="209" w:firstLine="719"/>
        <w:jc w:val="both"/>
      </w:pPr>
      <w:r>
        <w:rPr/>
        <w:t>Во-первых, при необходимости морфологической верификации и оценки резектабельности опухолевого процесса перед началом лекарственного лечения.</w:t>
      </w:r>
    </w:p>
    <w:p>
      <w:pPr>
        <w:pStyle w:val="BodyText"/>
        <w:spacing w:line="360" w:lineRule="auto" w:before="5"/>
        <w:ind w:left="102" w:right="206" w:firstLine="719"/>
        <w:jc w:val="both"/>
      </w:pPr>
      <w:r>
        <w:rPr/>
        <w:t>Во-вторых, для уточнения состояния опухолевого процесса на различных этапах лечения рака яичников при несоответствии клинических данных. Здесь может идти речь как о морфологическом подтверждении достигнутой в результате проведенного комплексного</w:t>
      </w:r>
    </w:p>
    <w:p>
      <w:pPr>
        <w:spacing w:after="0" w:line="360" w:lineRule="auto"/>
        <w:jc w:val="both"/>
        <w:sectPr>
          <w:pgSz w:w="11900" w:h="16850"/>
          <w:pgMar w:header="712" w:footer="0" w:top="1020" w:bottom="280" w:left="1600" w:right="1060"/>
        </w:sectPr>
      </w:pPr>
    </w:p>
    <w:p>
      <w:pPr>
        <w:pStyle w:val="BodyText"/>
        <w:rPr>
          <w:sz w:val="20"/>
        </w:rPr>
      </w:pPr>
    </w:p>
    <w:p>
      <w:pPr>
        <w:pStyle w:val="BodyText"/>
        <w:tabs>
          <w:tab w:pos="1279" w:val="left" w:leader="none"/>
          <w:tab w:pos="2031" w:val="left" w:leader="none"/>
          <w:tab w:pos="2880" w:val="left" w:leader="none"/>
          <w:tab w:pos="2979" w:val="left" w:leader="none"/>
          <w:tab w:pos="3237" w:val="left" w:leader="none"/>
          <w:tab w:pos="4673" w:val="left" w:leader="none"/>
          <w:tab w:pos="5163" w:val="left" w:leader="none"/>
          <w:tab w:pos="5516" w:val="left" w:leader="none"/>
          <w:tab w:pos="5616" w:val="left" w:leader="none"/>
          <w:tab w:pos="6011" w:val="left" w:leader="none"/>
          <w:tab w:pos="6446" w:val="left" w:leader="none"/>
          <w:tab w:pos="6799" w:val="left" w:leader="none"/>
          <w:tab w:pos="7438" w:val="left" w:leader="none"/>
          <w:tab w:pos="7780" w:val="left" w:leader="none"/>
        </w:tabs>
        <w:spacing w:line="360" w:lineRule="auto" w:before="252"/>
        <w:ind w:left="102" w:right="106"/>
      </w:pPr>
      <w:r>
        <w:rPr/>
        <w:t>лечения ремиссии, так и о рецидиве заболевания в ситуациях, где не удается</w:t>
        <w:tab/>
        <w:t>обнаружить</w:t>
        <w:tab/>
        <w:tab/>
        <w:t>опухолевые</w:t>
        <w:tab/>
        <w:t>очаги</w:t>
        <w:tab/>
        <w:tab/>
        <w:t>с</w:t>
        <w:tab/>
        <w:t>помощью</w:t>
        <w:tab/>
      </w:r>
      <w:r>
        <w:rPr>
          <w:spacing w:val="-1"/>
        </w:rPr>
        <w:t>современных </w:t>
      </w:r>
      <w:r>
        <w:rPr/>
        <w:t>неинвазивных</w:t>
        <w:tab/>
        <w:t>методов</w:t>
        <w:tab/>
        <w:t>исследования,</w:t>
        <w:tab/>
        <w:t>а</w:t>
        <w:tab/>
        <w:t>также</w:t>
        <w:tab/>
        <w:t>с</w:t>
        <w:tab/>
        <w:t>целью</w:t>
        <w:tab/>
        <w:t>уточнения распространенности</w:t>
        <w:tab/>
        <w:t>процесса  при  принятии  решения  </w:t>
      </w:r>
      <w:r>
        <w:rPr>
          <w:spacing w:val="26"/>
        </w:rPr>
        <w:t> </w:t>
      </w:r>
      <w:r>
        <w:rPr/>
        <w:t>о </w:t>
      </w:r>
      <w:r>
        <w:rPr>
          <w:spacing w:val="27"/>
        </w:rPr>
        <w:t> </w:t>
      </w:r>
      <w:r>
        <w:rPr/>
        <w:t>выполнении</w:t>
      </w:r>
      <w:r>
        <w:rPr>
          <w:w w:val="100"/>
        </w:rPr>
        <w:t> </w:t>
      </w:r>
      <w:r>
        <w:rPr/>
        <w:t>повторной циторедуктивной</w:t>
      </w:r>
      <w:r>
        <w:rPr>
          <w:spacing w:val="-19"/>
        </w:rPr>
        <w:t> </w:t>
      </w:r>
      <w:r>
        <w:rPr/>
        <w:t>операции.</w:t>
      </w:r>
    </w:p>
    <w:p>
      <w:pPr>
        <w:pStyle w:val="BodyText"/>
        <w:rPr>
          <w:sz w:val="30"/>
        </w:rPr>
      </w:pPr>
    </w:p>
    <w:p>
      <w:pPr>
        <w:pStyle w:val="BodyText"/>
        <w:rPr>
          <w:sz w:val="30"/>
        </w:rPr>
      </w:pPr>
    </w:p>
    <w:p>
      <w:pPr>
        <w:pStyle w:val="BodyText"/>
        <w:rPr>
          <w:sz w:val="25"/>
        </w:rPr>
      </w:pPr>
    </w:p>
    <w:p>
      <w:pPr>
        <w:pStyle w:val="Heading1"/>
        <w:numPr>
          <w:ilvl w:val="2"/>
          <w:numId w:val="30"/>
        </w:numPr>
        <w:tabs>
          <w:tab w:pos="1585" w:val="left" w:leader="none"/>
        </w:tabs>
        <w:spacing w:line="360" w:lineRule="auto" w:before="0" w:after="0"/>
        <w:ind w:left="2927" w:right="167" w:hanging="2043"/>
        <w:jc w:val="left"/>
      </w:pPr>
      <w:r>
        <w:rPr/>
        <w:t>Диагностическая лапароскопия как первый этап лечения больных раком</w:t>
      </w:r>
      <w:r>
        <w:rPr>
          <w:spacing w:val="-7"/>
        </w:rPr>
        <w:t> </w:t>
      </w:r>
      <w:r>
        <w:rPr/>
        <w:t>яичников</w:t>
      </w:r>
    </w:p>
    <w:p>
      <w:pPr>
        <w:pStyle w:val="BodyText"/>
        <w:spacing w:before="2"/>
        <w:rPr>
          <w:b/>
          <w:sz w:val="42"/>
        </w:rPr>
      </w:pPr>
    </w:p>
    <w:p>
      <w:pPr>
        <w:pStyle w:val="BodyText"/>
        <w:spacing w:line="360" w:lineRule="auto"/>
        <w:ind w:left="102" w:right="106" w:firstLine="859"/>
        <w:jc w:val="both"/>
      </w:pPr>
      <w:r>
        <w:rPr/>
        <w:t>В этом разделе мы не стремились сформировать большую группу пациентов, поскольку необходимость морфологической верификации перед началом химиотерапевтического лечения ни у кого не вызывает сомнений. Малоинвазивная хирургия, пришедшая на смену применявшимся ранее диагностическим лапаротомиям, позволяет помимо уточнения диагноза оценить степень распространения опухоли, её резектабельность и в результате составить индивидуальный план лечения для каждой</w:t>
      </w:r>
      <w:r>
        <w:rPr>
          <w:spacing w:val="-4"/>
        </w:rPr>
        <w:t> </w:t>
      </w:r>
      <w:r>
        <w:rPr/>
        <w:t>пациентки.</w:t>
      </w:r>
    </w:p>
    <w:p>
      <w:pPr>
        <w:pStyle w:val="BodyText"/>
        <w:spacing w:line="360" w:lineRule="auto" w:before="7"/>
        <w:ind w:left="102" w:right="101" w:firstLine="719"/>
        <w:jc w:val="both"/>
      </w:pPr>
      <w:r>
        <w:rPr/>
        <w:t>В период с 2013 по 2015 годы в отделении гинекологии КНПЦСВМП(о) диагностические лапароскопии были выполнены 32 больным, поступившим в клинику с диагнозом: рак яичников, асцит?</w:t>
      </w:r>
    </w:p>
    <w:p>
      <w:pPr>
        <w:pStyle w:val="BodyText"/>
        <w:spacing w:line="360" w:lineRule="auto" w:before="5"/>
        <w:ind w:left="102" w:right="100" w:firstLine="719"/>
        <w:jc w:val="both"/>
      </w:pPr>
      <w:r>
        <w:rPr/>
        <w:t>Обращают на себя внимания неоправданно длительные сроки обследования больных, обратившихся в районные поликлиники с жалобами на увеличение живота, боли, одышку. Сроки госпитализации в специализированный стационар составили от 2 до 6 месяцев. В исследование   вошли представители всех возрастных групп (Табл. 5.18).</w:t>
      </w:r>
    </w:p>
    <w:p>
      <w:pPr>
        <w:spacing w:after="0" w:line="360" w:lineRule="auto"/>
        <w:jc w:val="both"/>
        <w:sectPr>
          <w:pgSz w:w="11900" w:h="16850"/>
          <w:pgMar w:header="712" w:footer="0" w:top="1020" w:bottom="280" w:left="1600" w:right="1160"/>
        </w:sectPr>
      </w:pPr>
    </w:p>
    <w:p>
      <w:pPr>
        <w:pStyle w:val="BodyText"/>
        <w:rPr>
          <w:sz w:val="20"/>
        </w:rPr>
      </w:pPr>
    </w:p>
    <w:p>
      <w:pPr>
        <w:pStyle w:val="BodyText"/>
        <w:rPr>
          <w:sz w:val="20"/>
        </w:rPr>
      </w:pPr>
    </w:p>
    <w:p>
      <w:pPr>
        <w:pStyle w:val="BodyText"/>
        <w:spacing w:before="224"/>
        <w:ind w:right="121"/>
        <w:jc w:val="right"/>
      </w:pPr>
      <w:r>
        <w:rPr/>
        <w:t>Таблица 5.18</w:t>
      </w:r>
    </w:p>
    <w:p>
      <w:pPr>
        <w:pStyle w:val="BodyText"/>
        <w:spacing w:before="6"/>
        <w:rPr>
          <w:sz w:val="23"/>
        </w:rPr>
      </w:pPr>
    </w:p>
    <w:p>
      <w:pPr>
        <w:pStyle w:val="BodyText"/>
        <w:spacing w:before="89"/>
        <w:ind w:left="2471"/>
      </w:pPr>
      <w:r>
        <w:rPr/>
        <w:t>Распределение больных по возрасту</w:t>
      </w:r>
    </w:p>
    <w:p>
      <w:pPr>
        <w:pStyle w:val="BodyText"/>
        <w:spacing w:before="2"/>
        <w:rPr>
          <w:sz w:val="25"/>
        </w:rPr>
      </w:pPr>
    </w:p>
    <w:tbl>
      <w:tblPr>
        <w:tblW w:w="0" w:type="auto"/>
        <w:jc w:val="left"/>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9"/>
        <w:gridCol w:w="4323"/>
      </w:tblGrid>
      <w:tr>
        <w:trPr>
          <w:trHeight w:val="1430" w:hRule="exact"/>
        </w:trPr>
        <w:tc>
          <w:tcPr>
            <w:tcW w:w="4609" w:type="dxa"/>
          </w:tcPr>
          <w:p>
            <w:pPr>
              <w:pStyle w:val="TableParagraph"/>
              <w:spacing w:before="6"/>
              <w:rPr>
                <w:sz w:val="31"/>
              </w:rPr>
            </w:pPr>
          </w:p>
          <w:p>
            <w:pPr>
              <w:pStyle w:val="TableParagraph"/>
              <w:ind w:left="1097" w:right="1097"/>
              <w:jc w:val="center"/>
              <w:rPr>
                <w:sz w:val="28"/>
              </w:rPr>
            </w:pPr>
            <w:r>
              <w:rPr>
                <w:sz w:val="28"/>
              </w:rPr>
              <w:t>Возрастные группы</w:t>
            </w:r>
          </w:p>
        </w:tc>
        <w:tc>
          <w:tcPr>
            <w:tcW w:w="4323" w:type="dxa"/>
          </w:tcPr>
          <w:p>
            <w:pPr>
              <w:pStyle w:val="TableParagraph"/>
              <w:spacing w:line="508" w:lineRule="auto" w:before="19"/>
              <w:ind w:left="1838" w:right="891" w:hanging="934"/>
              <w:rPr>
                <w:sz w:val="28"/>
              </w:rPr>
            </w:pPr>
            <w:r>
              <w:rPr>
                <w:sz w:val="28"/>
              </w:rPr>
              <w:t>Количество больных n (%)</w:t>
            </w:r>
          </w:p>
        </w:tc>
      </w:tr>
      <w:tr>
        <w:trPr>
          <w:trHeight w:val="694" w:hRule="exact"/>
        </w:trPr>
        <w:tc>
          <w:tcPr>
            <w:tcW w:w="4609" w:type="dxa"/>
          </w:tcPr>
          <w:p>
            <w:pPr>
              <w:pStyle w:val="TableParagraph"/>
              <w:spacing w:line="315" w:lineRule="exact"/>
              <w:ind w:left="1097" w:right="1097"/>
              <w:jc w:val="center"/>
              <w:rPr>
                <w:sz w:val="28"/>
              </w:rPr>
            </w:pPr>
            <w:r>
              <w:rPr>
                <w:sz w:val="28"/>
              </w:rPr>
              <w:t>До 30 лет</w:t>
            </w:r>
          </w:p>
        </w:tc>
        <w:tc>
          <w:tcPr>
            <w:tcW w:w="4323" w:type="dxa"/>
          </w:tcPr>
          <w:p>
            <w:pPr>
              <w:pStyle w:val="TableParagraph"/>
              <w:spacing w:line="315" w:lineRule="exact"/>
              <w:ind w:left="1539" w:right="1543"/>
              <w:jc w:val="center"/>
              <w:rPr>
                <w:sz w:val="28"/>
              </w:rPr>
            </w:pPr>
            <w:r>
              <w:rPr>
                <w:sz w:val="28"/>
              </w:rPr>
              <w:t>2 (6,3%)</w:t>
            </w:r>
          </w:p>
        </w:tc>
      </w:tr>
      <w:tr>
        <w:trPr>
          <w:trHeight w:val="694" w:hRule="exact"/>
        </w:trPr>
        <w:tc>
          <w:tcPr>
            <w:tcW w:w="4609" w:type="dxa"/>
          </w:tcPr>
          <w:p>
            <w:pPr>
              <w:pStyle w:val="TableParagraph"/>
              <w:spacing w:line="315" w:lineRule="exact"/>
              <w:ind w:left="1097" w:right="1096"/>
              <w:jc w:val="center"/>
              <w:rPr>
                <w:sz w:val="28"/>
              </w:rPr>
            </w:pPr>
            <w:r>
              <w:rPr>
                <w:sz w:val="28"/>
              </w:rPr>
              <w:t>30-39 лет</w:t>
            </w:r>
          </w:p>
        </w:tc>
        <w:tc>
          <w:tcPr>
            <w:tcW w:w="4323" w:type="dxa"/>
          </w:tcPr>
          <w:p>
            <w:pPr>
              <w:pStyle w:val="TableParagraph"/>
              <w:spacing w:line="315" w:lineRule="exact"/>
              <w:ind w:left="1539" w:right="1540"/>
              <w:jc w:val="center"/>
              <w:rPr>
                <w:sz w:val="28"/>
              </w:rPr>
            </w:pPr>
            <w:r>
              <w:rPr>
                <w:sz w:val="28"/>
              </w:rPr>
              <w:t>5 (15,6%)</w:t>
            </w:r>
          </w:p>
        </w:tc>
      </w:tr>
      <w:tr>
        <w:trPr>
          <w:trHeight w:val="691" w:hRule="exact"/>
        </w:trPr>
        <w:tc>
          <w:tcPr>
            <w:tcW w:w="4609" w:type="dxa"/>
          </w:tcPr>
          <w:p>
            <w:pPr>
              <w:pStyle w:val="TableParagraph"/>
              <w:spacing w:line="315" w:lineRule="exact"/>
              <w:ind w:left="1097" w:right="1096"/>
              <w:jc w:val="center"/>
              <w:rPr>
                <w:sz w:val="28"/>
              </w:rPr>
            </w:pPr>
            <w:r>
              <w:rPr>
                <w:sz w:val="28"/>
              </w:rPr>
              <w:t>40-49 лет</w:t>
            </w:r>
          </w:p>
        </w:tc>
        <w:tc>
          <w:tcPr>
            <w:tcW w:w="4323" w:type="dxa"/>
          </w:tcPr>
          <w:p>
            <w:pPr>
              <w:pStyle w:val="TableParagraph"/>
              <w:spacing w:line="315" w:lineRule="exact"/>
              <w:ind w:left="1539" w:right="1541"/>
              <w:jc w:val="center"/>
              <w:rPr>
                <w:sz w:val="28"/>
              </w:rPr>
            </w:pPr>
            <w:r>
              <w:rPr>
                <w:sz w:val="28"/>
              </w:rPr>
              <w:t>9(28,1%)</w:t>
            </w:r>
          </w:p>
        </w:tc>
      </w:tr>
      <w:tr>
        <w:trPr>
          <w:trHeight w:val="694" w:hRule="exact"/>
        </w:trPr>
        <w:tc>
          <w:tcPr>
            <w:tcW w:w="4609" w:type="dxa"/>
          </w:tcPr>
          <w:p>
            <w:pPr>
              <w:pStyle w:val="TableParagraph"/>
              <w:spacing w:line="317" w:lineRule="exact"/>
              <w:ind w:left="1097" w:right="1096"/>
              <w:jc w:val="center"/>
              <w:rPr>
                <w:sz w:val="28"/>
              </w:rPr>
            </w:pPr>
            <w:r>
              <w:rPr>
                <w:sz w:val="28"/>
              </w:rPr>
              <w:t>50-59 лет</w:t>
            </w:r>
          </w:p>
        </w:tc>
        <w:tc>
          <w:tcPr>
            <w:tcW w:w="4323" w:type="dxa"/>
          </w:tcPr>
          <w:p>
            <w:pPr>
              <w:pStyle w:val="TableParagraph"/>
              <w:spacing w:line="317" w:lineRule="exact"/>
              <w:ind w:left="1539" w:right="1540"/>
              <w:jc w:val="center"/>
              <w:rPr>
                <w:sz w:val="28"/>
              </w:rPr>
            </w:pPr>
            <w:r>
              <w:rPr>
                <w:sz w:val="28"/>
              </w:rPr>
              <w:t>8 (25,0%)</w:t>
            </w:r>
          </w:p>
        </w:tc>
      </w:tr>
      <w:tr>
        <w:trPr>
          <w:trHeight w:val="694" w:hRule="exact"/>
        </w:trPr>
        <w:tc>
          <w:tcPr>
            <w:tcW w:w="4609" w:type="dxa"/>
          </w:tcPr>
          <w:p>
            <w:pPr>
              <w:pStyle w:val="TableParagraph"/>
              <w:spacing w:line="315" w:lineRule="exact"/>
              <w:ind w:left="1097" w:right="1096"/>
              <w:jc w:val="center"/>
              <w:rPr>
                <w:sz w:val="28"/>
              </w:rPr>
            </w:pPr>
            <w:r>
              <w:rPr>
                <w:sz w:val="28"/>
              </w:rPr>
              <w:t>60-69 лет</w:t>
            </w:r>
          </w:p>
        </w:tc>
        <w:tc>
          <w:tcPr>
            <w:tcW w:w="4323" w:type="dxa"/>
          </w:tcPr>
          <w:p>
            <w:pPr>
              <w:pStyle w:val="TableParagraph"/>
              <w:spacing w:line="315" w:lineRule="exact"/>
              <w:ind w:left="1539" w:right="1541"/>
              <w:jc w:val="center"/>
              <w:rPr>
                <w:sz w:val="28"/>
              </w:rPr>
            </w:pPr>
            <w:r>
              <w:rPr>
                <w:sz w:val="28"/>
              </w:rPr>
              <w:t>7(21,9%)</w:t>
            </w:r>
          </w:p>
        </w:tc>
      </w:tr>
      <w:tr>
        <w:trPr>
          <w:trHeight w:val="694" w:hRule="exact"/>
        </w:trPr>
        <w:tc>
          <w:tcPr>
            <w:tcW w:w="4609" w:type="dxa"/>
          </w:tcPr>
          <w:p>
            <w:pPr>
              <w:pStyle w:val="TableParagraph"/>
              <w:spacing w:line="315" w:lineRule="exact"/>
              <w:ind w:left="1097" w:right="1098"/>
              <w:jc w:val="center"/>
              <w:rPr>
                <w:sz w:val="28"/>
              </w:rPr>
            </w:pPr>
            <w:r>
              <w:rPr>
                <w:sz w:val="28"/>
              </w:rPr>
              <w:t>Старше 70 лет</w:t>
            </w:r>
          </w:p>
        </w:tc>
        <w:tc>
          <w:tcPr>
            <w:tcW w:w="4323" w:type="dxa"/>
          </w:tcPr>
          <w:p>
            <w:pPr>
              <w:pStyle w:val="TableParagraph"/>
              <w:spacing w:line="315" w:lineRule="exact"/>
              <w:ind w:left="1539" w:right="1541"/>
              <w:jc w:val="center"/>
              <w:rPr>
                <w:sz w:val="28"/>
              </w:rPr>
            </w:pPr>
            <w:r>
              <w:rPr>
                <w:sz w:val="28"/>
              </w:rPr>
              <w:t>1(3,1%)</w:t>
            </w:r>
          </w:p>
        </w:tc>
      </w:tr>
      <w:tr>
        <w:trPr>
          <w:trHeight w:val="691" w:hRule="exact"/>
        </w:trPr>
        <w:tc>
          <w:tcPr>
            <w:tcW w:w="4609" w:type="dxa"/>
          </w:tcPr>
          <w:p>
            <w:pPr>
              <w:pStyle w:val="TableParagraph"/>
              <w:spacing w:line="315" w:lineRule="exact"/>
              <w:ind w:left="1096" w:right="1098"/>
              <w:jc w:val="center"/>
              <w:rPr>
                <w:sz w:val="28"/>
              </w:rPr>
            </w:pPr>
            <w:r>
              <w:rPr>
                <w:sz w:val="28"/>
              </w:rPr>
              <w:t>Всего</w:t>
            </w:r>
          </w:p>
        </w:tc>
        <w:tc>
          <w:tcPr>
            <w:tcW w:w="4323" w:type="dxa"/>
          </w:tcPr>
          <w:p>
            <w:pPr>
              <w:pStyle w:val="TableParagraph"/>
              <w:spacing w:line="315" w:lineRule="exact"/>
              <w:ind w:left="1539" w:right="1543"/>
              <w:jc w:val="center"/>
              <w:rPr>
                <w:sz w:val="28"/>
              </w:rPr>
            </w:pPr>
            <w:r>
              <w:rPr>
                <w:sz w:val="28"/>
              </w:rPr>
              <w:t>32 (100%)</w:t>
            </w:r>
          </w:p>
        </w:tc>
      </w:tr>
    </w:tbl>
    <w:p>
      <w:pPr>
        <w:pStyle w:val="BodyText"/>
        <w:rPr>
          <w:sz w:val="30"/>
        </w:rPr>
      </w:pPr>
    </w:p>
    <w:p>
      <w:pPr>
        <w:pStyle w:val="BodyText"/>
        <w:spacing w:before="10"/>
      </w:pPr>
    </w:p>
    <w:p>
      <w:pPr>
        <w:pStyle w:val="BodyText"/>
        <w:ind w:left="102"/>
        <w:jc w:val="both"/>
      </w:pPr>
      <w:r>
        <w:rPr/>
        <w:t>Средний возраст пациенток составил 54,7</w:t>
      </w:r>
      <w:r>
        <w:rPr>
          <w:spacing w:val="54"/>
        </w:rPr>
        <w:t> </w:t>
      </w:r>
      <w:r>
        <w:rPr/>
        <w:t>лет.</w:t>
      </w:r>
    </w:p>
    <w:p>
      <w:pPr>
        <w:pStyle w:val="BodyText"/>
        <w:spacing w:before="5"/>
        <w:rPr>
          <w:sz w:val="31"/>
        </w:rPr>
      </w:pPr>
    </w:p>
    <w:p>
      <w:pPr>
        <w:pStyle w:val="BodyText"/>
        <w:spacing w:line="360" w:lineRule="auto"/>
        <w:ind w:left="102" w:right="119"/>
        <w:jc w:val="both"/>
      </w:pPr>
      <w:r>
        <w:rPr/>
        <w:t>Больные предъявляли описанные выше характерные жалобы: слабость, быстрая утомляемость, одышка, боли и увеличение живота в размерах, снижение темпа диуреза, запоры. Практически у всех пациентов в анализах крови отмечалась анемия различной степени, умеренно выраженный лейкоцитоз, гипопротеинемия. У двух пациенток обращало на себя внимание повышение трансаминаз и билирубина при отсутствии каких- либо указаний на заболевания печени в анамнезе. Уровень маркера СА-125 колебался в пределах 164 - 1470 ЕД/мл.</w:t>
      </w:r>
    </w:p>
    <w:p>
      <w:pPr>
        <w:spacing w:after="0" w:line="360" w:lineRule="auto"/>
        <w:jc w:val="both"/>
        <w:sectPr>
          <w:pgSz w:w="11900" w:h="16850"/>
          <w:pgMar w:header="712" w:footer="0" w:top="1020" w:bottom="280" w:left="1600" w:right="1000"/>
        </w:sectPr>
      </w:pPr>
    </w:p>
    <w:p>
      <w:pPr>
        <w:pStyle w:val="BodyText"/>
        <w:rPr>
          <w:sz w:val="20"/>
        </w:rPr>
      </w:pPr>
    </w:p>
    <w:p>
      <w:pPr>
        <w:pStyle w:val="BodyText"/>
        <w:spacing w:before="7"/>
        <w:rPr>
          <w:sz w:val="24"/>
        </w:rPr>
      </w:pPr>
    </w:p>
    <w:p>
      <w:pPr>
        <w:pStyle w:val="BodyText"/>
        <w:tabs>
          <w:tab w:pos="1568" w:val="left" w:leader="none"/>
          <w:tab w:pos="1963" w:val="left" w:leader="none"/>
          <w:tab w:pos="2512" w:val="left" w:leader="none"/>
          <w:tab w:pos="2862" w:val="left" w:leader="none"/>
          <w:tab w:pos="2926" w:val="left" w:leader="none"/>
          <w:tab w:pos="3359" w:val="left" w:leader="none"/>
          <w:tab w:pos="3562" w:val="left" w:leader="none"/>
          <w:tab w:pos="3815" w:val="left" w:leader="none"/>
          <w:tab w:pos="5189" w:val="left" w:leader="none"/>
          <w:tab w:pos="5319" w:val="left" w:leader="none"/>
          <w:tab w:pos="5544" w:val="left" w:leader="none"/>
          <w:tab w:pos="5762" w:val="left" w:leader="none"/>
          <w:tab w:pos="6283" w:val="left" w:leader="none"/>
          <w:tab w:pos="6387" w:val="left" w:leader="none"/>
          <w:tab w:pos="6779" w:val="left" w:leader="none"/>
          <w:tab w:pos="7297" w:val="left" w:leader="none"/>
          <w:tab w:pos="8023" w:val="left" w:leader="none"/>
          <w:tab w:pos="8246" w:val="left" w:leader="none"/>
        </w:tabs>
        <w:spacing w:line="360" w:lineRule="auto" w:before="89"/>
        <w:ind w:left="122" w:right="403" w:firstLine="566"/>
        <w:jc w:val="right"/>
      </w:pPr>
      <w:r>
        <w:rPr/>
        <w:t>При </w:t>
      </w:r>
      <w:r>
        <w:rPr>
          <w:spacing w:val="4"/>
        </w:rPr>
        <w:t> </w:t>
      </w:r>
      <w:r>
        <w:rPr/>
        <w:t>ультразвуковом </w:t>
      </w:r>
      <w:r>
        <w:rPr>
          <w:spacing w:val="3"/>
        </w:rPr>
        <w:t> </w:t>
      </w:r>
      <w:r>
        <w:rPr/>
        <w:t>исследовании</w:t>
        <w:tab/>
        <w:tab/>
        <w:t>и  МРТ  органов  малого </w:t>
      </w:r>
      <w:r>
        <w:rPr>
          <w:spacing w:val="26"/>
        </w:rPr>
        <w:t> </w:t>
      </w:r>
      <w:r>
        <w:rPr/>
        <w:t>таза </w:t>
      </w:r>
      <w:r>
        <w:rPr>
          <w:spacing w:val="3"/>
        </w:rPr>
        <w:t> </w:t>
      </w:r>
      <w:r>
        <w:rPr/>
        <w:t>и</w:t>
      </w:r>
      <w:r>
        <w:rPr>
          <w:w w:val="100"/>
        </w:rPr>
        <w:t> </w:t>
      </w:r>
      <w:r>
        <w:rPr/>
        <w:t>брюшной полости у всех 32 больных был выявлен</w:t>
      </w:r>
      <w:r>
        <w:rPr>
          <w:spacing w:val="5"/>
        </w:rPr>
        <w:t> </w:t>
      </w:r>
      <w:r>
        <w:rPr/>
        <w:t>асцит</w:t>
      </w:r>
      <w:r>
        <w:rPr>
          <w:spacing w:val="34"/>
        </w:rPr>
        <w:t> </w:t>
      </w:r>
      <w:r>
        <w:rPr/>
        <w:t>различной</w:t>
      </w:r>
      <w:r>
        <w:rPr>
          <w:w w:val="100"/>
        </w:rPr>
        <w:t> </w:t>
      </w:r>
      <w:r>
        <w:rPr/>
        <w:t>степени </w:t>
      </w:r>
      <w:r>
        <w:rPr>
          <w:spacing w:val="19"/>
        </w:rPr>
        <w:t> </w:t>
      </w:r>
      <w:r>
        <w:rPr/>
        <w:t>выраженности.</w:t>
        <w:tab/>
        <w:t>Опухоль  придатков  матки  определялась  </w:t>
      </w:r>
      <w:r>
        <w:rPr>
          <w:spacing w:val="9"/>
        </w:rPr>
        <w:t> </w:t>
      </w:r>
      <w:r>
        <w:rPr/>
        <w:t>у </w:t>
      </w:r>
      <w:r>
        <w:rPr>
          <w:spacing w:val="16"/>
        </w:rPr>
        <w:t> </w:t>
      </w:r>
      <w:r>
        <w:rPr/>
        <w:t>23</w:t>
      </w:r>
      <w:r>
        <w:rPr>
          <w:w w:val="100"/>
        </w:rPr>
        <w:t> </w:t>
      </w:r>
      <w:r>
        <w:rPr/>
        <w:t>больных</w:t>
      </w:r>
      <w:r>
        <w:rPr>
          <w:spacing w:val="56"/>
        </w:rPr>
        <w:t> </w:t>
      </w:r>
      <w:r>
        <w:rPr/>
        <w:t>(71,9%).</w:t>
        <w:tab/>
        <w:t>Еще  у  7  высказывалось  предположение</w:t>
      </w:r>
      <w:r>
        <w:rPr>
          <w:spacing w:val="-8"/>
        </w:rPr>
        <w:t> </w:t>
      </w:r>
      <w:r>
        <w:rPr/>
        <w:t>о</w:t>
      </w:r>
      <w:r>
        <w:rPr>
          <w:spacing w:val="55"/>
        </w:rPr>
        <w:t> </w:t>
      </w:r>
      <w:r>
        <w:rPr/>
        <w:t>поражении</w:t>
      </w:r>
      <w:r>
        <w:rPr>
          <w:w w:val="100"/>
        </w:rPr>
        <w:t> </w:t>
      </w:r>
      <w:r>
        <w:rPr/>
        <w:t>большого</w:t>
        <w:tab/>
        <w:t>сальника</w:t>
        <w:tab/>
        <w:tab/>
        <w:t>и</w:t>
        <w:tab/>
      </w:r>
      <w:r>
        <w:rPr>
          <w:spacing w:val="-1"/>
        </w:rPr>
        <w:t>канцероматозе.</w:t>
        <w:tab/>
        <w:tab/>
        <w:tab/>
      </w:r>
      <w:r>
        <w:rPr/>
        <w:t>Однако,</w:t>
        <w:tab/>
        <w:tab/>
      </w:r>
      <w:r>
        <w:rPr>
          <w:spacing w:val="-1"/>
        </w:rPr>
        <w:t>цитологическое </w:t>
      </w:r>
      <w:r>
        <w:rPr/>
        <w:t>исследование</w:t>
        <w:tab/>
        <w:t>асцитической</w:t>
        <w:tab/>
        <w:t>жидкости</w:t>
        <w:tab/>
        <w:t>у</w:t>
        <w:tab/>
        <w:t>всех</w:t>
        <w:tab/>
        <w:t>32</w:t>
        <w:tab/>
        <w:t>больных</w:t>
        <w:tab/>
      </w:r>
      <w:r>
        <w:rPr>
          <w:spacing w:val="-1"/>
        </w:rPr>
        <w:t>оказалось </w:t>
      </w:r>
      <w:r>
        <w:rPr/>
        <w:t>неинформативным.</w:t>
        <w:tab/>
        <w:tab/>
        <w:t>При</w:t>
        <w:tab/>
        <w:tab/>
        <w:t>рентгенографическом</w:t>
        <w:tab/>
        <w:tab/>
        <w:t>исследовании</w:t>
        <w:tab/>
      </w:r>
      <w:r>
        <w:rPr>
          <w:spacing w:val="-1"/>
        </w:rPr>
        <w:t>органов </w:t>
      </w:r>
      <w:r>
        <w:rPr/>
        <w:t>грудной полости у 4 больных диагностирован двухсторонний</w:t>
      </w:r>
      <w:r>
        <w:rPr>
          <w:spacing w:val="-31"/>
        </w:rPr>
        <w:t> </w:t>
      </w:r>
      <w:r>
        <w:rPr/>
        <w:t>гидроторакс.</w:t>
      </w:r>
    </w:p>
    <w:p>
      <w:pPr>
        <w:pStyle w:val="BodyText"/>
        <w:spacing w:line="360" w:lineRule="auto" w:before="125"/>
        <w:ind w:left="122" w:right="403" w:firstLine="566"/>
        <w:jc w:val="both"/>
      </w:pPr>
      <w:r>
        <w:rPr/>
        <w:t>В результате проведенного в полном объеме стандартного для рака яичников обследования у одной пациентки был выявлен рак молочной железы T</w:t>
      </w:r>
      <w:r>
        <w:rPr>
          <w:position w:val="-3"/>
          <w:sz w:val="18"/>
        </w:rPr>
        <w:t>2</w:t>
      </w:r>
      <w:r>
        <w:rPr/>
        <w:t>N</w:t>
      </w:r>
      <w:r>
        <w:rPr>
          <w:position w:val="-3"/>
          <w:sz w:val="18"/>
        </w:rPr>
        <w:t>1</w:t>
      </w:r>
      <w:r>
        <w:rPr/>
        <w:t>M</w:t>
      </w:r>
      <w:r>
        <w:rPr>
          <w:position w:val="-3"/>
          <w:sz w:val="18"/>
        </w:rPr>
        <w:t>X</w:t>
      </w:r>
      <w:r>
        <w:rPr/>
        <w:t>.</w:t>
      </w:r>
    </w:p>
    <w:p>
      <w:pPr>
        <w:pStyle w:val="BodyText"/>
        <w:spacing w:line="360" w:lineRule="auto" w:before="97"/>
        <w:ind w:left="122" w:right="409" w:firstLine="566"/>
        <w:jc w:val="both"/>
      </w:pPr>
      <w:r>
        <w:rPr/>
        <w:t>Всем 32 больным были установлены показания для выполнения диагностической лапароскопии (Табл. 5.19).</w:t>
      </w:r>
    </w:p>
    <w:p>
      <w:pPr>
        <w:pStyle w:val="BodyText"/>
        <w:rPr>
          <w:sz w:val="20"/>
        </w:rPr>
      </w:pPr>
    </w:p>
    <w:p>
      <w:pPr>
        <w:pStyle w:val="BodyText"/>
        <w:rPr>
          <w:sz w:val="20"/>
        </w:rPr>
      </w:pPr>
    </w:p>
    <w:p>
      <w:pPr>
        <w:pStyle w:val="BodyText"/>
        <w:spacing w:before="8"/>
        <w:rPr>
          <w:sz w:val="15"/>
        </w:rPr>
      </w:pPr>
    </w:p>
    <w:p>
      <w:pPr>
        <w:pStyle w:val="BodyText"/>
        <w:spacing w:before="89"/>
        <w:ind w:right="403"/>
        <w:jc w:val="right"/>
      </w:pPr>
      <w:r>
        <w:rPr/>
        <w:t>Таблица 5.19</w:t>
      </w:r>
    </w:p>
    <w:p>
      <w:pPr>
        <w:pStyle w:val="BodyText"/>
        <w:spacing w:before="4"/>
        <w:rPr>
          <w:sz w:val="24"/>
        </w:rPr>
      </w:pPr>
    </w:p>
    <w:p>
      <w:pPr>
        <w:pStyle w:val="BodyText"/>
        <w:ind w:left="2342"/>
      </w:pPr>
      <w:r>
        <w:rPr/>
        <w:t>Результаты диагностической лапароскопии</w:t>
      </w:r>
    </w:p>
    <w:p>
      <w:pPr>
        <w:pStyle w:val="BodyText"/>
        <w:rPr>
          <w:sz w:val="20"/>
        </w:rPr>
      </w:pPr>
    </w:p>
    <w:p>
      <w:pPr>
        <w:pStyle w:val="BodyText"/>
        <w:rPr>
          <w:sz w:val="20"/>
        </w:rPr>
      </w:pPr>
    </w:p>
    <w:p>
      <w:pPr>
        <w:pStyle w:val="BodyText"/>
        <w:rPr>
          <w:sz w:val="20"/>
        </w:rPr>
      </w:pPr>
    </w:p>
    <w:p>
      <w:pPr>
        <w:pStyle w:val="BodyText"/>
        <w:spacing w:before="4"/>
        <w:rPr>
          <w:sz w:val="17"/>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27"/>
        <w:gridCol w:w="1966"/>
        <w:gridCol w:w="1963"/>
      </w:tblGrid>
      <w:tr>
        <w:trPr>
          <w:trHeight w:val="698" w:hRule="exact"/>
        </w:trPr>
        <w:tc>
          <w:tcPr>
            <w:tcW w:w="5427" w:type="dxa"/>
            <w:vMerge w:val="restart"/>
          </w:tcPr>
          <w:p>
            <w:pPr>
              <w:pStyle w:val="TableParagraph"/>
              <w:spacing w:before="9"/>
              <w:rPr>
                <w:sz w:val="29"/>
              </w:rPr>
            </w:pPr>
          </w:p>
          <w:p>
            <w:pPr>
              <w:pStyle w:val="TableParagraph"/>
              <w:spacing w:before="1"/>
              <w:ind w:left="1372"/>
              <w:rPr>
                <w:sz w:val="28"/>
              </w:rPr>
            </w:pPr>
            <w:r>
              <w:rPr>
                <w:sz w:val="28"/>
              </w:rPr>
              <w:t>Данные лапароскопии</w:t>
            </w:r>
          </w:p>
        </w:tc>
        <w:tc>
          <w:tcPr>
            <w:tcW w:w="3929" w:type="dxa"/>
            <w:gridSpan w:val="2"/>
          </w:tcPr>
          <w:p>
            <w:pPr>
              <w:pStyle w:val="TableParagraph"/>
              <w:spacing w:line="317" w:lineRule="exact"/>
              <w:ind w:left="1039"/>
              <w:rPr>
                <w:sz w:val="28"/>
              </w:rPr>
            </w:pPr>
            <w:r>
              <w:rPr>
                <w:sz w:val="28"/>
              </w:rPr>
              <w:t>Число больных</w:t>
            </w:r>
          </w:p>
        </w:tc>
      </w:tr>
      <w:tr>
        <w:trPr>
          <w:trHeight w:val="699" w:hRule="exact"/>
        </w:trPr>
        <w:tc>
          <w:tcPr>
            <w:tcW w:w="5427" w:type="dxa"/>
            <w:vMerge/>
          </w:tcPr>
          <w:p>
            <w:pPr/>
          </w:p>
        </w:tc>
        <w:tc>
          <w:tcPr>
            <w:tcW w:w="1966" w:type="dxa"/>
          </w:tcPr>
          <w:p>
            <w:pPr>
              <w:pStyle w:val="TableParagraph"/>
              <w:spacing w:line="316" w:lineRule="exact"/>
              <w:ind w:left="65"/>
              <w:jc w:val="center"/>
              <w:rPr>
                <w:sz w:val="28"/>
              </w:rPr>
            </w:pPr>
            <w:r>
              <w:rPr>
                <w:w w:val="100"/>
                <w:sz w:val="28"/>
              </w:rPr>
              <w:t>n</w:t>
            </w:r>
          </w:p>
        </w:tc>
        <w:tc>
          <w:tcPr>
            <w:tcW w:w="1963" w:type="dxa"/>
          </w:tcPr>
          <w:p>
            <w:pPr>
              <w:pStyle w:val="TableParagraph"/>
              <w:spacing w:line="316" w:lineRule="exact"/>
              <w:ind w:right="1"/>
              <w:jc w:val="center"/>
              <w:rPr>
                <w:sz w:val="28"/>
              </w:rPr>
            </w:pPr>
            <w:r>
              <w:rPr>
                <w:w w:val="100"/>
                <w:sz w:val="28"/>
              </w:rPr>
              <w:t>%</w:t>
            </w:r>
          </w:p>
        </w:tc>
      </w:tr>
      <w:tr>
        <w:trPr>
          <w:trHeight w:val="698" w:hRule="exact"/>
        </w:trPr>
        <w:tc>
          <w:tcPr>
            <w:tcW w:w="5427" w:type="dxa"/>
          </w:tcPr>
          <w:p>
            <w:pPr>
              <w:pStyle w:val="TableParagraph"/>
              <w:spacing w:line="315" w:lineRule="exact"/>
              <w:ind w:left="100"/>
              <w:rPr>
                <w:sz w:val="28"/>
              </w:rPr>
            </w:pPr>
            <w:r>
              <w:rPr>
                <w:sz w:val="28"/>
              </w:rPr>
              <w:t>Рак яичников</w:t>
            </w:r>
          </w:p>
        </w:tc>
        <w:tc>
          <w:tcPr>
            <w:tcW w:w="1966" w:type="dxa"/>
          </w:tcPr>
          <w:p>
            <w:pPr>
              <w:pStyle w:val="TableParagraph"/>
              <w:spacing w:line="315" w:lineRule="exact"/>
              <w:ind w:left="814" w:right="816"/>
              <w:jc w:val="center"/>
              <w:rPr>
                <w:sz w:val="28"/>
              </w:rPr>
            </w:pPr>
            <w:r>
              <w:rPr>
                <w:sz w:val="28"/>
              </w:rPr>
              <w:t>28</w:t>
            </w:r>
          </w:p>
        </w:tc>
        <w:tc>
          <w:tcPr>
            <w:tcW w:w="1963" w:type="dxa"/>
          </w:tcPr>
          <w:p>
            <w:pPr>
              <w:pStyle w:val="TableParagraph"/>
              <w:spacing w:line="315" w:lineRule="exact"/>
              <w:ind w:right="729"/>
              <w:jc w:val="right"/>
              <w:rPr>
                <w:sz w:val="28"/>
              </w:rPr>
            </w:pPr>
            <w:r>
              <w:rPr>
                <w:sz w:val="28"/>
              </w:rPr>
              <w:t>87,5</w:t>
            </w:r>
          </w:p>
        </w:tc>
      </w:tr>
      <w:tr>
        <w:trPr>
          <w:trHeight w:val="698" w:hRule="exact"/>
        </w:trPr>
        <w:tc>
          <w:tcPr>
            <w:tcW w:w="5427" w:type="dxa"/>
          </w:tcPr>
          <w:p>
            <w:pPr>
              <w:pStyle w:val="TableParagraph"/>
              <w:spacing w:line="315" w:lineRule="exact"/>
              <w:ind w:left="170"/>
              <w:rPr>
                <w:sz w:val="28"/>
              </w:rPr>
            </w:pPr>
            <w:r>
              <w:rPr>
                <w:sz w:val="28"/>
              </w:rPr>
              <w:t>Метастазы рака молочной железы</w:t>
            </w:r>
          </w:p>
        </w:tc>
        <w:tc>
          <w:tcPr>
            <w:tcW w:w="1966" w:type="dxa"/>
          </w:tcPr>
          <w:p>
            <w:pPr>
              <w:pStyle w:val="TableParagraph"/>
              <w:spacing w:line="315" w:lineRule="exact"/>
              <w:ind w:right="1"/>
              <w:jc w:val="center"/>
              <w:rPr>
                <w:sz w:val="28"/>
              </w:rPr>
            </w:pPr>
            <w:r>
              <w:rPr>
                <w:w w:val="100"/>
                <w:sz w:val="28"/>
              </w:rPr>
              <w:t>1</w:t>
            </w:r>
          </w:p>
        </w:tc>
        <w:tc>
          <w:tcPr>
            <w:tcW w:w="1963" w:type="dxa"/>
          </w:tcPr>
          <w:p>
            <w:pPr>
              <w:pStyle w:val="TableParagraph"/>
              <w:spacing w:line="315" w:lineRule="exact"/>
              <w:ind w:right="798"/>
              <w:jc w:val="right"/>
              <w:rPr>
                <w:sz w:val="28"/>
              </w:rPr>
            </w:pPr>
            <w:r>
              <w:rPr>
                <w:sz w:val="28"/>
              </w:rPr>
              <w:t>3,1</w:t>
            </w:r>
          </w:p>
        </w:tc>
      </w:tr>
      <w:tr>
        <w:trPr>
          <w:trHeight w:val="696" w:hRule="exact"/>
        </w:trPr>
        <w:tc>
          <w:tcPr>
            <w:tcW w:w="5427" w:type="dxa"/>
          </w:tcPr>
          <w:p>
            <w:pPr>
              <w:pStyle w:val="TableParagraph"/>
              <w:spacing w:line="315" w:lineRule="exact"/>
              <w:ind w:left="100"/>
              <w:rPr>
                <w:sz w:val="28"/>
              </w:rPr>
            </w:pPr>
            <w:r>
              <w:rPr>
                <w:sz w:val="28"/>
              </w:rPr>
              <w:t>Текома яичника, синдром Мейгса</w:t>
            </w:r>
          </w:p>
        </w:tc>
        <w:tc>
          <w:tcPr>
            <w:tcW w:w="1966" w:type="dxa"/>
          </w:tcPr>
          <w:p>
            <w:pPr>
              <w:pStyle w:val="TableParagraph"/>
              <w:spacing w:line="315" w:lineRule="exact"/>
              <w:ind w:right="1"/>
              <w:jc w:val="center"/>
              <w:rPr>
                <w:sz w:val="28"/>
              </w:rPr>
            </w:pPr>
            <w:r>
              <w:rPr>
                <w:w w:val="100"/>
                <w:sz w:val="28"/>
              </w:rPr>
              <w:t>1</w:t>
            </w:r>
          </w:p>
        </w:tc>
        <w:tc>
          <w:tcPr>
            <w:tcW w:w="1963" w:type="dxa"/>
          </w:tcPr>
          <w:p>
            <w:pPr>
              <w:pStyle w:val="TableParagraph"/>
              <w:spacing w:line="315" w:lineRule="exact"/>
              <w:ind w:right="798"/>
              <w:jc w:val="right"/>
              <w:rPr>
                <w:sz w:val="28"/>
              </w:rPr>
            </w:pPr>
            <w:r>
              <w:rPr>
                <w:sz w:val="28"/>
              </w:rPr>
              <w:t>3,1</w:t>
            </w:r>
          </w:p>
        </w:tc>
      </w:tr>
      <w:tr>
        <w:trPr>
          <w:trHeight w:val="698" w:hRule="exact"/>
        </w:trPr>
        <w:tc>
          <w:tcPr>
            <w:tcW w:w="5427" w:type="dxa"/>
          </w:tcPr>
          <w:p>
            <w:pPr>
              <w:pStyle w:val="TableParagraph"/>
              <w:spacing w:line="317" w:lineRule="exact"/>
              <w:ind w:left="170"/>
              <w:rPr>
                <w:sz w:val="28"/>
              </w:rPr>
            </w:pPr>
            <w:r>
              <w:rPr>
                <w:sz w:val="28"/>
              </w:rPr>
              <w:t>Цирроз печени</w:t>
            </w:r>
          </w:p>
        </w:tc>
        <w:tc>
          <w:tcPr>
            <w:tcW w:w="1966" w:type="dxa"/>
          </w:tcPr>
          <w:p>
            <w:pPr>
              <w:pStyle w:val="TableParagraph"/>
              <w:spacing w:line="317" w:lineRule="exact"/>
              <w:ind w:right="1"/>
              <w:jc w:val="center"/>
              <w:rPr>
                <w:sz w:val="28"/>
              </w:rPr>
            </w:pPr>
            <w:r>
              <w:rPr>
                <w:w w:val="100"/>
                <w:sz w:val="28"/>
              </w:rPr>
              <w:t>2</w:t>
            </w:r>
          </w:p>
        </w:tc>
        <w:tc>
          <w:tcPr>
            <w:tcW w:w="1963" w:type="dxa"/>
          </w:tcPr>
          <w:p>
            <w:pPr>
              <w:pStyle w:val="TableParagraph"/>
              <w:spacing w:line="317" w:lineRule="exact"/>
              <w:ind w:right="798"/>
              <w:jc w:val="right"/>
              <w:rPr>
                <w:sz w:val="28"/>
              </w:rPr>
            </w:pPr>
            <w:r>
              <w:rPr>
                <w:sz w:val="28"/>
              </w:rPr>
              <w:t>6,3</w:t>
            </w:r>
          </w:p>
        </w:tc>
      </w:tr>
      <w:tr>
        <w:trPr>
          <w:trHeight w:val="699" w:hRule="exact"/>
        </w:trPr>
        <w:tc>
          <w:tcPr>
            <w:tcW w:w="5427" w:type="dxa"/>
          </w:tcPr>
          <w:p>
            <w:pPr>
              <w:pStyle w:val="TableParagraph"/>
              <w:spacing w:line="315" w:lineRule="exact"/>
              <w:ind w:left="100"/>
              <w:rPr>
                <w:sz w:val="28"/>
              </w:rPr>
            </w:pPr>
            <w:r>
              <w:rPr>
                <w:sz w:val="28"/>
              </w:rPr>
              <w:t>Всего</w:t>
            </w:r>
          </w:p>
        </w:tc>
        <w:tc>
          <w:tcPr>
            <w:tcW w:w="1966" w:type="dxa"/>
          </w:tcPr>
          <w:p>
            <w:pPr>
              <w:pStyle w:val="TableParagraph"/>
              <w:spacing w:line="315" w:lineRule="exact"/>
              <w:ind w:left="814" w:right="816"/>
              <w:jc w:val="center"/>
              <w:rPr>
                <w:sz w:val="28"/>
              </w:rPr>
            </w:pPr>
            <w:r>
              <w:rPr>
                <w:sz w:val="28"/>
              </w:rPr>
              <w:t>32</w:t>
            </w:r>
          </w:p>
        </w:tc>
        <w:tc>
          <w:tcPr>
            <w:tcW w:w="1963" w:type="dxa"/>
          </w:tcPr>
          <w:p>
            <w:pPr>
              <w:pStyle w:val="TableParagraph"/>
              <w:spacing w:line="315" w:lineRule="exact"/>
              <w:ind w:right="762"/>
              <w:jc w:val="right"/>
              <w:rPr>
                <w:sz w:val="28"/>
              </w:rPr>
            </w:pPr>
            <w:r>
              <w:rPr>
                <w:sz w:val="28"/>
              </w:rPr>
              <w:t>100</w:t>
            </w:r>
          </w:p>
        </w:tc>
      </w:tr>
    </w:tbl>
    <w:p>
      <w:pPr>
        <w:spacing w:after="0" w:line="315" w:lineRule="exact"/>
        <w:jc w:val="right"/>
        <w:rPr>
          <w:sz w:val="28"/>
        </w:rPr>
        <w:sectPr>
          <w:pgSz w:w="11900" w:h="16850"/>
          <w:pgMar w:header="712" w:footer="0" w:top="1020" w:bottom="280" w:left="1580" w:right="720"/>
        </w:sectPr>
      </w:pPr>
    </w:p>
    <w:p>
      <w:pPr>
        <w:pStyle w:val="BodyText"/>
        <w:rPr>
          <w:sz w:val="20"/>
        </w:rPr>
      </w:pPr>
    </w:p>
    <w:p>
      <w:pPr>
        <w:pStyle w:val="BodyText"/>
        <w:rPr>
          <w:sz w:val="20"/>
        </w:rPr>
      </w:pPr>
    </w:p>
    <w:p>
      <w:pPr>
        <w:pStyle w:val="BodyText"/>
        <w:spacing w:line="360" w:lineRule="auto" w:before="224"/>
        <w:ind w:left="481" w:right="400" w:firstLine="566"/>
        <w:jc w:val="both"/>
      </w:pPr>
      <w:r>
        <w:rPr/>
        <w:t>В подавляющем числе случаев в результате выполненной операции и срочного гистологического исследования удаленных придатков или биопсийного материала был установлен диагноз рака яичников. В то же время, более чем у 12% больных этот диагноз не подтвердился. Две из них направлены в специализированные клиники для лечения цирроза печени, больной раком молочной железы с установленным при гистологическом исследовании метастатическим поражением обоих яичников начато комплексное лечение в химиотерапевтическом отделении, а четвертая пациентка после конверсионной лапаротомии и пангистерэктомии была выписана на 8 сутки с выздоровлением. Мы не стали вновь рассчитывать чувствительность и специфичность применявшихся диагностических методик, поскольку при приблизительном рассмотрении они вновь оказались невысокими.</w:t>
      </w:r>
    </w:p>
    <w:p>
      <w:pPr>
        <w:pStyle w:val="BodyText"/>
        <w:spacing w:line="360" w:lineRule="auto" w:before="205"/>
        <w:ind w:left="481" w:right="403" w:firstLine="566"/>
        <w:jc w:val="both"/>
      </w:pPr>
      <w:r>
        <w:rPr/>
        <w:t>Разнообразные объемы выполненных операций суммированы в следующей таблице (Табл. 5.20).</w:t>
      </w:r>
    </w:p>
    <w:p>
      <w:pPr>
        <w:pStyle w:val="BodyText"/>
        <w:spacing w:line="508" w:lineRule="auto" w:before="207"/>
        <w:ind w:left="2241" w:right="388" w:firstLine="5389"/>
      </w:pPr>
      <w:r>
        <w:rPr/>
        <w:t>Таблица 5.20 Виды выполненных оперативных вмешательств</w:t>
      </w:r>
    </w:p>
    <w:p>
      <w:pPr>
        <w:pStyle w:val="BodyText"/>
        <w:rPr>
          <w:sz w:val="20"/>
        </w:rPr>
      </w:pPr>
    </w:p>
    <w:p>
      <w:pPr>
        <w:pStyle w:val="BodyText"/>
        <w:rPr>
          <w:sz w:val="20"/>
        </w:rPr>
      </w:pPr>
    </w:p>
    <w:p>
      <w:pPr>
        <w:pStyle w:val="BodyText"/>
        <w:spacing w:before="4"/>
        <w:rPr>
          <w:sz w:val="21"/>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20"/>
        <w:gridCol w:w="2268"/>
        <w:gridCol w:w="2269"/>
      </w:tblGrid>
      <w:tr>
        <w:trPr>
          <w:trHeight w:val="692" w:hRule="exact"/>
        </w:trPr>
        <w:tc>
          <w:tcPr>
            <w:tcW w:w="4820" w:type="dxa"/>
          </w:tcPr>
          <w:p>
            <w:pPr>
              <w:pStyle w:val="TableParagraph"/>
              <w:spacing w:line="316" w:lineRule="exact"/>
              <w:ind w:left="1800" w:right="1800"/>
              <w:jc w:val="center"/>
              <w:rPr>
                <w:sz w:val="28"/>
              </w:rPr>
            </w:pPr>
            <w:r>
              <w:rPr>
                <w:sz w:val="28"/>
              </w:rPr>
              <w:t>Операция</w:t>
            </w:r>
          </w:p>
        </w:tc>
        <w:tc>
          <w:tcPr>
            <w:tcW w:w="2268" w:type="dxa"/>
          </w:tcPr>
          <w:p>
            <w:pPr>
              <w:pStyle w:val="TableParagraph"/>
              <w:spacing w:line="316" w:lineRule="exact"/>
              <w:ind w:left="192" w:right="192"/>
              <w:jc w:val="center"/>
              <w:rPr>
                <w:sz w:val="28"/>
              </w:rPr>
            </w:pPr>
            <w:r>
              <w:rPr>
                <w:sz w:val="28"/>
              </w:rPr>
              <w:t>Число больных</w:t>
            </w:r>
          </w:p>
        </w:tc>
        <w:tc>
          <w:tcPr>
            <w:tcW w:w="2269" w:type="dxa"/>
          </w:tcPr>
          <w:p>
            <w:pPr>
              <w:pStyle w:val="TableParagraph"/>
              <w:spacing w:line="316" w:lineRule="exact"/>
              <w:ind w:left="1"/>
              <w:jc w:val="center"/>
              <w:rPr>
                <w:sz w:val="28"/>
              </w:rPr>
            </w:pPr>
            <w:r>
              <w:rPr>
                <w:w w:val="100"/>
                <w:sz w:val="28"/>
              </w:rPr>
              <w:t>%</w:t>
            </w:r>
          </w:p>
        </w:tc>
      </w:tr>
      <w:tr>
        <w:trPr>
          <w:trHeight w:val="694" w:hRule="exact"/>
        </w:trPr>
        <w:tc>
          <w:tcPr>
            <w:tcW w:w="4820" w:type="dxa"/>
          </w:tcPr>
          <w:p>
            <w:pPr>
              <w:pStyle w:val="TableParagraph"/>
              <w:spacing w:line="315" w:lineRule="exact"/>
              <w:ind w:left="103"/>
              <w:rPr>
                <w:sz w:val="28"/>
              </w:rPr>
            </w:pPr>
            <w:r>
              <w:rPr>
                <w:sz w:val="28"/>
              </w:rPr>
              <w:t>Биопсия  яичника, брюшины</w:t>
            </w:r>
          </w:p>
        </w:tc>
        <w:tc>
          <w:tcPr>
            <w:tcW w:w="2268" w:type="dxa"/>
          </w:tcPr>
          <w:p>
            <w:pPr>
              <w:pStyle w:val="TableParagraph"/>
              <w:spacing w:line="315" w:lineRule="exact"/>
              <w:ind w:left="192" w:right="190"/>
              <w:jc w:val="center"/>
              <w:rPr>
                <w:sz w:val="28"/>
              </w:rPr>
            </w:pPr>
            <w:r>
              <w:rPr>
                <w:sz w:val="28"/>
              </w:rPr>
              <w:t>20</w:t>
            </w:r>
          </w:p>
        </w:tc>
        <w:tc>
          <w:tcPr>
            <w:tcW w:w="2269" w:type="dxa"/>
          </w:tcPr>
          <w:p>
            <w:pPr>
              <w:pStyle w:val="TableParagraph"/>
              <w:spacing w:line="315" w:lineRule="exact"/>
              <w:ind w:left="88" w:right="89"/>
              <w:jc w:val="center"/>
              <w:rPr>
                <w:sz w:val="28"/>
              </w:rPr>
            </w:pPr>
            <w:r>
              <w:rPr>
                <w:sz w:val="28"/>
              </w:rPr>
              <w:t>62,5</w:t>
            </w:r>
          </w:p>
        </w:tc>
      </w:tr>
      <w:tr>
        <w:trPr>
          <w:trHeight w:val="694" w:hRule="exact"/>
        </w:trPr>
        <w:tc>
          <w:tcPr>
            <w:tcW w:w="4820" w:type="dxa"/>
          </w:tcPr>
          <w:p>
            <w:pPr>
              <w:pStyle w:val="TableParagraph"/>
              <w:spacing w:line="315" w:lineRule="exact"/>
              <w:ind w:left="103"/>
              <w:rPr>
                <w:sz w:val="28"/>
              </w:rPr>
            </w:pPr>
            <w:r>
              <w:rPr>
                <w:sz w:val="28"/>
              </w:rPr>
              <w:t>Аднексэктомия</w:t>
            </w:r>
          </w:p>
        </w:tc>
        <w:tc>
          <w:tcPr>
            <w:tcW w:w="2268" w:type="dxa"/>
          </w:tcPr>
          <w:p>
            <w:pPr>
              <w:pStyle w:val="TableParagraph"/>
              <w:spacing w:line="315" w:lineRule="exact"/>
              <w:ind w:right="1"/>
              <w:jc w:val="center"/>
              <w:rPr>
                <w:sz w:val="28"/>
              </w:rPr>
            </w:pPr>
            <w:r>
              <w:rPr>
                <w:w w:val="100"/>
                <w:sz w:val="28"/>
              </w:rPr>
              <w:t>7</w:t>
            </w:r>
          </w:p>
        </w:tc>
        <w:tc>
          <w:tcPr>
            <w:tcW w:w="2269" w:type="dxa"/>
          </w:tcPr>
          <w:p>
            <w:pPr>
              <w:pStyle w:val="TableParagraph"/>
              <w:spacing w:line="315" w:lineRule="exact"/>
              <w:ind w:left="88" w:right="89"/>
              <w:jc w:val="center"/>
              <w:rPr>
                <w:sz w:val="28"/>
              </w:rPr>
            </w:pPr>
            <w:r>
              <w:rPr>
                <w:sz w:val="28"/>
              </w:rPr>
              <w:t>21,9</w:t>
            </w:r>
          </w:p>
        </w:tc>
      </w:tr>
      <w:tr>
        <w:trPr>
          <w:trHeight w:val="694" w:hRule="exact"/>
        </w:trPr>
        <w:tc>
          <w:tcPr>
            <w:tcW w:w="4820" w:type="dxa"/>
          </w:tcPr>
          <w:p>
            <w:pPr>
              <w:pStyle w:val="TableParagraph"/>
              <w:spacing w:line="315" w:lineRule="exact"/>
              <w:ind w:left="103"/>
              <w:rPr>
                <w:sz w:val="28"/>
              </w:rPr>
            </w:pPr>
            <w:r>
              <w:rPr>
                <w:sz w:val="28"/>
              </w:rPr>
              <w:t>Пангистерэктомия</w:t>
            </w:r>
          </w:p>
        </w:tc>
        <w:tc>
          <w:tcPr>
            <w:tcW w:w="2268" w:type="dxa"/>
          </w:tcPr>
          <w:p>
            <w:pPr>
              <w:pStyle w:val="TableParagraph"/>
              <w:spacing w:line="315" w:lineRule="exact"/>
              <w:ind w:right="1"/>
              <w:jc w:val="center"/>
              <w:rPr>
                <w:sz w:val="28"/>
              </w:rPr>
            </w:pPr>
            <w:r>
              <w:rPr>
                <w:w w:val="100"/>
                <w:sz w:val="28"/>
              </w:rPr>
              <w:t>1</w:t>
            </w:r>
          </w:p>
        </w:tc>
        <w:tc>
          <w:tcPr>
            <w:tcW w:w="2269" w:type="dxa"/>
          </w:tcPr>
          <w:p>
            <w:pPr>
              <w:pStyle w:val="TableParagraph"/>
              <w:spacing w:line="315" w:lineRule="exact"/>
              <w:ind w:left="88" w:right="88"/>
              <w:jc w:val="center"/>
              <w:rPr>
                <w:sz w:val="28"/>
              </w:rPr>
            </w:pPr>
            <w:r>
              <w:rPr>
                <w:sz w:val="28"/>
              </w:rPr>
              <w:t>3,1</w:t>
            </w:r>
          </w:p>
        </w:tc>
      </w:tr>
      <w:tr>
        <w:trPr>
          <w:trHeight w:val="691" w:hRule="exact"/>
        </w:trPr>
        <w:tc>
          <w:tcPr>
            <w:tcW w:w="4820" w:type="dxa"/>
          </w:tcPr>
          <w:p>
            <w:pPr>
              <w:pStyle w:val="TableParagraph"/>
              <w:spacing w:line="315" w:lineRule="exact"/>
              <w:ind w:left="103"/>
              <w:rPr>
                <w:sz w:val="28"/>
              </w:rPr>
            </w:pPr>
            <w:r>
              <w:rPr>
                <w:sz w:val="28"/>
              </w:rPr>
              <w:t>Пангистерэктомия + оментэктомия</w:t>
            </w:r>
          </w:p>
        </w:tc>
        <w:tc>
          <w:tcPr>
            <w:tcW w:w="2268" w:type="dxa"/>
          </w:tcPr>
          <w:p>
            <w:pPr>
              <w:pStyle w:val="TableParagraph"/>
              <w:spacing w:line="315" w:lineRule="exact"/>
              <w:ind w:right="1"/>
              <w:jc w:val="center"/>
              <w:rPr>
                <w:sz w:val="28"/>
              </w:rPr>
            </w:pPr>
            <w:r>
              <w:rPr>
                <w:w w:val="100"/>
                <w:sz w:val="28"/>
              </w:rPr>
              <w:t>4</w:t>
            </w:r>
          </w:p>
        </w:tc>
        <w:tc>
          <w:tcPr>
            <w:tcW w:w="2269" w:type="dxa"/>
          </w:tcPr>
          <w:p>
            <w:pPr>
              <w:pStyle w:val="TableParagraph"/>
              <w:spacing w:line="315" w:lineRule="exact"/>
              <w:ind w:left="88" w:right="89"/>
              <w:jc w:val="center"/>
              <w:rPr>
                <w:sz w:val="28"/>
              </w:rPr>
            </w:pPr>
            <w:r>
              <w:rPr>
                <w:sz w:val="28"/>
              </w:rPr>
              <w:t>12,5</w:t>
            </w:r>
          </w:p>
        </w:tc>
      </w:tr>
      <w:tr>
        <w:trPr>
          <w:trHeight w:val="694" w:hRule="exact"/>
        </w:trPr>
        <w:tc>
          <w:tcPr>
            <w:tcW w:w="4820" w:type="dxa"/>
          </w:tcPr>
          <w:p>
            <w:pPr>
              <w:pStyle w:val="TableParagraph"/>
              <w:spacing w:line="315" w:lineRule="exact"/>
              <w:ind w:left="103"/>
              <w:rPr>
                <w:sz w:val="28"/>
              </w:rPr>
            </w:pPr>
            <w:r>
              <w:rPr>
                <w:sz w:val="28"/>
              </w:rPr>
              <w:t>Всего</w:t>
            </w:r>
          </w:p>
        </w:tc>
        <w:tc>
          <w:tcPr>
            <w:tcW w:w="2268" w:type="dxa"/>
          </w:tcPr>
          <w:p>
            <w:pPr>
              <w:pStyle w:val="TableParagraph"/>
              <w:spacing w:line="315" w:lineRule="exact"/>
              <w:ind w:left="192" w:right="190"/>
              <w:jc w:val="center"/>
              <w:rPr>
                <w:sz w:val="28"/>
              </w:rPr>
            </w:pPr>
            <w:r>
              <w:rPr>
                <w:sz w:val="28"/>
              </w:rPr>
              <w:t>32</w:t>
            </w:r>
          </w:p>
        </w:tc>
        <w:tc>
          <w:tcPr>
            <w:tcW w:w="2269" w:type="dxa"/>
          </w:tcPr>
          <w:p>
            <w:pPr>
              <w:pStyle w:val="TableParagraph"/>
              <w:spacing w:line="315" w:lineRule="exact"/>
              <w:ind w:left="88" w:right="87"/>
              <w:jc w:val="center"/>
              <w:rPr>
                <w:sz w:val="28"/>
              </w:rPr>
            </w:pPr>
            <w:r>
              <w:rPr>
                <w:sz w:val="28"/>
              </w:rPr>
              <w:t>100</w:t>
            </w:r>
          </w:p>
        </w:tc>
      </w:tr>
    </w:tbl>
    <w:p>
      <w:pPr>
        <w:spacing w:after="0" w:line="315" w:lineRule="exact"/>
        <w:jc w:val="center"/>
        <w:rPr>
          <w:sz w:val="28"/>
        </w:rPr>
        <w:sectPr>
          <w:headerReference w:type="default" r:id="rId162"/>
          <w:pgSz w:w="11900" w:h="16850"/>
          <w:pgMar w:header="712" w:footer="0" w:top="1020" w:bottom="280" w:left="1580" w:right="720"/>
          <w:pgNumType w:start="240"/>
        </w:sectPr>
      </w:pPr>
    </w:p>
    <w:p>
      <w:pPr>
        <w:pStyle w:val="BodyText"/>
        <w:rPr>
          <w:sz w:val="20"/>
        </w:rPr>
      </w:pPr>
    </w:p>
    <w:p>
      <w:pPr>
        <w:pStyle w:val="BodyText"/>
        <w:rPr>
          <w:sz w:val="20"/>
        </w:rPr>
      </w:pPr>
    </w:p>
    <w:p>
      <w:pPr>
        <w:pStyle w:val="BodyText"/>
        <w:spacing w:line="360" w:lineRule="auto" w:before="224"/>
        <w:ind w:left="385" w:right="101" w:firstLine="239"/>
        <w:jc w:val="both"/>
      </w:pPr>
      <w:r>
        <w:rPr/>
        <w:t>В большинстве случаев (62,5%) установлен распространённый опухолевый процесс, сочетавшийся у 3 больных с двухсторонним гидротораксом. У одной пациентки установлен  диагноз неэпителиальной опухоли яичников. Лечение этих больных было начато с неоадъювантной химиотерапии. Четырем пациенткам удалось выполнить циторедуктивные операции в оптимальном объеме. Семи пациенткам лапароскопическим доступом с соблюдением правил абластики были удалены пораженные опухолью, но при этом не увеличенные яичники. Выполнению радикальных операций в этих ситуациях препятствовал тотальный канцероматоз.</w:t>
      </w:r>
    </w:p>
    <w:p>
      <w:pPr>
        <w:pStyle w:val="BodyText"/>
        <w:spacing w:line="360" w:lineRule="auto" w:before="125"/>
        <w:ind w:left="385" w:right="107"/>
        <w:jc w:val="both"/>
      </w:pPr>
      <w:r>
        <w:rPr/>
        <w:t>Несколько приведенных ниже иллюстраций демонстрируют операционные находки, не диагностированные при клиническом обследовании пациенток (Рис. 5.3)</w:t>
      </w:r>
    </w:p>
    <w:p>
      <w:pPr>
        <w:pStyle w:val="BodyText"/>
        <w:spacing w:line="448" w:lineRule="auto" w:before="125"/>
        <w:ind w:left="534" w:right="85" w:firstLine="7225"/>
      </w:pPr>
      <w:r>
        <w:rPr/>
        <w:t>Рисунок 5.3 Результаты диагностических лапароскопий у больных раком яичников</w:t>
      </w:r>
    </w:p>
    <w:p>
      <w:pPr>
        <w:pStyle w:val="BodyText"/>
        <w:rPr>
          <w:sz w:val="20"/>
        </w:rPr>
      </w:pPr>
    </w:p>
    <w:p>
      <w:pPr>
        <w:pStyle w:val="BodyText"/>
        <w:spacing w:before="6"/>
        <w:rPr>
          <w:sz w:val="24"/>
        </w:rPr>
      </w:pPr>
      <w:r>
        <w:rPr/>
        <w:drawing>
          <wp:anchor distT="0" distB="0" distL="0" distR="0" allowOverlap="1" layoutInCell="1" locked="0" behindDoc="0" simplePos="0" relativeHeight="6328">
            <wp:simplePos x="0" y="0"/>
            <wp:positionH relativeFrom="page">
              <wp:posOffset>1080135</wp:posOffset>
            </wp:positionH>
            <wp:positionV relativeFrom="paragraph">
              <wp:posOffset>203956</wp:posOffset>
            </wp:positionV>
            <wp:extent cx="2628536" cy="2183034"/>
            <wp:effectExtent l="0" t="0" r="0" b="0"/>
            <wp:wrapTopAndBottom/>
            <wp:docPr id="101" name="image143.jpeg" descr=""/>
            <wp:cNvGraphicFramePr>
              <a:graphicFrameLocks noChangeAspect="1"/>
            </wp:cNvGraphicFramePr>
            <a:graphic>
              <a:graphicData uri="http://schemas.openxmlformats.org/drawingml/2006/picture">
                <pic:pic>
                  <pic:nvPicPr>
                    <pic:cNvPr id="102" name="image143.jpeg"/>
                    <pic:cNvPicPr/>
                  </pic:nvPicPr>
                  <pic:blipFill>
                    <a:blip r:embed="rId163" cstate="print"/>
                    <a:stretch>
                      <a:fillRect/>
                    </a:stretch>
                  </pic:blipFill>
                  <pic:spPr>
                    <a:xfrm>
                      <a:off x="0" y="0"/>
                      <a:ext cx="2628536" cy="2183034"/>
                    </a:xfrm>
                    <a:prstGeom prst="rect">
                      <a:avLst/>
                    </a:prstGeom>
                  </pic:spPr>
                </pic:pic>
              </a:graphicData>
            </a:graphic>
          </wp:anchor>
        </w:drawing>
      </w:r>
      <w:r>
        <w:rPr/>
        <w:drawing>
          <wp:anchor distT="0" distB="0" distL="0" distR="0" allowOverlap="1" layoutInCell="1" locked="0" behindDoc="0" simplePos="0" relativeHeight="6352">
            <wp:simplePos x="0" y="0"/>
            <wp:positionH relativeFrom="page">
              <wp:posOffset>3881373</wp:posOffset>
            </wp:positionH>
            <wp:positionV relativeFrom="paragraph">
              <wp:posOffset>203956</wp:posOffset>
            </wp:positionV>
            <wp:extent cx="2618270" cy="2194560"/>
            <wp:effectExtent l="0" t="0" r="0" b="0"/>
            <wp:wrapTopAndBottom/>
            <wp:docPr id="103" name="image144.jpeg" descr=""/>
            <wp:cNvGraphicFramePr>
              <a:graphicFrameLocks noChangeAspect="1"/>
            </wp:cNvGraphicFramePr>
            <a:graphic>
              <a:graphicData uri="http://schemas.openxmlformats.org/drawingml/2006/picture">
                <pic:pic>
                  <pic:nvPicPr>
                    <pic:cNvPr id="104" name="image144.jpeg"/>
                    <pic:cNvPicPr/>
                  </pic:nvPicPr>
                  <pic:blipFill>
                    <a:blip r:embed="rId164" cstate="print"/>
                    <a:stretch>
                      <a:fillRect/>
                    </a:stretch>
                  </pic:blipFill>
                  <pic:spPr>
                    <a:xfrm>
                      <a:off x="0" y="0"/>
                      <a:ext cx="2618270" cy="2194560"/>
                    </a:xfrm>
                    <a:prstGeom prst="rect">
                      <a:avLst/>
                    </a:prstGeom>
                  </pic:spPr>
                </pic:pic>
              </a:graphicData>
            </a:graphic>
          </wp:anchor>
        </w:drawing>
      </w:r>
    </w:p>
    <w:p>
      <w:pPr>
        <w:spacing w:after="0"/>
        <w:rPr>
          <w:sz w:val="24"/>
        </w:rPr>
        <w:sectPr>
          <w:pgSz w:w="11900" w:h="16850"/>
          <w:pgMar w:header="712" w:footer="0" w:top="1020" w:bottom="280" w:left="1600" w:right="1020"/>
        </w:sectPr>
      </w:pPr>
    </w:p>
    <w:p>
      <w:pPr>
        <w:pStyle w:val="BodyText"/>
        <w:rPr>
          <w:sz w:val="20"/>
        </w:rPr>
      </w:pPr>
    </w:p>
    <w:p>
      <w:pPr>
        <w:pStyle w:val="BodyText"/>
        <w:spacing w:before="7"/>
        <w:rPr>
          <w:sz w:val="24"/>
        </w:rPr>
      </w:pPr>
    </w:p>
    <w:p>
      <w:pPr>
        <w:pStyle w:val="BodyText"/>
        <w:spacing w:line="360" w:lineRule="auto" w:before="89"/>
        <w:ind w:left="385" w:right="103" w:firstLine="139"/>
        <w:jc w:val="both"/>
      </w:pPr>
      <w:r>
        <w:rPr/>
        <w:t>Мы еще раз убедились в необходимости морфологической верификации опухолевого процесса перед началом специального лечения у онкологических больных. Даже при полной уверенности клинициста в наличии у больного неоперабельного злокачественного новообразования, подтвержденной результатами современных методов обследования, примерно в каждом десятом случае установленный диагноз не подтверждается. В таких ситуациях современные малоинвазивные методики позволяют избежать необоснованного назначения многократных курсов лечения высокотоксичными химиопрепаратами.</w:t>
      </w:r>
    </w:p>
    <w:p>
      <w:pPr>
        <w:pStyle w:val="BodyText"/>
        <w:rPr>
          <w:sz w:val="30"/>
        </w:rPr>
      </w:pPr>
    </w:p>
    <w:p>
      <w:pPr>
        <w:pStyle w:val="BodyText"/>
        <w:spacing w:before="9"/>
        <w:rPr>
          <w:sz w:val="27"/>
        </w:rPr>
      </w:pPr>
    </w:p>
    <w:p>
      <w:pPr>
        <w:pStyle w:val="Heading1"/>
        <w:numPr>
          <w:ilvl w:val="2"/>
          <w:numId w:val="30"/>
        </w:numPr>
        <w:tabs>
          <w:tab w:pos="2353" w:val="left" w:leader="none"/>
        </w:tabs>
        <w:spacing w:line="240" w:lineRule="auto" w:before="0" w:after="0"/>
        <w:ind w:left="2352" w:right="0" w:hanging="700"/>
        <w:jc w:val="left"/>
      </w:pPr>
      <w:r>
        <w:rPr/>
        <w:t>Интервальные диагностические</w:t>
      </w:r>
      <w:r>
        <w:rPr>
          <w:spacing w:val="-13"/>
        </w:rPr>
        <w:t> </w:t>
      </w:r>
      <w:r>
        <w:rPr/>
        <w:t>лапароскопии</w:t>
      </w:r>
    </w:p>
    <w:p>
      <w:pPr>
        <w:pStyle w:val="BodyText"/>
        <w:rPr>
          <w:b/>
          <w:sz w:val="30"/>
        </w:rPr>
      </w:pPr>
    </w:p>
    <w:p>
      <w:pPr>
        <w:pStyle w:val="BodyText"/>
        <w:spacing w:before="7"/>
        <w:rPr>
          <w:b/>
          <w:sz w:val="25"/>
        </w:rPr>
      </w:pPr>
    </w:p>
    <w:p>
      <w:pPr>
        <w:pStyle w:val="BodyText"/>
        <w:spacing w:line="360" w:lineRule="auto"/>
        <w:ind w:left="102" w:right="105" w:firstLine="719"/>
        <w:jc w:val="both"/>
      </w:pPr>
      <w:r>
        <w:rPr/>
        <w:t>Термин «интервальные» операции мы перенесли из разработанной Santoro B. в 1961 году классификации операций, выполняемых при раке яичников. Речь в этой главе пойдет о возможности замены традиционно применяемых ревизионных лапаротомий современными малоинвазивными методиками.</w:t>
      </w:r>
    </w:p>
    <w:p>
      <w:pPr>
        <w:pStyle w:val="BodyText"/>
        <w:tabs>
          <w:tab w:pos="6362" w:val="left" w:leader="none"/>
        </w:tabs>
        <w:spacing w:line="360" w:lineRule="auto" w:before="4"/>
        <w:ind w:left="102" w:right="99" w:firstLine="719"/>
        <w:jc w:val="both"/>
      </w:pPr>
      <w:r>
        <w:rPr/>
        <w:t>В    настоящее    время   </w:t>
      </w:r>
      <w:r>
        <w:rPr>
          <w:spacing w:val="33"/>
        </w:rPr>
        <w:t> </w:t>
      </w:r>
      <w:r>
        <w:rPr/>
        <w:t>показания   </w:t>
      </w:r>
      <w:r>
        <w:rPr>
          <w:spacing w:val="11"/>
        </w:rPr>
        <w:t> </w:t>
      </w:r>
      <w:r>
        <w:rPr/>
        <w:t>к</w:t>
        <w:tab/>
        <w:t>подобным   </w:t>
      </w:r>
      <w:r>
        <w:rPr>
          <w:spacing w:val="3"/>
        </w:rPr>
        <w:t> </w:t>
      </w:r>
      <w:r>
        <w:rPr/>
        <w:t>операциям</w:t>
      </w:r>
      <w:r>
        <w:rPr>
          <w:w w:val="100"/>
        </w:rPr>
        <w:t> </w:t>
      </w:r>
      <w:r>
        <w:rPr/>
        <w:t>устанавливаются не так часто. Практически прекратилось выполнение классических операций «second look» предложенной еще в 1948 году Wangensteen. В СССР в 70-х годах выполнение диагностической лапаротомии после окончания комбинированного лечения больных раком яичников входило в перечень обязательных процедур. Теперь, спустя 40 лет клиницисты в своих суждениях о достижении клинической ремиссии основываются на данных лабораторного и рентгенологического обследования.</w:t>
      </w:r>
    </w:p>
    <w:p>
      <w:pPr>
        <w:pStyle w:val="BodyText"/>
        <w:spacing w:line="360" w:lineRule="auto" w:before="5"/>
        <w:ind w:left="102" w:right="106" w:firstLine="719"/>
        <w:jc w:val="both"/>
      </w:pPr>
      <w:r>
        <w:rPr/>
        <w:t>Зафиксировать развитие рецидива также чаще всего удается на основании результатов ультразвукового исследования, магнитно-</w:t>
      </w:r>
    </w:p>
    <w:p>
      <w:pPr>
        <w:spacing w:after="0" w:line="360" w:lineRule="auto"/>
        <w:jc w:val="both"/>
        <w:sectPr>
          <w:pgSz w:w="11900" w:h="16850"/>
          <w:pgMar w:header="712" w:footer="0" w:top="1020" w:bottom="280" w:left="1600" w:right="1020"/>
        </w:sectPr>
      </w:pPr>
    </w:p>
    <w:p>
      <w:pPr>
        <w:pStyle w:val="BodyText"/>
        <w:rPr>
          <w:sz w:val="20"/>
        </w:rPr>
      </w:pPr>
    </w:p>
    <w:p>
      <w:pPr>
        <w:pStyle w:val="BodyText"/>
        <w:spacing w:line="360" w:lineRule="auto" w:before="252"/>
        <w:ind w:left="122" w:right="119"/>
        <w:jc w:val="both"/>
      </w:pPr>
      <w:r>
        <w:rPr/>
        <w:t>резонансной томографии, определения опухолевых маркеров. И все же периодически возникают клинические ситуации, когда выполнение повторных диагностических операций оказывается полезным. Прежде чем определить роль и место лапароскопии в решении перечисленных проблем мы  изучили  опыт  применения  повторных  ревизионных  лапаротомий   у</w:t>
      </w:r>
    </w:p>
    <w:p>
      <w:pPr>
        <w:pStyle w:val="BodyText"/>
        <w:spacing w:line="360" w:lineRule="auto" w:before="7"/>
        <w:ind w:left="122" w:right="119"/>
        <w:jc w:val="both"/>
      </w:pPr>
      <w:r>
        <w:rPr/>
        <w:t>389 больных раком яичников различных стадий, лечившихся в НИИ Онкологии им. проф. Н.Н.Петрова и в Научно-практическом онкологическом центре в период с 1990 по 2013 годы (Табл. 5.21).</w:t>
      </w: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89"/>
        <w:ind w:right="123"/>
        <w:jc w:val="right"/>
      </w:pPr>
      <w:r>
        <w:rPr/>
        <w:t>Таблица 5.21</w:t>
      </w:r>
    </w:p>
    <w:p>
      <w:pPr>
        <w:pStyle w:val="BodyText"/>
        <w:spacing w:before="160"/>
        <w:ind w:left="3398"/>
      </w:pPr>
      <w:r>
        <w:rPr/>
        <w:t>Виды повторных операций</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1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20"/>
        <w:gridCol w:w="2268"/>
        <w:gridCol w:w="1985"/>
      </w:tblGrid>
      <w:tr>
        <w:trPr>
          <w:trHeight w:val="691" w:hRule="exact"/>
        </w:trPr>
        <w:tc>
          <w:tcPr>
            <w:tcW w:w="4820" w:type="dxa"/>
          </w:tcPr>
          <w:p>
            <w:pPr>
              <w:pStyle w:val="TableParagraph"/>
              <w:spacing w:line="315" w:lineRule="exact"/>
              <w:ind w:left="1800" w:right="1800"/>
              <w:jc w:val="center"/>
              <w:rPr>
                <w:sz w:val="28"/>
              </w:rPr>
            </w:pPr>
            <w:r>
              <w:rPr>
                <w:sz w:val="28"/>
              </w:rPr>
              <w:t>Операция</w:t>
            </w:r>
          </w:p>
        </w:tc>
        <w:tc>
          <w:tcPr>
            <w:tcW w:w="2268" w:type="dxa"/>
          </w:tcPr>
          <w:p>
            <w:pPr>
              <w:pStyle w:val="TableParagraph"/>
              <w:spacing w:line="315" w:lineRule="exact"/>
              <w:ind w:left="192" w:right="192"/>
              <w:jc w:val="center"/>
              <w:rPr>
                <w:sz w:val="28"/>
              </w:rPr>
            </w:pPr>
            <w:r>
              <w:rPr>
                <w:sz w:val="28"/>
              </w:rPr>
              <w:t>Число больных</w:t>
            </w:r>
          </w:p>
        </w:tc>
        <w:tc>
          <w:tcPr>
            <w:tcW w:w="1985" w:type="dxa"/>
          </w:tcPr>
          <w:p>
            <w:pPr>
              <w:pStyle w:val="TableParagraph"/>
              <w:spacing w:line="315" w:lineRule="exact"/>
              <w:ind w:left="1"/>
              <w:jc w:val="center"/>
              <w:rPr>
                <w:sz w:val="28"/>
              </w:rPr>
            </w:pPr>
            <w:r>
              <w:rPr>
                <w:w w:val="100"/>
                <w:sz w:val="28"/>
              </w:rPr>
              <w:t>%</w:t>
            </w:r>
          </w:p>
        </w:tc>
      </w:tr>
      <w:tr>
        <w:trPr>
          <w:trHeight w:val="694" w:hRule="exact"/>
        </w:trPr>
        <w:tc>
          <w:tcPr>
            <w:tcW w:w="4820" w:type="dxa"/>
          </w:tcPr>
          <w:p>
            <w:pPr>
              <w:pStyle w:val="TableParagraph"/>
              <w:spacing w:line="317" w:lineRule="exact"/>
              <w:ind w:left="103"/>
              <w:rPr>
                <w:sz w:val="28"/>
              </w:rPr>
            </w:pPr>
            <w:r>
              <w:rPr>
                <w:sz w:val="28"/>
              </w:rPr>
              <w:t>«Second-look»</w:t>
            </w:r>
          </w:p>
        </w:tc>
        <w:tc>
          <w:tcPr>
            <w:tcW w:w="2268" w:type="dxa"/>
          </w:tcPr>
          <w:p>
            <w:pPr>
              <w:pStyle w:val="TableParagraph"/>
              <w:spacing w:line="317" w:lineRule="exact"/>
              <w:ind w:left="192" w:right="190"/>
              <w:jc w:val="center"/>
              <w:rPr>
                <w:sz w:val="28"/>
              </w:rPr>
            </w:pPr>
            <w:r>
              <w:rPr>
                <w:sz w:val="28"/>
              </w:rPr>
              <w:t>22</w:t>
            </w:r>
          </w:p>
        </w:tc>
        <w:tc>
          <w:tcPr>
            <w:tcW w:w="1985" w:type="dxa"/>
          </w:tcPr>
          <w:p>
            <w:pPr>
              <w:pStyle w:val="TableParagraph"/>
              <w:spacing w:line="317" w:lineRule="exact"/>
              <w:ind w:left="141" w:right="141"/>
              <w:jc w:val="center"/>
              <w:rPr>
                <w:sz w:val="28"/>
              </w:rPr>
            </w:pPr>
            <w:r>
              <w:rPr>
                <w:sz w:val="28"/>
              </w:rPr>
              <w:t>5,7</w:t>
            </w:r>
          </w:p>
        </w:tc>
      </w:tr>
      <w:tr>
        <w:trPr>
          <w:trHeight w:val="1176" w:hRule="exact"/>
        </w:trPr>
        <w:tc>
          <w:tcPr>
            <w:tcW w:w="4820" w:type="dxa"/>
          </w:tcPr>
          <w:p>
            <w:pPr>
              <w:pStyle w:val="TableParagraph"/>
              <w:spacing w:line="362" w:lineRule="auto"/>
              <w:ind w:left="103" w:right="523"/>
              <w:rPr>
                <w:sz w:val="28"/>
              </w:rPr>
            </w:pPr>
            <w:r>
              <w:rPr>
                <w:sz w:val="28"/>
              </w:rPr>
              <w:t>Промежуточные циторедуктивные операции</w:t>
            </w:r>
          </w:p>
        </w:tc>
        <w:tc>
          <w:tcPr>
            <w:tcW w:w="2268" w:type="dxa"/>
          </w:tcPr>
          <w:p>
            <w:pPr>
              <w:pStyle w:val="TableParagraph"/>
              <w:spacing w:line="315" w:lineRule="exact"/>
              <w:ind w:left="192" w:right="192"/>
              <w:jc w:val="center"/>
              <w:rPr>
                <w:sz w:val="28"/>
              </w:rPr>
            </w:pPr>
            <w:r>
              <w:rPr>
                <w:sz w:val="28"/>
              </w:rPr>
              <w:t>193</w:t>
            </w:r>
          </w:p>
        </w:tc>
        <w:tc>
          <w:tcPr>
            <w:tcW w:w="1985" w:type="dxa"/>
          </w:tcPr>
          <w:p>
            <w:pPr>
              <w:pStyle w:val="TableParagraph"/>
              <w:spacing w:line="315" w:lineRule="exact"/>
              <w:ind w:right="741"/>
              <w:jc w:val="right"/>
              <w:rPr>
                <w:sz w:val="28"/>
              </w:rPr>
            </w:pPr>
            <w:r>
              <w:rPr>
                <w:sz w:val="28"/>
              </w:rPr>
              <w:t>49,6</w:t>
            </w:r>
          </w:p>
        </w:tc>
      </w:tr>
      <w:tr>
        <w:trPr>
          <w:trHeight w:val="1177" w:hRule="exact"/>
        </w:trPr>
        <w:tc>
          <w:tcPr>
            <w:tcW w:w="4820" w:type="dxa"/>
          </w:tcPr>
          <w:p>
            <w:pPr>
              <w:pStyle w:val="TableParagraph"/>
              <w:spacing w:line="360" w:lineRule="auto"/>
              <w:ind w:left="103" w:right="523"/>
              <w:rPr>
                <w:sz w:val="28"/>
              </w:rPr>
            </w:pPr>
            <w:r>
              <w:rPr>
                <w:sz w:val="28"/>
              </w:rPr>
              <w:t>Повторные циторедуктивные операции</w:t>
            </w:r>
          </w:p>
        </w:tc>
        <w:tc>
          <w:tcPr>
            <w:tcW w:w="2268" w:type="dxa"/>
          </w:tcPr>
          <w:p>
            <w:pPr>
              <w:pStyle w:val="TableParagraph"/>
              <w:spacing w:line="315" w:lineRule="exact"/>
              <w:ind w:left="192" w:right="192"/>
              <w:jc w:val="center"/>
              <w:rPr>
                <w:sz w:val="28"/>
              </w:rPr>
            </w:pPr>
            <w:r>
              <w:rPr>
                <w:sz w:val="28"/>
              </w:rPr>
              <w:t>138</w:t>
            </w:r>
          </w:p>
        </w:tc>
        <w:tc>
          <w:tcPr>
            <w:tcW w:w="1985" w:type="dxa"/>
          </w:tcPr>
          <w:p>
            <w:pPr>
              <w:pStyle w:val="TableParagraph"/>
              <w:spacing w:line="315" w:lineRule="exact"/>
              <w:ind w:right="741"/>
              <w:jc w:val="right"/>
              <w:rPr>
                <w:sz w:val="28"/>
              </w:rPr>
            </w:pPr>
            <w:r>
              <w:rPr>
                <w:sz w:val="28"/>
              </w:rPr>
              <w:t>35,5</w:t>
            </w:r>
          </w:p>
        </w:tc>
      </w:tr>
      <w:tr>
        <w:trPr>
          <w:trHeight w:val="694" w:hRule="exact"/>
        </w:trPr>
        <w:tc>
          <w:tcPr>
            <w:tcW w:w="4820" w:type="dxa"/>
          </w:tcPr>
          <w:p>
            <w:pPr>
              <w:pStyle w:val="TableParagraph"/>
              <w:spacing w:line="315" w:lineRule="exact"/>
              <w:ind w:left="103"/>
              <w:rPr>
                <w:sz w:val="28"/>
              </w:rPr>
            </w:pPr>
            <w:r>
              <w:rPr>
                <w:sz w:val="28"/>
              </w:rPr>
              <w:t>Симптоматические операции</w:t>
            </w:r>
          </w:p>
        </w:tc>
        <w:tc>
          <w:tcPr>
            <w:tcW w:w="2268" w:type="dxa"/>
          </w:tcPr>
          <w:p>
            <w:pPr>
              <w:pStyle w:val="TableParagraph"/>
              <w:spacing w:line="315" w:lineRule="exact"/>
              <w:ind w:left="192" w:right="190"/>
              <w:jc w:val="center"/>
              <w:rPr>
                <w:sz w:val="28"/>
              </w:rPr>
            </w:pPr>
            <w:r>
              <w:rPr>
                <w:sz w:val="28"/>
              </w:rPr>
              <w:t>36</w:t>
            </w:r>
          </w:p>
        </w:tc>
        <w:tc>
          <w:tcPr>
            <w:tcW w:w="1985" w:type="dxa"/>
          </w:tcPr>
          <w:p>
            <w:pPr>
              <w:pStyle w:val="TableParagraph"/>
              <w:spacing w:line="315" w:lineRule="exact"/>
              <w:ind w:left="141" w:right="141"/>
              <w:jc w:val="center"/>
              <w:rPr>
                <w:sz w:val="28"/>
              </w:rPr>
            </w:pPr>
            <w:r>
              <w:rPr>
                <w:sz w:val="28"/>
              </w:rPr>
              <w:t>9,2</w:t>
            </w:r>
          </w:p>
        </w:tc>
      </w:tr>
      <w:tr>
        <w:trPr>
          <w:trHeight w:val="694" w:hRule="exact"/>
        </w:trPr>
        <w:tc>
          <w:tcPr>
            <w:tcW w:w="4820" w:type="dxa"/>
          </w:tcPr>
          <w:p>
            <w:pPr>
              <w:pStyle w:val="TableParagraph"/>
              <w:spacing w:line="315" w:lineRule="exact"/>
              <w:ind w:left="103"/>
              <w:rPr>
                <w:sz w:val="28"/>
              </w:rPr>
            </w:pPr>
            <w:r>
              <w:rPr>
                <w:sz w:val="28"/>
              </w:rPr>
              <w:t>Всего</w:t>
            </w:r>
          </w:p>
        </w:tc>
        <w:tc>
          <w:tcPr>
            <w:tcW w:w="2268" w:type="dxa"/>
          </w:tcPr>
          <w:p>
            <w:pPr>
              <w:pStyle w:val="TableParagraph"/>
              <w:spacing w:line="315" w:lineRule="exact"/>
              <w:ind w:left="192" w:right="192"/>
              <w:jc w:val="center"/>
              <w:rPr>
                <w:sz w:val="28"/>
              </w:rPr>
            </w:pPr>
            <w:r>
              <w:rPr>
                <w:sz w:val="28"/>
              </w:rPr>
              <w:t>389</w:t>
            </w:r>
          </w:p>
        </w:tc>
        <w:tc>
          <w:tcPr>
            <w:tcW w:w="1985" w:type="dxa"/>
          </w:tcPr>
          <w:p>
            <w:pPr>
              <w:pStyle w:val="TableParagraph"/>
              <w:spacing w:line="315" w:lineRule="exact"/>
              <w:ind w:right="774"/>
              <w:jc w:val="right"/>
              <w:rPr>
                <w:sz w:val="28"/>
              </w:rPr>
            </w:pPr>
            <w:r>
              <w:rPr>
                <w:sz w:val="28"/>
              </w:rPr>
              <w:t>100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BodyText"/>
        <w:tabs>
          <w:tab w:pos="5572" w:val="left" w:leader="none"/>
        </w:tabs>
        <w:spacing w:line="362" w:lineRule="auto" w:before="89"/>
        <w:ind w:left="122" w:right="121"/>
      </w:pPr>
      <w:r>
        <w:rPr/>
        <w:t>Классический «Second-look» был</w:t>
      </w:r>
      <w:r>
        <w:rPr>
          <w:spacing w:val="-1"/>
        </w:rPr>
        <w:t> </w:t>
      </w:r>
      <w:r>
        <w:rPr/>
        <w:t>выполнен</w:t>
        <w:tab/>
        <w:t>22 больным (5,7% -</w:t>
      </w:r>
      <w:r>
        <w:rPr>
          <w:spacing w:val="7"/>
        </w:rPr>
        <w:t> </w:t>
      </w:r>
      <w:r>
        <w:rPr/>
        <w:t>от</w:t>
      </w:r>
      <w:r>
        <w:rPr>
          <w:spacing w:val="-1"/>
        </w:rPr>
        <w:t> </w:t>
      </w:r>
      <w:r>
        <w:rPr/>
        <w:t>общего</w:t>
      </w:r>
      <w:r>
        <w:rPr>
          <w:w w:val="100"/>
        </w:rPr>
        <w:t> </w:t>
      </w:r>
      <w:r>
        <w:rPr/>
        <w:t>числа повторных чревосечений) III-IV ст., находящихся в</w:t>
      </w:r>
      <w:r>
        <w:rPr>
          <w:spacing w:val="-21"/>
        </w:rPr>
        <w:t> </w:t>
      </w:r>
      <w:r>
        <w:rPr/>
        <w:t>состоянии</w:t>
      </w:r>
    </w:p>
    <w:p>
      <w:pPr>
        <w:spacing w:after="0" w:line="362" w:lineRule="auto"/>
        <w:sectPr>
          <w:pgSz w:w="11900" w:h="16850"/>
          <w:pgMar w:header="712" w:footer="0" w:top="1020" w:bottom="280" w:left="1580" w:right="1000"/>
        </w:sectPr>
      </w:pPr>
    </w:p>
    <w:p>
      <w:pPr>
        <w:pStyle w:val="BodyText"/>
        <w:rPr>
          <w:sz w:val="20"/>
        </w:rPr>
      </w:pPr>
    </w:p>
    <w:p>
      <w:pPr>
        <w:pStyle w:val="BodyText"/>
        <w:rPr>
          <w:sz w:val="20"/>
        </w:rPr>
      </w:pPr>
    </w:p>
    <w:p>
      <w:pPr>
        <w:pStyle w:val="BodyText"/>
        <w:spacing w:line="360" w:lineRule="auto" w:before="224"/>
        <w:ind w:left="102"/>
      </w:pPr>
      <w:r>
        <w:rPr/>
        <w:t>клинической ремиссии, после 6-10 курсов ПХТ для решения вопроса о прекращении или продолжении лечения.</w:t>
      </w:r>
    </w:p>
    <w:p>
      <w:pPr>
        <w:pStyle w:val="BodyText"/>
        <w:spacing w:line="360" w:lineRule="auto" w:before="207"/>
        <w:ind w:left="102" w:right="105" w:firstLine="278"/>
        <w:jc w:val="both"/>
      </w:pPr>
      <w:r>
        <w:rPr/>
        <w:t>Только у 12 пациенток подтвердилась полная ремиссия. В 10 из 22 наблюдений был обнаружен рецидив заболевания. У 5 больных во время ревизионного чревосечения были выявлены множественные мелкие (до 1 см в диаметре) метастазы опухоли по брюшине тазовых органов, а у четырех - наряду с ними и более крупные опухолевые массы, которые удалось частично резецировать во время операции (Рис. 5.4).</w:t>
      </w:r>
    </w:p>
    <w:p>
      <w:pPr>
        <w:pStyle w:val="BodyText"/>
        <w:rPr>
          <w:sz w:val="30"/>
        </w:rPr>
      </w:pPr>
    </w:p>
    <w:p>
      <w:pPr>
        <w:pStyle w:val="BodyText"/>
        <w:rPr>
          <w:sz w:val="30"/>
        </w:rPr>
      </w:pPr>
    </w:p>
    <w:p>
      <w:pPr>
        <w:pStyle w:val="BodyText"/>
        <w:rPr>
          <w:sz w:val="30"/>
        </w:rPr>
      </w:pPr>
    </w:p>
    <w:p>
      <w:pPr>
        <w:pStyle w:val="BodyText"/>
        <w:spacing w:line="680" w:lineRule="atLeast" w:before="177"/>
        <w:ind w:left="798" w:right="85" w:firstLine="6961"/>
      </w:pPr>
      <w:r>
        <w:rPr/>
        <w:t>Рисунок 5.4 Результаты операций «Second-look» у больных раком яичников,</w:t>
      </w:r>
    </w:p>
    <w:p>
      <w:pPr>
        <w:pStyle w:val="BodyText"/>
        <w:spacing w:before="160"/>
        <w:ind w:left="409"/>
      </w:pPr>
      <w:r>
        <w:rPr/>
        <w:t>находившихся в ремиссии по результатам клинического обследования</w:t>
      </w:r>
    </w:p>
    <w:p>
      <w:pPr>
        <w:pStyle w:val="BodyText"/>
        <w:rPr>
          <w:sz w:val="20"/>
        </w:rPr>
      </w:pPr>
    </w:p>
    <w:p>
      <w:pPr>
        <w:pStyle w:val="BodyText"/>
        <w:rPr>
          <w:sz w:val="20"/>
        </w:rPr>
      </w:pPr>
    </w:p>
    <w:p>
      <w:pPr>
        <w:pStyle w:val="BodyText"/>
        <w:rPr>
          <w:sz w:val="20"/>
        </w:rPr>
      </w:pPr>
    </w:p>
    <w:p>
      <w:pPr>
        <w:pStyle w:val="BodyText"/>
        <w:spacing w:before="10"/>
        <w:rPr>
          <w:sz w:val="27"/>
        </w:rPr>
      </w:pPr>
      <w:r>
        <w:rPr/>
        <w:drawing>
          <wp:anchor distT="0" distB="0" distL="0" distR="0" allowOverlap="1" layoutInCell="1" locked="0" behindDoc="0" simplePos="0" relativeHeight="6376">
            <wp:simplePos x="0" y="0"/>
            <wp:positionH relativeFrom="page">
              <wp:posOffset>1080135</wp:posOffset>
            </wp:positionH>
            <wp:positionV relativeFrom="paragraph">
              <wp:posOffset>228484</wp:posOffset>
            </wp:positionV>
            <wp:extent cx="2725310" cy="2334577"/>
            <wp:effectExtent l="0" t="0" r="0" b="0"/>
            <wp:wrapTopAndBottom/>
            <wp:docPr id="105" name="image145.jpeg" descr=""/>
            <wp:cNvGraphicFramePr>
              <a:graphicFrameLocks noChangeAspect="1"/>
            </wp:cNvGraphicFramePr>
            <a:graphic>
              <a:graphicData uri="http://schemas.openxmlformats.org/drawingml/2006/picture">
                <pic:pic>
                  <pic:nvPicPr>
                    <pic:cNvPr id="106" name="image145.jpeg"/>
                    <pic:cNvPicPr/>
                  </pic:nvPicPr>
                  <pic:blipFill>
                    <a:blip r:embed="rId165" cstate="print"/>
                    <a:stretch>
                      <a:fillRect/>
                    </a:stretch>
                  </pic:blipFill>
                  <pic:spPr>
                    <a:xfrm>
                      <a:off x="0" y="0"/>
                      <a:ext cx="2725310" cy="2334577"/>
                    </a:xfrm>
                    <a:prstGeom prst="rect">
                      <a:avLst/>
                    </a:prstGeom>
                  </pic:spPr>
                </pic:pic>
              </a:graphicData>
            </a:graphic>
          </wp:anchor>
        </w:drawing>
      </w:r>
      <w:r>
        <w:rPr/>
        <w:drawing>
          <wp:anchor distT="0" distB="0" distL="0" distR="0" allowOverlap="1" layoutInCell="1" locked="0" behindDoc="0" simplePos="0" relativeHeight="6400">
            <wp:simplePos x="0" y="0"/>
            <wp:positionH relativeFrom="page">
              <wp:posOffset>4047490</wp:posOffset>
            </wp:positionH>
            <wp:positionV relativeFrom="paragraph">
              <wp:posOffset>254011</wp:posOffset>
            </wp:positionV>
            <wp:extent cx="2704490" cy="2331720"/>
            <wp:effectExtent l="0" t="0" r="0" b="0"/>
            <wp:wrapTopAndBottom/>
            <wp:docPr id="107" name="image146.jpeg" descr=""/>
            <wp:cNvGraphicFramePr>
              <a:graphicFrameLocks noChangeAspect="1"/>
            </wp:cNvGraphicFramePr>
            <a:graphic>
              <a:graphicData uri="http://schemas.openxmlformats.org/drawingml/2006/picture">
                <pic:pic>
                  <pic:nvPicPr>
                    <pic:cNvPr id="108" name="image146.jpeg"/>
                    <pic:cNvPicPr/>
                  </pic:nvPicPr>
                  <pic:blipFill>
                    <a:blip r:embed="rId166" cstate="print"/>
                    <a:stretch>
                      <a:fillRect/>
                    </a:stretch>
                  </pic:blipFill>
                  <pic:spPr>
                    <a:xfrm>
                      <a:off x="0" y="0"/>
                      <a:ext cx="2704490" cy="2331720"/>
                    </a:xfrm>
                    <a:prstGeom prst="rect">
                      <a:avLst/>
                    </a:prstGeom>
                  </pic:spPr>
                </pic:pic>
              </a:graphicData>
            </a:graphic>
          </wp:anchor>
        </w:drawing>
      </w:r>
    </w:p>
    <w:p>
      <w:pPr>
        <w:spacing w:after="0"/>
        <w:rPr>
          <w:sz w:val="27"/>
        </w:rPr>
        <w:sectPr>
          <w:pgSz w:w="11900" w:h="16850"/>
          <w:pgMar w:header="712" w:footer="0" w:top="1020" w:bottom="280" w:left="1600" w:right="1020"/>
        </w:sectPr>
      </w:pPr>
    </w:p>
    <w:p>
      <w:pPr>
        <w:pStyle w:val="BodyText"/>
        <w:rPr>
          <w:sz w:val="20"/>
        </w:rPr>
      </w:pPr>
    </w:p>
    <w:p>
      <w:pPr>
        <w:pStyle w:val="BodyText"/>
        <w:rPr>
          <w:sz w:val="20"/>
        </w:rPr>
      </w:pPr>
    </w:p>
    <w:p>
      <w:pPr>
        <w:pStyle w:val="BodyText"/>
        <w:tabs>
          <w:tab w:pos="1596" w:val="left" w:leader="none"/>
          <w:tab w:pos="3636" w:val="left" w:leader="none"/>
          <w:tab w:pos="4996" w:val="left" w:leader="none"/>
          <w:tab w:pos="5447" w:val="left" w:leader="none"/>
          <w:tab w:pos="6820" w:val="left" w:leader="none"/>
          <w:tab w:pos="7724" w:val="left" w:leader="none"/>
        </w:tabs>
        <w:spacing w:line="360" w:lineRule="auto" w:before="224"/>
        <w:ind w:left="102" w:right="108"/>
      </w:pPr>
      <w:r>
        <w:rPr/>
        <w:t>Учитывая</w:t>
        <w:tab/>
        <w:t>операционные</w:t>
        <w:tab/>
        <w:t>находки,</w:t>
        <w:tab/>
        <w:t>9</w:t>
        <w:tab/>
        <w:t>больным</w:t>
        <w:tab/>
        <w:t>была</w:t>
        <w:tab/>
      </w:r>
      <w:r>
        <w:rPr>
          <w:spacing w:val="-1"/>
        </w:rPr>
        <w:t>продолжена </w:t>
      </w:r>
      <w:r>
        <w:rPr/>
        <w:t>химиотерапия и одной назначен курс дистанционной</w:t>
      </w:r>
      <w:r>
        <w:rPr>
          <w:spacing w:val="-20"/>
        </w:rPr>
        <w:t> </w:t>
      </w:r>
      <w:r>
        <w:rPr/>
        <w:t>гамма-терапии.</w:t>
      </w:r>
    </w:p>
    <w:p>
      <w:pPr>
        <w:pStyle w:val="BodyText"/>
        <w:spacing w:line="360" w:lineRule="auto" w:before="207"/>
        <w:ind w:left="102" w:right="98" w:firstLine="347"/>
        <w:jc w:val="both"/>
      </w:pPr>
      <w:r>
        <w:rPr/>
        <w:t>Таким образом, у больных, находящихся в состоянии клинической ремиссии после проведенного адекватного комбинированного лечения, в каждом третьем наблюдении при выполнении операции «Second-look» выявлен  продолженный опухолевый рост.</w:t>
      </w:r>
    </w:p>
    <w:p>
      <w:pPr>
        <w:pStyle w:val="BodyText"/>
        <w:spacing w:line="360" w:lineRule="auto" w:before="207"/>
        <w:ind w:left="102" w:right="105" w:firstLine="278"/>
        <w:jc w:val="both"/>
      </w:pPr>
      <w:r>
        <w:rPr/>
        <w:t>Промежуточные циторедуктивные операции в нашем исследовании были выполнены 193 пациенткам (49,6%) после нерадикальной или пробной операции и нескольких курсов химиотерапии. Только у 87 больных (45,1%) этой группы удалось выполнить радикальный объем оперативного</w:t>
      </w:r>
      <w:r>
        <w:rPr>
          <w:spacing w:val="-7"/>
        </w:rPr>
        <w:t> </w:t>
      </w:r>
      <w:r>
        <w:rPr/>
        <w:t>вмешательства.</w:t>
      </w:r>
    </w:p>
    <w:p>
      <w:pPr>
        <w:pStyle w:val="BodyText"/>
        <w:spacing w:line="360" w:lineRule="auto" w:before="204"/>
        <w:ind w:left="102" w:right="99" w:firstLine="278"/>
        <w:jc w:val="both"/>
      </w:pPr>
      <w:r>
        <w:rPr/>
        <w:t>Вторичные циторедуктивные операции выполнены у 138 больных опухолями яичников (35,5%) случаев. Причем, у 65 из них при подозрении на рецидив заболевания после первичного лечения, и у 73 больных - при локальном рецидиве заболевания, возникшим после комбинированного лечения спустя год и более после окончания первичного лечения с целью удаления основных опухолевых масс и уточнения степени  распространения процесса. У 18 из 65 (27,7%) больных, оперированных в связи с подозрением на рецидив заболевания данных за возобновление роста опухоли не получено. У 47 из 65 больных (72,3%) рецидив подтвержден. Повторная циторедуктивная операция предпринималась при явном рецидиве опухоли у 173 больных с целью уточнения степени распространения процесса, а при технической доступности - удаления рецидивных узлов. Полную циторедукцию удалось выполнить у 25 (14,5%) больных, оптимальную и субоптимальную- у 94</w:t>
      </w:r>
      <w:r>
        <w:rPr>
          <w:spacing w:val="-14"/>
        </w:rPr>
        <w:t> </w:t>
      </w:r>
      <w:r>
        <w:rPr/>
        <w:t>(54,3%).</w:t>
      </w:r>
    </w:p>
    <w:p>
      <w:pPr>
        <w:pStyle w:val="BodyText"/>
        <w:spacing w:line="360" w:lineRule="auto" w:before="207"/>
        <w:ind w:left="102" w:right="109" w:firstLine="278"/>
        <w:jc w:val="both"/>
      </w:pPr>
      <w:r>
        <w:rPr/>
        <w:t>В последней группе, включившей 36 больных (9,2%) повторные чревосечения были выполнены в связи с хирургической патологией,</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tabs>
          <w:tab w:pos="1876" w:val="left" w:leader="none"/>
          <w:tab w:pos="3843" w:val="left" w:leader="none"/>
          <w:tab w:pos="5513" w:val="left" w:leader="none"/>
          <w:tab w:pos="7887" w:val="left" w:leader="none"/>
          <w:tab w:pos="8570" w:val="left" w:leader="none"/>
        </w:tabs>
        <w:spacing w:line="360" w:lineRule="auto" w:before="224"/>
        <w:ind w:left="102" w:right="107"/>
      </w:pPr>
      <w:r>
        <w:rPr/>
        <w:t>требующей</w:t>
        <w:tab/>
        <w:t>лапаротомии</w:t>
        <w:tab/>
        <w:t>(кишечная</w:t>
        <w:tab/>
        <w:t>непроходимость</w:t>
        <w:tab/>
        <w:t>на</w:t>
        <w:tab/>
        <w:t>фоне генерализации опухолевого</w:t>
      </w:r>
      <w:r>
        <w:rPr>
          <w:spacing w:val="-10"/>
        </w:rPr>
        <w:t> </w:t>
      </w:r>
      <w:r>
        <w:rPr/>
        <w:t>процесса).</w:t>
      </w:r>
    </w:p>
    <w:p>
      <w:pPr>
        <w:pStyle w:val="BodyText"/>
        <w:spacing w:line="360" w:lineRule="auto" w:before="207"/>
        <w:ind w:left="102" w:right="99" w:firstLine="347"/>
        <w:jc w:val="both"/>
      </w:pPr>
      <w:r>
        <w:rPr/>
        <w:t>При сопоставлении показателей отдаленных результатов лечения больных подвергавшихся и не подвергавшихся повторным операциям мы получили следующие результаты (Рис. 5.5).</w:t>
      </w:r>
    </w:p>
    <w:p>
      <w:pPr>
        <w:pStyle w:val="BodyText"/>
        <w:spacing w:before="207"/>
        <w:ind w:left="7757"/>
      </w:pPr>
      <w:r>
        <w:rPr/>
        <w:t>Рисунок 5.5</w:t>
      </w:r>
    </w:p>
    <w:p>
      <w:pPr>
        <w:pStyle w:val="BodyText"/>
        <w:rPr>
          <w:sz w:val="30"/>
        </w:rPr>
      </w:pPr>
    </w:p>
    <w:p>
      <w:pPr>
        <w:pStyle w:val="BodyText"/>
        <w:rPr>
          <w:sz w:val="30"/>
        </w:rPr>
      </w:pPr>
    </w:p>
    <w:p>
      <w:pPr>
        <w:pStyle w:val="BodyText"/>
        <w:spacing w:before="9"/>
        <w:rPr>
          <w:sz w:val="30"/>
        </w:rPr>
      </w:pPr>
    </w:p>
    <w:p>
      <w:pPr>
        <w:pStyle w:val="BodyText"/>
        <w:ind w:left="1678"/>
      </w:pPr>
      <w:r>
        <w:rPr/>
        <w:t>5-летняя выживаемость больных раком яичников</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00" w:h="16850"/>
          <w:pgMar w:header="712" w:footer="0" w:top="1020" w:bottom="280" w:left="1600" w:right="1020"/>
        </w:sectPr>
      </w:pPr>
    </w:p>
    <w:p>
      <w:pPr>
        <w:pStyle w:val="BodyText"/>
        <w:rPr>
          <w:sz w:val="22"/>
        </w:rPr>
      </w:pPr>
    </w:p>
    <w:p>
      <w:pPr>
        <w:spacing w:before="179"/>
        <w:ind w:left="160" w:right="0" w:firstLine="0"/>
        <w:jc w:val="left"/>
        <w:rPr>
          <w:rFonts w:ascii="Arial" w:hAnsi="Arial"/>
          <w:sz w:val="20"/>
        </w:rPr>
      </w:pPr>
      <w:r>
        <w:rPr>
          <w:rFonts w:ascii="Arial" w:hAnsi="Arial"/>
          <w:sz w:val="20"/>
        </w:rPr>
        <w:t>Число больных</w:t>
      </w:r>
      <w:r>
        <w:rPr>
          <w:rFonts w:ascii="Arial" w:hAnsi="Arial"/>
          <w:spacing w:val="-8"/>
          <w:sz w:val="20"/>
        </w:rPr>
        <w:t> </w:t>
      </w:r>
      <w:r>
        <w:rPr>
          <w:rFonts w:ascii="Arial" w:hAnsi="Arial"/>
          <w:sz w:val="20"/>
        </w:rPr>
        <w:t>%</w:t>
      </w:r>
    </w:p>
    <w:p>
      <w:pPr>
        <w:pStyle w:val="BodyText"/>
        <w:spacing w:before="10"/>
        <w:rPr>
          <w:rFonts w:ascii="Arial"/>
          <w:sz w:val="18"/>
        </w:rPr>
      </w:pPr>
      <w:r>
        <w:rPr/>
        <w:br w:type="column"/>
      </w:r>
      <w:r>
        <w:rPr>
          <w:rFonts w:ascii="Arial"/>
          <w:sz w:val="18"/>
        </w:rPr>
      </w:r>
    </w:p>
    <w:p>
      <w:pPr>
        <w:spacing w:before="1"/>
        <w:ind w:left="59" w:right="0" w:firstLine="0"/>
        <w:jc w:val="center"/>
        <w:rPr>
          <w:rFonts w:ascii="Arial"/>
          <w:sz w:val="22"/>
        </w:rPr>
      </w:pPr>
      <w:r>
        <w:rPr>
          <w:rFonts w:ascii="Arial"/>
          <w:sz w:val="22"/>
        </w:rPr>
        <w:t>100</w:t>
      </w:r>
    </w:p>
    <w:p>
      <w:pPr>
        <w:pStyle w:val="BodyText"/>
        <w:spacing w:before="11"/>
        <w:rPr>
          <w:rFonts w:ascii="Arial"/>
          <w:sz w:val="22"/>
        </w:rPr>
      </w:pPr>
    </w:p>
    <w:p>
      <w:pPr>
        <w:spacing w:before="0"/>
        <w:ind w:left="185" w:right="0" w:firstLine="0"/>
        <w:jc w:val="center"/>
        <w:rPr>
          <w:rFonts w:ascii="Arial"/>
          <w:sz w:val="22"/>
        </w:rPr>
      </w:pPr>
      <w:r>
        <w:rPr>
          <w:rFonts w:ascii="Arial"/>
          <w:sz w:val="22"/>
        </w:rPr>
        <w:t>80</w:t>
      </w:r>
    </w:p>
    <w:p>
      <w:pPr>
        <w:pStyle w:val="BodyText"/>
        <w:spacing w:before="10"/>
        <w:rPr>
          <w:rFonts w:ascii="Arial"/>
          <w:sz w:val="22"/>
        </w:rPr>
      </w:pPr>
    </w:p>
    <w:p>
      <w:pPr>
        <w:spacing w:before="1"/>
        <w:ind w:left="185" w:right="0" w:firstLine="0"/>
        <w:jc w:val="center"/>
        <w:rPr>
          <w:rFonts w:ascii="Arial"/>
          <w:sz w:val="22"/>
        </w:rPr>
      </w:pPr>
      <w:r>
        <w:rPr>
          <w:rFonts w:ascii="Arial"/>
          <w:sz w:val="22"/>
        </w:rPr>
        <w:t>60</w:t>
      </w:r>
    </w:p>
    <w:p>
      <w:pPr>
        <w:pStyle w:val="BodyText"/>
        <w:rPr>
          <w:rFonts w:ascii="Arial"/>
          <w:sz w:val="22"/>
        </w:rPr>
      </w:pPr>
      <w:r>
        <w:rPr/>
        <w:br w:type="column"/>
      </w:r>
      <w:r>
        <w:rPr>
          <w:rFonts w:ascii="Arial"/>
          <w:sz w:val="22"/>
        </w:rPr>
      </w:r>
    </w:p>
    <w:p>
      <w:pPr>
        <w:spacing w:before="180"/>
        <w:ind w:left="160" w:right="0" w:firstLine="0"/>
        <w:jc w:val="left"/>
        <w:rPr>
          <w:rFonts w:ascii="Arial" w:hAnsi="Arial"/>
          <w:sz w:val="20"/>
        </w:rPr>
      </w:pPr>
      <w:r>
        <w:rPr>
          <w:rFonts w:ascii="Arial" w:hAnsi="Arial"/>
          <w:sz w:val="20"/>
        </w:rPr>
        <w:t>Основная</w:t>
      </w:r>
    </w:p>
    <w:p>
      <w:pPr>
        <w:pStyle w:val="BodyText"/>
        <w:rPr>
          <w:rFonts w:ascii="Arial"/>
          <w:sz w:val="22"/>
        </w:rPr>
      </w:pPr>
    </w:p>
    <w:p>
      <w:pPr>
        <w:pStyle w:val="BodyText"/>
        <w:spacing w:before="6"/>
        <w:rPr>
          <w:rFonts w:ascii="Arial"/>
          <w:sz w:val="19"/>
        </w:rPr>
      </w:pPr>
    </w:p>
    <w:p>
      <w:pPr>
        <w:spacing w:before="0"/>
        <w:ind w:left="160" w:right="0" w:firstLine="0"/>
        <w:jc w:val="left"/>
        <w:rPr>
          <w:rFonts w:ascii="Arial" w:hAnsi="Arial"/>
          <w:sz w:val="20"/>
        </w:rPr>
      </w:pPr>
      <w:r>
        <w:rPr/>
        <w:pict>
          <v:group style="position:absolute;margin-left:462.730011pt;margin-top:-32.578831pt;width:6.05pt;height:6.05pt;mso-position-horizontal-relative:page;mso-position-vertical-relative:paragraph;z-index:6448" coordorigin="9255,-652" coordsize="121,121">
            <v:rect style="position:absolute;left:9265;top:-642;width:101;height:101" filled="true" fillcolor="#62aafd" stroked="false">
              <v:fill type="solid"/>
            </v:rect>
            <v:rect style="position:absolute;left:9265;top:-642;width:101;height:101" filled="false" stroked="true" strokeweight=".99945pt" strokecolor="#000000">
              <v:stroke dashstyle="solid"/>
            </v:rect>
            <w10:wrap type="none"/>
          </v:group>
        </w:pict>
      </w:r>
      <w:r>
        <w:rPr/>
        <w:pict>
          <v:group style="position:absolute;margin-left:462.730011pt;margin-top:2.821169pt;width:6.05pt;height:6.05pt;mso-position-horizontal-relative:page;mso-position-vertical-relative:paragraph;z-index:6472" coordorigin="9255,56" coordsize="121,121">
            <v:rect style="position:absolute;left:9265;top:66;width:101;height:101" filled="true" fillcolor="#c0504d" stroked="false">
              <v:fill type="solid"/>
            </v:rect>
            <v:rect style="position:absolute;left:9265;top:66;width:101;height:101" filled="false" stroked="true" strokeweight=".99945pt" strokecolor="#000000">
              <v:stroke dashstyle="solid"/>
            </v:rect>
            <w10:wrap type="none"/>
          </v:group>
        </w:pict>
      </w:r>
      <w:r>
        <w:rPr>
          <w:rFonts w:ascii="Arial" w:hAnsi="Arial"/>
          <w:sz w:val="20"/>
        </w:rPr>
        <w:t>Контрольная</w:t>
      </w:r>
    </w:p>
    <w:p>
      <w:pPr>
        <w:spacing w:after="0"/>
        <w:jc w:val="left"/>
        <w:rPr>
          <w:rFonts w:ascii="Arial" w:hAnsi="Arial"/>
          <w:sz w:val="20"/>
        </w:rPr>
        <w:sectPr>
          <w:type w:val="continuous"/>
          <w:pgSz w:w="11900" w:h="16850"/>
          <w:pgMar w:top="1020" w:bottom="280" w:left="1600" w:right="1020"/>
          <w:cols w:num="3" w:equalWidth="0">
            <w:col w:w="1820" w:space="40"/>
            <w:col w:w="430" w:space="5359"/>
            <w:col w:w="1631"/>
          </w:cols>
        </w:sectPr>
      </w:pPr>
    </w:p>
    <w:p>
      <w:pPr>
        <w:pStyle w:val="BodyText"/>
        <w:spacing w:before="9"/>
        <w:rPr>
          <w:rFonts w:ascii="Arial"/>
          <w:sz w:val="14"/>
        </w:rPr>
      </w:pPr>
    </w:p>
    <w:p>
      <w:pPr>
        <w:spacing w:before="94"/>
        <w:ind w:left="2044" w:right="0" w:firstLine="0"/>
        <w:jc w:val="left"/>
        <w:rPr>
          <w:rFonts w:ascii="Arial"/>
          <w:sz w:val="22"/>
        </w:rPr>
      </w:pPr>
      <w:r>
        <w:rPr/>
        <w:pict>
          <v:group style="position:absolute;margin-left:200.485001pt;margin-top:-73.252129pt;width:246.4pt;height:139.1pt;mso-position-horizontal-relative:page;mso-position-vertical-relative:paragraph;z-index:6424" coordorigin="4010,-1465" coordsize="4928,2782">
            <v:shape style="position:absolute;left:4041;top:-1465;width:4896;height:2750" type="#_x0000_t75" stroked="false">
              <v:imagedata r:id="rId167" o:title=""/>
            </v:shape>
            <v:shape style="position:absolute;left:4012;top:-1331;width:4766;height:2645" coordorigin="4012,-1331" coordsize="4766,2645" path="m4079,1253l4012,1253m4079,736l4012,736m4079,220l4012,220m4079,-299l4012,-299m4079,-815l4012,-815m4079,-1331l4012,-1331m4079,1254l4079,1314m5018,1254l5018,1314m5959,1254l5959,1314m6899,1254l6899,1314m7838,1254l7838,1314m8778,1254l8778,1314e" filled="false" stroked="true" strokeweight=".24984pt" strokecolor="#000000">
              <v:path arrowok="t"/>
              <v:stroke dashstyle="solid"/>
            </v:shape>
            <w10:wrap type="none"/>
          </v:group>
        </w:pict>
      </w:r>
      <w:r>
        <w:rPr>
          <w:rFonts w:ascii="Arial"/>
          <w:sz w:val="22"/>
        </w:rPr>
        <w:t>40</w:t>
      </w:r>
    </w:p>
    <w:p>
      <w:pPr>
        <w:pStyle w:val="BodyText"/>
        <w:spacing w:before="9"/>
        <w:rPr>
          <w:rFonts w:ascii="Arial"/>
          <w:sz w:val="14"/>
        </w:rPr>
      </w:pPr>
    </w:p>
    <w:p>
      <w:pPr>
        <w:spacing w:before="94"/>
        <w:ind w:left="2044" w:right="0" w:firstLine="0"/>
        <w:jc w:val="left"/>
        <w:rPr>
          <w:rFonts w:ascii="Arial"/>
          <w:sz w:val="22"/>
        </w:rPr>
      </w:pPr>
      <w:r>
        <w:rPr>
          <w:rFonts w:ascii="Arial"/>
          <w:sz w:val="22"/>
        </w:rPr>
        <w:t>20</w:t>
      </w:r>
    </w:p>
    <w:p>
      <w:pPr>
        <w:pStyle w:val="BodyText"/>
        <w:spacing w:before="9"/>
        <w:rPr>
          <w:rFonts w:ascii="Arial"/>
          <w:sz w:val="14"/>
        </w:rPr>
      </w:pPr>
    </w:p>
    <w:p>
      <w:pPr>
        <w:spacing w:line="250" w:lineRule="exact" w:before="94"/>
        <w:ind w:left="2165" w:right="0" w:firstLine="0"/>
        <w:jc w:val="left"/>
        <w:rPr>
          <w:rFonts w:ascii="Arial"/>
          <w:sz w:val="22"/>
        </w:rPr>
      </w:pPr>
      <w:r>
        <w:rPr>
          <w:rFonts w:ascii="Arial"/>
          <w:w w:val="100"/>
          <w:sz w:val="22"/>
        </w:rPr>
        <w:t>0</w:t>
      </w:r>
    </w:p>
    <w:p>
      <w:pPr>
        <w:tabs>
          <w:tab w:pos="3659" w:val="left" w:leader="none"/>
          <w:tab w:pos="4599" w:val="left" w:leader="none"/>
          <w:tab w:pos="5539" w:val="left" w:leader="none"/>
          <w:tab w:pos="6479" w:val="left" w:leader="none"/>
        </w:tabs>
        <w:spacing w:line="227" w:lineRule="exact" w:before="0"/>
        <w:ind w:left="2719" w:right="0" w:firstLine="0"/>
        <w:jc w:val="left"/>
        <w:rPr>
          <w:rFonts w:ascii="Arial" w:hAnsi="Arial"/>
          <w:sz w:val="20"/>
        </w:rPr>
      </w:pPr>
      <w:r>
        <w:rPr>
          <w:rFonts w:ascii="Arial" w:hAnsi="Arial"/>
          <w:sz w:val="20"/>
        </w:rPr>
        <w:t>1</w:t>
      </w:r>
      <w:r>
        <w:rPr>
          <w:rFonts w:ascii="Arial" w:hAnsi="Arial"/>
          <w:spacing w:val="-5"/>
          <w:sz w:val="20"/>
        </w:rPr>
        <w:t> </w:t>
      </w:r>
      <w:r>
        <w:rPr>
          <w:rFonts w:ascii="Arial" w:hAnsi="Arial"/>
          <w:sz w:val="20"/>
        </w:rPr>
        <w:t>год</w:t>
        <w:tab/>
        <w:t>2</w:t>
      </w:r>
      <w:r>
        <w:rPr>
          <w:rFonts w:ascii="Arial" w:hAnsi="Arial"/>
          <w:spacing w:val="-5"/>
          <w:sz w:val="20"/>
        </w:rPr>
        <w:t> </w:t>
      </w:r>
      <w:r>
        <w:rPr>
          <w:rFonts w:ascii="Arial" w:hAnsi="Arial"/>
          <w:sz w:val="20"/>
        </w:rPr>
        <w:t>год</w:t>
        <w:tab/>
        <w:t>3</w:t>
      </w:r>
      <w:r>
        <w:rPr>
          <w:rFonts w:ascii="Arial" w:hAnsi="Arial"/>
          <w:spacing w:val="-5"/>
          <w:sz w:val="20"/>
        </w:rPr>
        <w:t> </w:t>
      </w:r>
      <w:r>
        <w:rPr>
          <w:rFonts w:ascii="Arial" w:hAnsi="Arial"/>
          <w:sz w:val="20"/>
        </w:rPr>
        <w:t>год</w:t>
        <w:tab/>
        <w:t>4</w:t>
      </w:r>
      <w:r>
        <w:rPr>
          <w:rFonts w:ascii="Arial" w:hAnsi="Arial"/>
          <w:spacing w:val="-5"/>
          <w:sz w:val="20"/>
        </w:rPr>
        <w:t> </w:t>
      </w:r>
      <w:r>
        <w:rPr>
          <w:rFonts w:ascii="Arial" w:hAnsi="Arial"/>
          <w:sz w:val="20"/>
        </w:rPr>
        <w:t>год</w:t>
        <w:tab/>
        <w:t>5</w:t>
      </w:r>
      <w:r>
        <w:rPr>
          <w:rFonts w:ascii="Arial" w:hAnsi="Arial"/>
          <w:spacing w:val="-7"/>
          <w:sz w:val="20"/>
        </w:rPr>
        <w:t> </w:t>
      </w:r>
      <w:r>
        <w:rPr>
          <w:rFonts w:ascii="Arial" w:hAnsi="Arial"/>
          <w:sz w:val="20"/>
        </w:rPr>
        <w:t>год</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7"/>
        </w:rPr>
      </w:pPr>
    </w:p>
    <w:p>
      <w:pPr>
        <w:spacing w:before="94"/>
        <w:ind w:left="3282" w:right="0" w:firstLine="0"/>
        <w:jc w:val="left"/>
        <w:rPr>
          <w:rFonts w:ascii="Arial" w:hAnsi="Arial"/>
          <w:sz w:val="22"/>
        </w:rPr>
      </w:pPr>
      <w:r>
        <w:rPr>
          <w:rFonts w:ascii="Arial" w:hAnsi="Arial"/>
          <w:sz w:val="22"/>
        </w:rPr>
        <w:t>Выживаемость на конец каждого периода</w:t>
      </w:r>
    </w:p>
    <w:p>
      <w:pPr>
        <w:spacing w:after="0"/>
        <w:jc w:val="left"/>
        <w:rPr>
          <w:rFonts w:ascii="Arial" w:hAnsi="Arial"/>
          <w:sz w:val="22"/>
        </w:rPr>
        <w:sectPr>
          <w:type w:val="continuous"/>
          <w:pgSz w:w="11900" w:h="16850"/>
          <w:pgMar w:top="1020" w:bottom="280" w:left="1600" w:right="1020"/>
        </w:sectPr>
      </w:pPr>
    </w:p>
    <w:p>
      <w:pPr>
        <w:pStyle w:val="BodyText"/>
        <w:rPr>
          <w:rFonts w:ascii="Arial"/>
          <w:sz w:val="20"/>
        </w:rPr>
      </w:pPr>
    </w:p>
    <w:p>
      <w:pPr>
        <w:pStyle w:val="BodyText"/>
        <w:rPr>
          <w:rFonts w:ascii="Arial"/>
          <w:sz w:val="20"/>
        </w:rPr>
      </w:pPr>
    </w:p>
    <w:p>
      <w:pPr>
        <w:pStyle w:val="BodyText"/>
        <w:spacing w:line="360" w:lineRule="auto" w:before="224"/>
        <w:ind w:left="162" w:right="189" w:firstLine="139"/>
      </w:pPr>
      <w:r>
        <w:rPr/>
        <w:t>Достоверно более высокие показатели выживаемости больных основной группы были отмечены в течение всего периода наблюдений (Р&lt; 0,05).</w:t>
      </w:r>
    </w:p>
    <w:p>
      <w:pPr>
        <w:pStyle w:val="BodyText"/>
        <w:spacing w:line="360" w:lineRule="auto" w:before="207"/>
        <w:ind w:left="162" w:right="143" w:firstLine="278"/>
        <w:jc w:val="both"/>
      </w:pPr>
      <w:r>
        <w:rPr/>
        <w:t>При анализе отдаленных результатов лечения больных подтверждено, что 5-летняя выживаемость непосредственно зависит от  величины остатков опухолевых масс после выполненных повторных циторедуктивных операций (Табл. 5.22).</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0"/>
        <w:rPr>
          <w:sz w:val="44"/>
        </w:rPr>
      </w:pPr>
    </w:p>
    <w:p>
      <w:pPr>
        <w:pStyle w:val="BodyText"/>
        <w:spacing w:line="680" w:lineRule="atLeast" w:before="1"/>
        <w:ind w:left="786" w:right="125" w:firstLine="6887"/>
      </w:pPr>
      <w:r>
        <w:rPr/>
        <w:t>Таблица 5.22 Зависимость результатов лечения больных от величины остатков</w:t>
      </w:r>
    </w:p>
    <w:p>
      <w:pPr>
        <w:pStyle w:val="BodyText"/>
        <w:spacing w:before="161"/>
        <w:ind w:left="3651" w:right="3634"/>
        <w:jc w:val="center"/>
      </w:pPr>
      <w:r>
        <w:rPr/>
        <w:t>опухолевых масс</w:t>
      </w:r>
    </w:p>
    <w:p>
      <w:pPr>
        <w:pStyle w:val="BodyText"/>
        <w:spacing w:before="6"/>
        <w:rPr>
          <w:sz w:val="31"/>
        </w:rPr>
      </w:pPr>
    </w:p>
    <w:p>
      <w:pPr>
        <w:spacing w:before="1"/>
        <w:ind w:left="162" w:right="0" w:firstLine="0"/>
        <w:jc w:val="left"/>
        <w:rPr>
          <w:sz w:val="24"/>
        </w:rPr>
      </w:pPr>
      <w:r>
        <w:rPr>
          <w:sz w:val="24"/>
        </w:rPr>
        <w:t>-----------------------------------------------------------------------------------------------------------------</w:t>
      </w:r>
    </w:p>
    <w:p>
      <w:pPr>
        <w:tabs>
          <w:tab w:pos="3379" w:val="left" w:leader="none"/>
          <w:tab w:pos="5973" w:val="left" w:leader="none"/>
        </w:tabs>
        <w:spacing w:line="535" w:lineRule="auto" w:before="137"/>
        <w:ind w:left="162" w:right="979" w:firstLine="0"/>
        <w:jc w:val="left"/>
        <w:rPr>
          <w:sz w:val="24"/>
        </w:rPr>
      </w:pPr>
      <w:r>
        <w:rPr>
          <w:sz w:val="24"/>
        </w:rPr>
        <w:t>Величина</w:t>
        <w:tab/>
        <w:t>Число</w:t>
      </w:r>
      <w:r>
        <w:rPr>
          <w:spacing w:val="-1"/>
          <w:sz w:val="24"/>
        </w:rPr>
        <w:t> </w:t>
      </w:r>
      <w:r>
        <w:rPr>
          <w:sz w:val="24"/>
        </w:rPr>
        <w:t>больных</w:t>
        <w:tab/>
        <w:t>5-летняя</w:t>
      </w:r>
      <w:r>
        <w:rPr>
          <w:spacing w:val="-8"/>
          <w:sz w:val="24"/>
        </w:rPr>
        <w:t> </w:t>
      </w:r>
      <w:r>
        <w:rPr>
          <w:sz w:val="24"/>
        </w:rPr>
        <w:t>выживаемость</w:t>
      </w:r>
      <w:r>
        <w:rPr>
          <w:w w:val="99"/>
          <w:sz w:val="24"/>
        </w:rPr>
        <w:t> </w:t>
      </w:r>
      <w:r>
        <w:rPr>
          <w:sz w:val="24"/>
        </w:rPr>
        <w:t>остаточной</w:t>
      </w:r>
    </w:p>
    <w:p>
      <w:pPr>
        <w:spacing w:before="11"/>
        <w:ind w:left="162" w:right="0" w:firstLine="0"/>
        <w:jc w:val="left"/>
        <w:rPr>
          <w:sz w:val="24"/>
        </w:rPr>
      </w:pPr>
      <w:r>
        <w:rPr>
          <w:sz w:val="24"/>
        </w:rPr>
        <w:t>опухоли</w:t>
      </w:r>
    </w:p>
    <w:p>
      <w:pPr>
        <w:pStyle w:val="BodyText"/>
        <w:spacing w:before="4"/>
        <w:rPr>
          <w:sz w:val="29"/>
        </w:rPr>
      </w:pPr>
    </w:p>
    <w:p>
      <w:pPr>
        <w:spacing w:before="0"/>
        <w:ind w:left="162" w:right="0" w:firstLine="0"/>
        <w:jc w:val="left"/>
        <w:rPr>
          <w:sz w:val="24"/>
        </w:rPr>
      </w:pPr>
      <w:r>
        <w:rPr>
          <w:sz w:val="24"/>
        </w:rPr>
        <w:t>-----------------------------------------------------------------------------------------------------------------</w:t>
      </w:r>
    </w:p>
    <w:p>
      <w:pPr>
        <w:pStyle w:val="BodyText"/>
        <w:spacing w:before="9"/>
        <w:rPr>
          <w:sz w:val="12"/>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77"/>
        <w:gridCol w:w="2068"/>
        <w:gridCol w:w="1685"/>
      </w:tblGrid>
      <w:tr>
        <w:trPr>
          <w:trHeight w:val="440" w:hRule="exact"/>
        </w:trPr>
        <w:tc>
          <w:tcPr>
            <w:tcW w:w="2977" w:type="dxa"/>
          </w:tcPr>
          <w:p>
            <w:pPr>
              <w:pStyle w:val="TableParagraph"/>
              <w:spacing w:line="266" w:lineRule="exact"/>
              <w:ind w:left="50"/>
              <w:rPr>
                <w:sz w:val="24"/>
              </w:rPr>
            </w:pPr>
            <w:r>
              <w:rPr>
                <w:sz w:val="24"/>
              </w:rPr>
              <w:t>Без остатков опухоли</w:t>
            </w:r>
          </w:p>
        </w:tc>
        <w:tc>
          <w:tcPr>
            <w:tcW w:w="2068" w:type="dxa"/>
          </w:tcPr>
          <w:p>
            <w:pPr>
              <w:pStyle w:val="TableParagraph"/>
              <w:spacing w:line="266" w:lineRule="exact"/>
              <w:ind w:left="720"/>
              <w:rPr>
                <w:sz w:val="24"/>
              </w:rPr>
            </w:pPr>
            <w:r>
              <w:rPr>
                <w:sz w:val="24"/>
              </w:rPr>
              <w:t>112</w:t>
            </w:r>
          </w:p>
        </w:tc>
        <w:tc>
          <w:tcPr>
            <w:tcW w:w="1685" w:type="dxa"/>
          </w:tcPr>
          <w:p>
            <w:pPr>
              <w:pStyle w:val="TableParagraph"/>
              <w:spacing w:line="266" w:lineRule="exact"/>
              <w:ind w:right="69"/>
              <w:jc w:val="right"/>
              <w:rPr>
                <w:sz w:val="24"/>
              </w:rPr>
            </w:pPr>
            <w:r>
              <w:rPr>
                <w:sz w:val="24"/>
              </w:rPr>
              <w:t>72,0%</w:t>
            </w:r>
          </w:p>
        </w:tc>
      </w:tr>
      <w:tr>
        <w:trPr>
          <w:trHeight w:val="614" w:hRule="exact"/>
        </w:trPr>
        <w:tc>
          <w:tcPr>
            <w:tcW w:w="2977" w:type="dxa"/>
          </w:tcPr>
          <w:p>
            <w:pPr>
              <w:pStyle w:val="TableParagraph"/>
              <w:spacing w:before="164"/>
              <w:ind w:left="50"/>
              <w:rPr>
                <w:sz w:val="24"/>
              </w:rPr>
            </w:pPr>
            <w:r>
              <w:rPr>
                <w:sz w:val="24"/>
              </w:rPr>
              <w:t>Менее 2 см</w:t>
            </w:r>
          </w:p>
        </w:tc>
        <w:tc>
          <w:tcPr>
            <w:tcW w:w="2068" w:type="dxa"/>
          </w:tcPr>
          <w:p>
            <w:pPr>
              <w:pStyle w:val="TableParagraph"/>
              <w:spacing w:before="164"/>
              <w:ind w:left="752"/>
              <w:rPr>
                <w:sz w:val="24"/>
              </w:rPr>
            </w:pPr>
            <w:r>
              <w:rPr>
                <w:sz w:val="24"/>
              </w:rPr>
              <w:t>94</w:t>
            </w:r>
          </w:p>
        </w:tc>
        <w:tc>
          <w:tcPr>
            <w:tcW w:w="1685" w:type="dxa"/>
          </w:tcPr>
          <w:p>
            <w:pPr>
              <w:pStyle w:val="TableParagraph"/>
              <w:spacing w:before="164"/>
              <w:ind w:right="98"/>
              <w:jc w:val="right"/>
              <w:rPr>
                <w:sz w:val="24"/>
              </w:rPr>
            </w:pPr>
            <w:r>
              <w:rPr>
                <w:sz w:val="24"/>
              </w:rPr>
              <w:t>29,1%</w:t>
            </w:r>
          </w:p>
        </w:tc>
      </w:tr>
      <w:tr>
        <w:trPr>
          <w:trHeight w:val="440" w:hRule="exact"/>
        </w:trPr>
        <w:tc>
          <w:tcPr>
            <w:tcW w:w="2977" w:type="dxa"/>
          </w:tcPr>
          <w:p>
            <w:pPr>
              <w:pStyle w:val="TableParagraph"/>
              <w:spacing w:before="164"/>
              <w:ind w:left="50"/>
              <w:rPr>
                <w:sz w:val="24"/>
              </w:rPr>
            </w:pPr>
            <w:r>
              <w:rPr>
                <w:sz w:val="24"/>
              </w:rPr>
              <w:t>Более 2 см</w:t>
            </w:r>
          </w:p>
        </w:tc>
        <w:tc>
          <w:tcPr>
            <w:tcW w:w="2068" w:type="dxa"/>
          </w:tcPr>
          <w:p>
            <w:pPr>
              <w:pStyle w:val="TableParagraph"/>
              <w:spacing w:before="164"/>
              <w:ind w:left="743"/>
              <w:rPr>
                <w:sz w:val="24"/>
              </w:rPr>
            </w:pPr>
            <w:r>
              <w:rPr>
                <w:sz w:val="24"/>
              </w:rPr>
              <w:t>183</w:t>
            </w:r>
          </w:p>
        </w:tc>
        <w:tc>
          <w:tcPr>
            <w:tcW w:w="1685" w:type="dxa"/>
          </w:tcPr>
          <w:p>
            <w:pPr>
              <w:pStyle w:val="TableParagraph"/>
              <w:spacing w:before="164"/>
              <w:ind w:right="48"/>
              <w:jc w:val="right"/>
              <w:rPr>
                <w:sz w:val="24"/>
              </w:rPr>
            </w:pPr>
            <w:r>
              <w:rPr>
                <w:sz w:val="24"/>
              </w:rPr>
              <w:t>18,7%</w:t>
            </w:r>
          </w:p>
        </w:tc>
      </w:tr>
    </w:tbl>
    <w:p>
      <w:pPr>
        <w:pStyle w:val="BodyText"/>
        <w:rPr>
          <w:sz w:val="20"/>
        </w:rPr>
      </w:pPr>
    </w:p>
    <w:p>
      <w:pPr>
        <w:pStyle w:val="BodyText"/>
        <w:rPr>
          <w:sz w:val="20"/>
        </w:rPr>
      </w:pPr>
    </w:p>
    <w:p>
      <w:pPr>
        <w:pStyle w:val="BodyText"/>
        <w:spacing w:before="3"/>
        <w:rPr>
          <w:sz w:val="24"/>
        </w:rPr>
      </w:pPr>
      <w:r>
        <w:rPr/>
        <w:pict>
          <v:line style="position:absolute;mso-position-horizontal-relative:page;mso-position-vertical-relative:paragraph;z-index:6496;mso-wrap-distance-left:0;mso-wrap-distance-right:0" from="83.664001pt,16.286264pt" to="540.214001pt,16.286264pt" stroked="true" strokeweight=".71997pt" strokecolor="#000000">
            <v:stroke dashstyle="solid"/>
            <w10:wrap type="topAndBottom"/>
          </v:line>
        </w:pict>
      </w:r>
    </w:p>
    <w:p>
      <w:pPr>
        <w:spacing w:after="0"/>
        <w:rPr>
          <w:sz w:val="24"/>
        </w:rPr>
        <w:sectPr>
          <w:pgSz w:w="11900" w:h="16850"/>
          <w:pgMar w:header="712" w:footer="0" w:top="1020" w:bottom="280" w:left="1540" w:right="980"/>
        </w:sectPr>
      </w:pPr>
    </w:p>
    <w:p>
      <w:pPr>
        <w:pStyle w:val="BodyText"/>
        <w:rPr>
          <w:sz w:val="20"/>
        </w:rPr>
      </w:pPr>
    </w:p>
    <w:p>
      <w:pPr>
        <w:pStyle w:val="BodyText"/>
        <w:rPr>
          <w:sz w:val="20"/>
        </w:rPr>
      </w:pPr>
    </w:p>
    <w:p>
      <w:pPr>
        <w:pStyle w:val="BodyText"/>
        <w:spacing w:line="360" w:lineRule="auto" w:before="224"/>
        <w:ind w:left="102" w:right="101" w:firstLine="278"/>
        <w:jc w:val="both"/>
      </w:pPr>
      <w:r>
        <w:rPr/>
        <w:t>Существенное различие в выживаемости больных после различных по степени радикальности циторедуктивных операций заставляет задуматься  о целесообразности изменения принятой на сегодняшний день классификации. Нам представляется, что только полную циторедукцию следует считать оптимальной. Все же операции с остаточной опухолью более 2 см не оказывают влияния на продолжительность жизни больных и должны быть признаны</w:t>
      </w:r>
      <w:r>
        <w:rPr>
          <w:spacing w:val="-14"/>
        </w:rPr>
        <w:t> </w:t>
      </w:r>
      <w:r>
        <w:rPr/>
        <w:t>неоптимальными.</w:t>
      </w:r>
    </w:p>
    <w:p>
      <w:pPr>
        <w:pStyle w:val="BodyText"/>
        <w:tabs>
          <w:tab w:pos="8783" w:val="left" w:leader="none"/>
        </w:tabs>
        <w:spacing w:line="360" w:lineRule="auto" w:before="207"/>
        <w:ind w:left="102" w:right="101" w:firstLine="347"/>
        <w:jc w:val="both"/>
      </w:pPr>
      <w:r>
        <w:rPr/>
        <w:t>При   критическом   анализе   выполненных   за</w:t>
      </w:r>
      <w:r>
        <w:rPr>
          <w:spacing w:val="60"/>
        </w:rPr>
        <w:t> </w:t>
      </w:r>
      <w:r>
        <w:rPr/>
        <w:t>последние </w:t>
      </w:r>
      <w:r>
        <w:rPr>
          <w:spacing w:val="53"/>
        </w:rPr>
        <w:t> </w:t>
      </w:r>
      <w:r>
        <w:rPr/>
        <w:t>15</w:t>
        <w:tab/>
        <w:t>лет повторных лапаротомий у больных раком яичников можно увидеть, что больше трети из них носили диагностический характер и могли бы быть выполнены лапароскопическим доступом. Прежде всего это касается больных первой и третьей групп (таблица</w:t>
      </w:r>
      <w:r>
        <w:rPr>
          <w:spacing w:val="-14"/>
        </w:rPr>
        <w:t> </w:t>
      </w:r>
      <w:r>
        <w:rPr/>
        <w:t>5.21).</w:t>
      </w:r>
    </w:p>
    <w:p>
      <w:pPr>
        <w:pStyle w:val="BodyText"/>
        <w:spacing w:line="360" w:lineRule="auto" w:before="204"/>
        <w:ind w:left="102" w:right="102" w:firstLine="278"/>
        <w:jc w:val="both"/>
      </w:pPr>
      <w:r>
        <w:rPr/>
        <w:t>За последние 2 года широкого применения в клинике  лапароскопических методик в лечении онкогинекологических больных показания к выполнению повторных диагностических операций устанавливались всего лишь в 11 случаях. Приведем два клинических примера, подтверждающих необходимость выполнения диагностических лапароскопий в определенных клинических</w:t>
      </w:r>
      <w:r>
        <w:rPr>
          <w:spacing w:val="-17"/>
        </w:rPr>
        <w:t> </w:t>
      </w:r>
      <w:r>
        <w:rPr/>
        <w:t>ситуациях.</w:t>
      </w:r>
    </w:p>
    <w:p>
      <w:pPr>
        <w:pStyle w:val="BodyText"/>
        <w:spacing w:before="207"/>
        <w:ind w:left="102"/>
        <w:jc w:val="both"/>
      </w:pPr>
      <w:r>
        <w:rPr/>
        <w:t>Клинический случай №1.</w:t>
      </w:r>
    </w:p>
    <w:p>
      <w:pPr>
        <w:pStyle w:val="BodyText"/>
        <w:spacing w:before="3"/>
        <w:rPr>
          <w:sz w:val="31"/>
        </w:rPr>
      </w:pPr>
    </w:p>
    <w:p>
      <w:pPr>
        <w:pStyle w:val="BodyText"/>
        <w:spacing w:line="360" w:lineRule="auto"/>
        <w:ind w:left="102" w:right="99"/>
        <w:jc w:val="both"/>
      </w:pPr>
      <w:r>
        <w:rPr/>
        <w:t>Больная П., 63 года. Диагноз: рак яичников IIIb стадии с  поражением обоих яичников, опухолевыми имплантами по брюшине малого таза, метастазами в большой сальник. Выполнена оптимальная циторедуктивная операция в объеме: пангистерэктомия с удалением брюшины Дугласова пространства, оментэктомия. Проведена химиотерапия 1 линии препаратами Таксол+Карбоплатин – 6 курсов. Продолжительность ремиссии – 8 месяцев. На девятом месяце наблюдения зафиксирован рост маркера СА-125 до104 Ед/мл.</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302" w:right="99"/>
        <w:jc w:val="both"/>
      </w:pPr>
      <w:r>
        <w:rPr/>
        <w:t>Трижды в течение четырех месяцев выполнялось ультразвуковое исследование органов малого таза и брюшной полости, дважды магнитно- резонансная томография. Патология не выявлялась. На рентгенограммах органов грудной полости – без патологии. Продолжался рост маркера СА- 125, который к четвертому месяцу достиг 936 Ед/мл. Было принято решение о выполнении диагностической лапароскопии, при которой выявлено увеличение парааортальных и правых наружных подвздошных лимфатических узлов. Произведена конверсионная лапаротомия, поясничная и подвздошная лимфодиссекция. При гистологическом исследовании установлено метастатическое поражение четырех из 17 удаленных лимфатических узлов. Проведена вторая линия химиотерапии по той же схеме. После окончания лечения больная на протяжении года находится в состоянии клинической ремиссии (Рис. 5.6).</w:t>
      </w:r>
    </w:p>
    <w:p>
      <w:pPr>
        <w:pStyle w:val="BodyText"/>
        <w:spacing w:before="205"/>
        <w:ind w:right="101"/>
        <w:jc w:val="right"/>
      </w:pPr>
      <w:r>
        <w:rPr/>
        <w:t>Рисунок 5.6</w:t>
      </w:r>
    </w:p>
    <w:p>
      <w:pPr>
        <w:pStyle w:val="BodyText"/>
        <w:spacing w:before="5"/>
        <w:rPr>
          <w:sz w:val="31"/>
        </w:rPr>
      </w:pPr>
    </w:p>
    <w:p>
      <w:pPr>
        <w:pStyle w:val="BodyText"/>
        <w:ind w:left="3355"/>
      </w:pPr>
      <w:r>
        <w:rPr/>
        <w:t>Клинический случай №1</w:t>
      </w:r>
    </w:p>
    <w:p>
      <w:pPr>
        <w:pStyle w:val="BodyText"/>
        <w:spacing w:before="6"/>
        <w:rPr>
          <w:sz w:val="17"/>
        </w:rPr>
      </w:pPr>
      <w:r>
        <w:rPr/>
        <w:pict>
          <v:group style="position:absolute;margin-left:75.099998pt;margin-top:48.048523pt;width:65pt;height:56pt;mso-position-horizontal-relative:page;mso-position-vertical-relative:paragraph;z-index:6544;mso-wrap-distance-left:0;mso-wrap-distance-right:0" coordorigin="1502,961" coordsize="1300,1120">
            <v:shape style="position:absolute;left:1522;top:981;width:1260;height:1080" type="#_x0000_t75" stroked="false">
              <v:imagedata r:id="rId168" o:title=""/>
            </v:shape>
            <v:shape style="position:absolute;left:1522;top:981;width:1260;height:1080" coordorigin="1522,981" coordsize="1260,1080" path="m1702,981l1632,995,1575,1034,1536,1091,1522,1161,1522,1881,1536,1951,1575,2008,1632,2047,1702,2061,2602,2061,2672,2047,2729,2008,2768,1951,2782,1881,2782,1161,2768,1091,2729,1034,2672,995,2602,981,1702,981xe" filled="false" stroked="true" strokeweight="2pt" strokecolor="#233e5f">
              <v:path arrowok="t"/>
              <v:stroke dashstyle="solid"/>
            </v:shape>
            <v:shape style="position:absolute;left:1502;top:961;width:1300;height:1120" type="#_x0000_t202" filled="false" stroked="false">
              <v:textbox inset="0,0,0,0">
                <w:txbxContent>
                  <w:p>
                    <w:pPr>
                      <w:spacing w:before="156"/>
                      <w:ind w:left="272" w:right="267" w:hanging="1"/>
                      <w:jc w:val="center"/>
                      <w:rPr>
                        <w:rFonts w:ascii="Cambria" w:hAnsi="Cambria"/>
                        <w:sz w:val="24"/>
                      </w:rPr>
                    </w:pPr>
                    <w:r>
                      <w:rPr>
                        <w:rFonts w:ascii="Cambria" w:hAnsi="Cambria"/>
                        <w:sz w:val="24"/>
                      </w:rPr>
                      <w:t>Рак яични- ков</w:t>
                    </w:r>
                  </w:p>
                </w:txbxContent>
              </v:textbox>
              <w10:wrap type="none"/>
            </v:shape>
            <w10:wrap type="topAndBottom"/>
          </v:group>
        </w:pict>
      </w:r>
      <w:r>
        <w:rPr/>
        <w:pict>
          <v:group style="position:absolute;margin-left:147.050003pt;margin-top:57.048523pt;width:83pt;height:47pt;mso-position-horizontal-relative:page;mso-position-vertical-relative:paragraph;z-index:6592;mso-wrap-distance-left:0;mso-wrap-distance-right:0" coordorigin="2941,1141" coordsize="1660,940">
            <v:shape style="position:absolute;left:2961;top:1161;width:1620;height:900" type="#_x0000_t75" stroked="false">
              <v:imagedata r:id="rId169" o:title=""/>
            </v:shape>
            <v:shape style="position:absolute;left:2961;top:1161;width:1620;height:900" coordorigin="2961,1161" coordsize="1620,900" path="m3111,1161l3053,1173,3005,1205,2973,1253,2961,1311,2961,1911,2973,1969,3005,2017,3053,2049,3111,2061,4431,2061,4489,2049,4537,2017,4569,1969,4581,1911,4581,1311,4569,1253,4537,1205,4489,1173,4431,1161,3111,1161xe" filled="false" stroked="true" strokeweight="2pt" strokecolor="#233e5f">
              <v:path arrowok="t"/>
              <v:stroke dashstyle="solid"/>
            </v:shape>
            <v:shape style="position:absolute;left:2941;top:1141;width:1660;height:940" type="#_x0000_t202" filled="false" stroked="false">
              <v:textbox inset="0,0,0,0">
                <w:txbxContent>
                  <w:p>
                    <w:pPr>
                      <w:spacing w:line="281" w:lineRule="exact" w:before="149"/>
                      <w:ind w:left="405" w:right="0" w:firstLine="0"/>
                      <w:jc w:val="left"/>
                      <w:rPr>
                        <w:rFonts w:ascii="Cambria" w:hAnsi="Cambria"/>
                        <w:sz w:val="24"/>
                      </w:rPr>
                    </w:pPr>
                    <w:r>
                      <w:rPr>
                        <w:rFonts w:ascii="Cambria" w:hAnsi="Cambria"/>
                        <w:sz w:val="24"/>
                      </w:rPr>
                      <w:t>ПГЭ+ОЭ</w:t>
                    </w:r>
                  </w:p>
                  <w:p>
                    <w:pPr>
                      <w:spacing w:line="281" w:lineRule="exact" w:before="0"/>
                      <w:ind w:left="366" w:right="0" w:firstLine="0"/>
                      <w:jc w:val="left"/>
                      <w:rPr>
                        <w:rFonts w:ascii="Cambria" w:hAnsi="Cambria"/>
                        <w:sz w:val="24"/>
                      </w:rPr>
                    </w:pPr>
                    <w:r>
                      <w:rPr>
                        <w:rFonts w:ascii="Cambria" w:hAnsi="Cambria"/>
                        <w:sz w:val="24"/>
                      </w:rPr>
                      <w:t>6 курсов</w:t>
                    </w:r>
                  </w:p>
                </w:txbxContent>
              </v:textbox>
              <w10:wrap type="none"/>
            </v:shape>
            <w10:wrap type="topAndBottom"/>
          </v:group>
        </w:pict>
      </w:r>
      <w:r>
        <w:rPr/>
        <w:pict>
          <v:group style="position:absolute;margin-left:237.050003pt;margin-top:48.048523pt;width:83pt;height:58pt;mso-position-horizontal-relative:page;mso-position-vertical-relative:paragraph;z-index:6640;mso-wrap-distance-left:0;mso-wrap-distance-right:0" coordorigin="4741,961" coordsize="1660,1160">
            <v:shape style="position:absolute;left:4761;top:981;width:1620;height:1120" type="#_x0000_t75" stroked="false">
              <v:imagedata r:id="rId170" o:title=""/>
            </v:shape>
            <v:shape style="position:absolute;left:4761;top:981;width:1620;height:1120" coordorigin="4761,981" coordsize="1620,1120" path="m4948,981l4875,996,4816,1036,4776,1095,4761,1168,4761,1914,4776,1987,4816,2046,4875,2086,4948,2101,6194,2101,6267,2086,6326,2046,6366,1987,6381,1914,6381,1168,6366,1095,6326,1036,6267,996,6194,981,4948,981xe" filled="false" stroked="true" strokeweight="2pt" strokecolor="#233e5f">
              <v:path arrowok="t"/>
              <v:stroke dashstyle="solid"/>
            </v:shape>
            <v:shape style="position:absolute;left:4741;top:961;width:1660;height:1160" type="#_x0000_t202" filled="false" stroked="false">
              <v:textbox inset="0,0,0,0">
                <w:txbxContent>
                  <w:p>
                    <w:pPr>
                      <w:spacing w:line="240" w:lineRule="auto" w:before="7"/>
                      <w:rPr>
                        <w:sz w:val="26"/>
                      </w:rPr>
                    </w:pPr>
                  </w:p>
                  <w:p>
                    <w:pPr>
                      <w:spacing w:line="278" w:lineRule="exact" w:before="0"/>
                      <w:ind w:left="628" w:right="0" w:hanging="327"/>
                      <w:jc w:val="left"/>
                      <w:rPr>
                        <w:rFonts w:ascii="Cambria" w:hAnsi="Cambria"/>
                        <w:sz w:val="24"/>
                      </w:rPr>
                    </w:pPr>
                    <w:r>
                      <w:rPr>
                        <w:rFonts w:ascii="Cambria" w:hAnsi="Cambria"/>
                        <w:sz w:val="24"/>
                      </w:rPr>
                      <w:t>Наблюде- ние</w:t>
                    </w:r>
                  </w:p>
                </w:txbxContent>
              </v:textbox>
              <w10:wrap type="none"/>
            </v:shape>
            <w10:wrap type="topAndBottom"/>
          </v:group>
        </w:pict>
      </w:r>
      <w:r>
        <w:rPr/>
        <w:pict>
          <v:group style="position:absolute;margin-left:327.049988pt;margin-top:48.048523pt;width:65pt;height:56pt;mso-position-horizontal-relative:page;mso-position-vertical-relative:paragraph;z-index:6688;mso-wrap-distance-left:0;mso-wrap-distance-right:0" coordorigin="6541,961" coordsize="1300,1120">
            <v:shape style="position:absolute;left:6561;top:981;width:1260;height:1080" type="#_x0000_t75" stroked="false">
              <v:imagedata r:id="rId171" o:title=""/>
            </v:shape>
            <v:shape style="position:absolute;left:6561;top:981;width:1260;height:1080" coordorigin="6561,981" coordsize="1260,1080" path="m6741,981l6671,995,6614,1034,6575,1091,6561,1161,6561,1881,6575,1951,6614,2008,6671,2047,6741,2061,7641,2061,7711,2047,7768,2008,7807,1951,7821,1881,7821,1161,7807,1091,7768,1034,7711,995,7641,981,6741,981xe" filled="false" stroked="true" strokeweight="2pt" strokecolor="#233e5f">
              <v:path arrowok="t"/>
              <v:stroke dashstyle="solid"/>
            </v:shape>
            <v:shape style="position:absolute;left:6541;top:961;width:1300;height:1120" type="#_x0000_t202" filled="false" stroked="false">
              <v:textbox inset="0,0,0,0">
                <w:txbxContent>
                  <w:p>
                    <w:pPr>
                      <w:spacing w:before="156"/>
                      <w:ind w:left="449" w:right="251" w:hanging="104"/>
                      <w:jc w:val="left"/>
                      <w:rPr>
                        <w:rFonts w:ascii="Cambria" w:hAnsi="Cambria"/>
                        <w:sz w:val="24"/>
                      </w:rPr>
                    </w:pPr>
                    <w:r>
                      <w:rPr>
                        <w:rFonts w:ascii="Cambria" w:hAnsi="Cambria"/>
                        <w:sz w:val="24"/>
                      </w:rPr>
                      <w:t>Реци- див</w:t>
                    </w:r>
                  </w:p>
                </w:txbxContent>
              </v:textbox>
              <w10:wrap type="none"/>
            </v:shape>
            <w10:wrap type="topAndBottom"/>
          </v:group>
        </w:pict>
      </w:r>
      <w:r>
        <w:rPr/>
        <w:pict>
          <v:group style="position:absolute;margin-left:399.049988pt;margin-top:12.048524pt;width:65pt;height:89.6pt;mso-position-horizontal-relative:page;mso-position-vertical-relative:paragraph;z-index:6736;mso-wrap-distance-left:0;mso-wrap-distance-right:0" coordorigin="7981,241" coordsize="1300,1792">
            <v:shape style="position:absolute;left:8001;top:261;width:1260;height:1752" type="#_x0000_t75" stroked="false">
              <v:imagedata r:id="rId172" o:title=""/>
            </v:shape>
            <v:shape style="position:absolute;left:8001;top:261;width:1260;height:1752" coordorigin="8001,261" coordsize="1260,1752" path="m8211,261l8145,272,8087,301,8042,347,8012,405,8001,471,8001,1803,8012,1869,8042,1927,8087,1972,8145,2002,8211,2013,9051,2013,9117,2002,9175,1972,9220,1927,9250,1869,9261,1803,9261,471,9250,405,9220,347,9175,301,9117,272,9051,261,8211,261xe" filled="false" stroked="true" strokeweight="2pt" strokecolor="#233e5f">
              <v:path arrowok="t"/>
              <v:stroke dashstyle="solid"/>
            </v:shape>
            <v:shape style="position:absolute;left:7981;top:241;width:1300;height:1792" type="#_x0000_t202" filled="false" stroked="false">
              <v:textbox inset="0,0,0,0">
                <w:txbxContent>
                  <w:p>
                    <w:pPr>
                      <w:spacing w:line="240" w:lineRule="auto" w:before="0"/>
                      <w:rPr>
                        <w:sz w:val="29"/>
                      </w:rPr>
                    </w:pPr>
                  </w:p>
                  <w:p>
                    <w:pPr>
                      <w:spacing w:before="0"/>
                      <w:ind w:left="262" w:right="259" w:hanging="1"/>
                      <w:jc w:val="center"/>
                      <w:rPr>
                        <w:rFonts w:ascii="Cambria" w:hAnsi="Cambria"/>
                        <w:sz w:val="24"/>
                      </w:rPr>
                    </w:pPr>
                    <w:r>
                      <w:rPr>
                        <w:rFonts w:ascii="Cambria" w:hAnsi="Cambria"/>
                        <w:sz w:val="24"/>
                      </w:rPr>
                      <w:t>Опера- ция + 4 курса </w:t>
                    </w:r>
                    <w:r>
                      <w:rPr>
                        <w:rFonts w:ascii="Cambria" w:hAnsi="Cambria"/>
                        <w:color w:val="FFFFFF"/>
                        <w:sz w:val="24"/>
                      </w:rPr>
                      <w:t>ПХТ</w:t>
                    </w:r>
                  </w:p>
                </w:txbxContent>
              </v:textbox>
              <w10:wrap type="none"/>
            </v:shape>
            <w10:wrap type="topAndBottom"/>
          </v:group>
        </w:pict>
      </w:r>
      <w:r>
        <w:rPr/>
        <w:pict>
          <v:group style="position:absolute;margin-left:471.049988pt;margin-top:39.048523pt;width:65pt;height:45pt;mso-position-horizontal-relative:page;mso-position-vertical-relative:paragraph;z-index:6784;mso-wrap-distance-left:0;mso-wrap-distance-right:0" coordorigin="9421,781" coordsize="1300,900">
            <v:shape style="position:absolute;left:9441;top:801;width:1260;height:860" type="#_x0000_t75" stroked="false">
              <v:imagedata r:id="rId173" o:title=""/>
            </v:shape>
            <v:shape style="position:absolute;left:9441;top:801;width:1260;height:860" coordorigin="9441,801" coordsize="1260,860" path="m9584,801l9529,812,9483,843,9452,889,9441,944,9441,1518,9452,1573,9483,1619,9529,1650,9584,1661,10558,1661,10613,1650,10659,1619,10690,1573,10701,1518,10701,944,10690,889,10659,843,10613,812,10558,801,9584,801xe" filled="false" stroked="true" strokeweight="2pt" strokecolor="#233e5f">
              <v:path arrowok="t"/>
              <v:stroke dashstyle="solid"/>
            </v:shape>
            <v:shape style="position:absolute;left:9421;top:781;width:1300;height:900" type="#_x0000_t202" filled="false" stroked="false">
              <v:textbox inset="0,0,0,0">
                <w:txbxContent>
                  <w:p>
                    <w:pPr>
                      <w:spacing w:before="168"/>
                      <w:ind w:left="219" w:right="251" w:firstLine="0"/>
                      <w:jc w:val="left"/>
                      <w:rPr>
                        <w:rFonts w:ascii="Cambria" w:hAnsi="Cambria"/>
                        <w:sz w:val="24"/>
                      </w:rPr>
                    </w:pPr>
                    <w:r>
                      <w:rPr>
                        <w:rFonts w:ascii="Cambria" w:hAnsi="Cambria"/>
                        <w:sz w:val="24"/>
                      </w:rPr>
                      <w:t>Наблю- дение</w:t>
                    </w:r>
                  </w:p>
                </w:txbxContent>
              </v:textbox>
              <w10:wrap type="none"/>
            </v:shape>
            <w10:wrap type="topAndBottom"/>
          </v:group>
        </w:pict>
      </w:r>
    </w:p>
    <w:p>
      <w:pPr>
        <w:pStyle w:val="BodyText"/>
        <w:spacing w:before="10"/>
        <w:rPr>
          <w:sz w:val="7"/>
        </w:rPr>
      </w:pPr>
    </w:p>
    <w:p>
      <w:pPr>
        <w:pStyle w:val="BodyText"/>
        <w:ind w:left="281"/>
        <w:rPr>
          <w:sz w:val="20"/>
        </w:rPr>
      </w:pPr>
      <w:r>
        <w:rPr>
          <w:sz w:val="20"/>
        </w:rPr>
        <w:pict>
          <v:group style="width:452pt;height:83.35pt;mso-position-horizontal-relative:char;mso-position-vertical-relative:line" coordorigin="0,0" coordsize="9040,1667">
            <v:shape style="position:absolute;left:20;top:207;width:9000;height:1440" type="#_x0000_t75" stroked="false">
              <v:imagedata r:id="rId174" o:title=""/>
            </v:shape>
            <v:shape style="position:absolute;left:20;top:207;width:9000;height:1440" coordorigin="20,207" coordsize="9000,1440" path="m8300,207l8300,567,20,567,20,1287,8300,1287,8300,1647,9020,927,8300,207xe" filled="false" stroked="true" strokeweight="2pt" strokecolor="#233e5f">
              <v:path arrowok="t"/>
              <v:stroke dashstyle="solid"/>
            </v:shape>
            <v:rect style="position:absolute;left:920;top:567;width:2160;height:720" filled="true" fillcolor="#ff0000" stroked="false">
              <v:fill type="solid"/>
            </v:rect>
            <v:rect style="position:absolute;left:920;top:567;width:2160;height:720" filled="false" stroked="true" strokeweight="2pt" strokecolor="#233e5f">
              <v:stroke dashstyle="solid"/>
            </v:rect>
            <v:shape style="position:absolute;left:1018;top:0;width:186;height:540" coordorigin="1018,0" coordsize="186,540" path="m1040,357l1031,363,1021,368,1018,381,1024,390,1111,540,1134,500,1091,500,1091,426,1058,370,1053,360,1040,357xm1091,426l1091,500,1131,500,1131,490,1094,490,1111,461,1091,426xm1182,357l1169,360,1164,370,1131,426,1131,500,1134,500,1198,390,1204,381,1201,368,1191,363,1182,357xm1111,461l1094,490,1128,490,1111,461xm1131,426l1111,461,1128,490,1131,490,1131,426xm1131,0l1091,0,1091,426,1111,461,1131,426,1131,0xe" filled="true" fillcolor="#4579b8" stroked="false">
              <v:path arrowok="t"/>
              <v:fill type="solid"/>
            </v:shape>
            <v:rect style="position:absolute;left:5780;top:567;width:1800;height:720" filled="true" fillcolor="#ff0000" stroked="false">
              <v:fill type="solid"/>
            </v:rect>
            <v:rect style="position:absolute;left:5780;top:567;width:1800;height:720" filled="false" stroked="true" strokeweight="2pt" strokecolor="#233e5f">
              <v:stroke dashstyle="solid"/>
            </v:rect>
            <v:shape style="position:absolute;left:3178;top:0;width:186;height:540" coordorigin="3178,0" coordsize="186,540" path="m3200,357l3191,363,3181,368,3178,381,3184,390,3271,540,3294,500,3251,500,3251,426,3218,370,3213,360,3200,357xm3251,426l3251,500,3291,500,3291,490,3254,490,3271,461,3251,426xm3342,357l3329,360,3324,370,3291,426,3291,500,3294,500,3358,390,3364,381,3361,368,3351,363,3342,357xm3271,461l3254,490,3288,490,3271,461xm3291,426l3271,461,3288,490,3291,490,3291,426xm3291,0l3251,0,3251,426,3271,461,3291,426,3291,0xe" filled="true" fillcolor="#4579b8" stroked="false">
              <v:path arrowok="t"/>
              <v:fill type="solid"/>
            </v:shape>
            <v:shape style="position:absolute;left:5878;top:0;width:186;height:540" coordorigin="5878,0" coordsize="186,540" path="m5900,357l5891,363,5881,368,5878,381,5884,390,5971,540,5994,500,5951,500,5951,426,5918,370,5913,360,5900,357xm5951,426l5951,500,5991,500,5991,490,5954,490,5971,461,5951,426xm6042,357l6029,360,6024,370,5991,426,5991,500,5994,500,6058,390,6064,381,6061,368,6051,363,6042,357xm5971,461l5954,490,5988,490,5971,461xm5991,426l5971,461,5988,490,5991,490,5991,426xm5991,0l5951,0,5951,426,5971,461,5991,426,5991,0xe" filled="true" fillcolor="#4579b8" stroked="false">
              <v:path arrowok="t"/>
              <v:fill type="solid"/>
            </v:shape>
            <v:shape style="position:absolute;left:7498;top:0;width:186;height:540" coordorigin="7498,0" coordsize="186,540" path="m7520,357l7511,363,7501,368,7498,381,7504,390,7591,540,7614,500,7571,500,7571,426,7538,370,7533,360,7520,357xm7571,426l7571,500,7611,500,7611,490,7574,490,7591,461,7571,426xm7662,357l7649,360,7644,370,7611,426,7611,500,7614,500,7678,390,7684,381,7681,368,7671,363,7662,357xm7591,461l7574,490,7608,490,7591,461xm7611,426l7591,461,7608,490,7611,490,7611,426xm7611,0l7571,0,7571,426,7591,461,7611,426,7611,0xe" filled="true" fillcolor="#4579b8" stroked="false">
              <v:path arrowok="t"/>
              <v:fill type="solid"/>
            </v:shape>
          </v:group>
        </w:pict>
      </w:r>
      <w:r>
        <w:rPr>
          <w:sz w:val="20"/>
        </w:rPr>
      </w:r>
    </w:p>
    <w:p>
      <w:pPr>
        <w:pStyle w:val="BodyText"/>
        <w:rPr>
          <w:sz w:val="30"/>
        </w:rPr>
      </w:pPr>
    </w:p>
    <w:p>
      <w:pPr>
        <w:pStyle w:val="BodyText"/>
        <w:rPr>
          <w:sz w:val="30"/>
        </w:rPr>
      </w:pPr>
    </w:p>
    <w:p>
      <w:pPr>
        <w:pStyle w:val="BodyText"/>
        <w:rPr>
          <w:sz w:val="37"/>
        </w:rPr>
      </w:pPr>
    </w:p>
    <w:p>
      <w:pPr>
        <w:pStyle w:val="BodyText"/>
        <w:tabs>
          <w:tab w:pos="3333" w:val="left" w:leader="none"/>
          <w:tab w:pos="5784" w:val="left" w:leader="none"/>
          <w:tab w:pos="7956" w:val="left" w:leader="none"/>
        </w:tabs>
        <w:spacing w:before="1"/>
        <w:ind w:left="302"/>
        <w:jc w:val="both"/>
      </w:pPr>
      <w:r>
        <w:rPr/>
        <w:t>10.2013</w:t>
        <w:tab/>
        <w:t>4.2014</w:t>
        <w:tab/>
        <w:t>1.</w:t>
      </w:r>
      <w:r>
        <w:rPr>
          <w:spacing w:val="-1"/>
        </w:rPr>
        <w:t> </w:t>
      </w:r>
      <w:r>
        <w:rPr/>
        <w:t>2015</w:t>
        <w:tab/>
        <w:t>6.2015</w:t>
      </w:r>
    </w:p>
    <w:p>
      <w:pPr>
        <w:spacing w:after="0"/>
        <w:jc w:val="both"/>
        <w:sectPr>
          <w:pgSz w:w="11900" w:h="16850"/>
          <w:pgMar w:header="712" w:footer="0" w:top="1020" w:bottom="280" w:left="1400" w:right="1020"/>
        </w:sectPr>
      </w:pPr>
    </w:p>
    <w:p>
      <w:pPr>
        <w:pStyle w:val="BodyText"/>
        <w:rPr>
          <w:sz w:val="20"/>
        </w:rPr>
      </w:pPr>
    </w:p>
    <w:p>
      <w:pPr>
        <w:pStyle w:val="BodyText"/>
        <w:rPr>
          <w:sz w:val="20"/>
        </w:rPr>
      </w:pPr>
    </w:p>
    <w:p>
      <w:pPr>
        <w:pStyle w:val="BodyText"/>
        <w:spacing w:line="360" w:lineRule="auto" w:before="224"/>
        <w:ind w:left="102"/>
      </w:pPr>
      <w:r>
        <w:rPr/>
        <w:t>Этот случай демонстрирует важную роль диагностической лапароскопии в ранней диагностике рецидива заболевания.</w:t>
      </w:r>
    </w:p>
    <w:p>
      <w:pPr>
        <w:pStyle w:val="BodyText"/>
        <w:rPr>
          <w:sz w:val="30"/>
        </w:rPr>
      </w:pPr>
    </w:p>
    <w:p>
      <w:pPr>
        <w:pStyle w:val="BodyText"/>
        <w:rPr>
          <w:sz w:val="30"/>
        </w:rPr>
      </w:pPr>
    </w:p>
    <w:p>
      <w:pPr>
        <w:pStyle w:val="BodyText"/>
        <w:spacing w:before="198"/>
        <w:ind w:left="102"/>
      </w:pPr>
      <w:r>
        <w:rPr/>
        <w:t>Клинический случай №2.</w:t>
      </w:r>
    </w:p>
    <w:p>
      <w:pPr>
        <w:pStyle w:val="BodyText"/>
        <w:spacing w:before="4"/>
        <w:rPr>
          <w:sz w:val="31"/>
        </w:rPr>
      </w:pPr>
    </w:p>
    <w:p>
      <w:pPr>
        <w:pStyle w:val="BodyText"/>
        <w:spacing w:line="360" w:lineRule="auto" w:before="1"/>
        <w:ind w:left="102" w:right="99" w:firstLine="208"/>
        <w:jc w:val="both"/>
      </w:pPr>
      <w:r>
        <w:rPr/>
        <w:t>Больная С., 72 лет прооперирована в гинекологическом отделении общего профиля по поводу пограничной опухоли яичников III стадии в объеме пангистерэктомии, оментэктомии. В протоколе операции отмечен канцероматоз париетальной брюшины, подтвержденный результатами гистологического исследования. В гинекологическом отделении КНПЦСВМП(о) начата первая линия химиотерапии препаратом Карбоплатин. Проведено три курса с выраженной гематологической и нейротоксичностью. В связи с отказом пациентки от продолжения подобного лечения принято решение о выполнении диагностической лапароскопии для уточнения состояния опухолевого процесса. При ревизии органов брюшной полости обнаружено 6 измененных участков париетальной брюшины 0,5-1см в диаметре, крайне подозрительные на метастазы рака яичников. Эти участки брюшины были иссечены, а при их гистологическом исследовании обнаружена только фиброзная ткань. В результате выполненного вмешательства подтверждена клиническая ремиссия (Рис.</w:t>
      </w:r>
      <w:r>
        <w:rPr>
          <w:spacing w:val="-5"/>
        </w:rPr>
        <w:t> </w:t>
      </w:r>
      <w:r>
        <w:rPr/>
        <w:t>5.7).</w:t>
      </w:r>
    </w:p>
    <w:p>
      <w:pPr>
        <w:spacing w:after="0" w:line="360" w:lineRule="auto"/>
        <w:jc w:val="both"/>
        <w:sectPr>
          <w:headerReference w:type="default" r:id="rId175"/>
          <w:pgSz w:w="11900" w:h="16850"/>
          <w:pgMar w:header="712" w:footer="0" w:top="1020" w:bottom="280" w:left="1600" w:right="1020"/>
          <w:pgNumType w:start="250"/>
        </w:sectPr>
      </w:pPr>
    </w:p>
    <w:p>
      <w:pPr>
        <w:pStyle w:val="BodyText"/>
        <w:rPr>
          <w:sz w:val="20"/>
        </w:rPr>
      </w:pPr>
    </w:p>
    <w:p>
      <w:pPr>
        <w:pStyle w:val="BodyText"/>
        <w:rPr>
          <w:sz w:val="20"/>
        </w:rPr>
      </w:pPr>
    </w:p>
    <w:p>
      <w:pPr>
        <w:pStyle w:val="BodyText"/>
        <w:spacing w:before="224"/>
        <w:ind w:right="301"/>
        <w:jc w:val="right"/>
      </w:pPr>
      <w:r>
        <w:rPr/>
        <w:t>Рисунок 5.7</w:t>
      </w:r>
    </w:p>
    <w:p>
      <w:pPr>
        <w:pStyle w:val="BodyText"/>
        <w:spacing w:before="6"/>
        <w:rPr>
          <w:sz w:val="23"/>
        </w:rPr>
      </w:pPr>
    </w:p>
    <w:p>
      <w:pPr>
        <w:pStyle w:val="BodyText"/>
        <w:spacing w:before="89"/>
        <w:ind w:left="3155"/>
      </w:pPr>
      <w:r>
        <w:rPr/>
        <w:pict>
          <v:group style="position:absolute;margin-left:162.050003pt;margin-top:95.670288pt;width:92pt;height:56pt;mso-position-horizontal-relative:page;mso-position-vertical-relative:paragraph;z-index:-335272" coordorigin="3241,1913" coordsize="1840,1120">
            <v:shape style="position:absolute;left:3261;top:1933;width:1800;height:1080" type="#_x0000_t75" stroked="false">
              <v:imagedata r:id="rId176" o:title=""/>
            </v:shape>
            <v:shape style="position:absolute;left:3261;top:1933;width:1800;height:1080" coordorigin="3261,1933" coordsize="1800,1080" path="m3441,1933l3371,1948,3314,1986,3275,2043,3261,2113,3261,2833,3275,2903,3314,2961,3371,2999,3441,3013,4881,3013,4951,2999,5008,2961,5047,2903,5061,2833,5061,2113,5047,2043,5008,1986,4951,1948,4881,1933,3441,1933xe" filled="false" stroked="true" strokeweight="2pt" strokecolor="#233e5f">
              <v:path arrowok="t"/>
              <v:stroke dashstyle="solid"/>
            </v:shape>
            <v:shape style="position:absolute;left:3241;top:1913;width:1840;height:1120" type="#_x0000_t202" filled="false" stroked="false">
              <v:textbox inset="0,0,0,0">
                <w:txbxContent>
                  <w:p>
                    <w:pPr>
                      <w:spacing w:before="155"/>
                      <w:ind w:left="493" w:right="0" w:firstLine="0"/>
                      <w:jc w:val="left"/>
                      <w:rPr>
                        <w:rFonts w:ascii="Cambria" w:hAnsi="Cambria"/>
                        <w:sz w:val="24"/>
                      </w:rPr>
                    </w:pPr>
                    <w:r>
                      <w:rPr>
                        <w:rFonts w:ascii="Cambria" w:hAnsi="Cambria"/>
                        <w:sz w:val="24"/>
                      </w:rPr>
                      <w:t>ПГЭ+ОЭ</w:t>
                    </w:r>
                  </w:p>
                  <w:p>
                    <w:pPr>
                      <w:spacing w:before="1"/>
                      <w:ind w:left="679" w:right="463" w:hanging="195"/>
                      <w:jc w:val="left"/>
                      <w:rPr>
                        <w:rFonts w:ascii="Cambria" w:hAnsi="Cambria"/>
                        <w:sz w:val="24"/>
                      </w:rPr>
                    </w:pPr>
                    <w:r>
                      <w:rPr>
                        <w:rFonts w:ascii="Cambria" w:hAnsi="Cambria"/>
                        <w:sz w:val="24"/>
                      </w:rPr>
                      <w:t>+3курса МХТ</w:t>
                    </w:r>
                  </w:p>
                </w:txbxContent>
              </v:textbox>
              <w10:wrap type="none"/>
            </v:shape>
            <w10:wrap type="none"/>
          </v:group>
        </w:pict>
      </w:r>
      <w:r>
        <w:rPr/>
        <w:pict>
          <v:group style="position:absolute;margin-left:427.549988pt;margin-top:104.670288pt;width:83pt;height:47pt;mso-position-horizontal-relative:page;mso-position-vertical-relative:paragraph;z-index:-335224" coordorigin="8551,2093" coordsize="1660,940">
            <v:shape style="position:absolute;left:8571;top:2113;width:1620;height:900" type="#_x0000_t75" stroked="false">
              <v:imagedata r:id="rId169" o:title=""/>
            </v:shape>
            <v:shape style="position:absolute;left:8571;top:2113;width:1620;height:900" coordorigin="8571,2113" coordsize="1620,900" path="m8721,2113l8663,2125,8615,2157,8583,2205,8571,2263,8571,2863,8583,2922,8615,2969,8663,3002,8721,3013,10041,3013,10099,3002,10147,2969,10179,2922,10191,2863,10191,2263,10179,2205,10147,2157,10099,2125,10041,2113,8721,2113xe" filled="false" stroked="true" strokeweight="2pt" strokecolor="#233e5f">
              <v:path arrowok="t"/>
              <v:stroke dashstyle="solid"/>
            </v:shape>
            <v:shape style="position:absolute;left:8551;top:2093;width:1660;height:940" type="#_x0000_t202" filled="false" stroked="false">
              <v:textbox inset="0,0,0,0">
                <w:txbxContent>
                  <w:p>
                    <w:pPr>
                      <w:spacing w:line="278" w:lineRule="exact" w:before="194"/>
                      <w:ind w:left="700" w:right="26" w:hanging="428"/>
                      <w:jc w:val="left"/>
                      <w:rPr>
                        <w:rFonts w:ascii="Cambria" w:hAnsi="Cambria"/>
                        <w:sz w:val="24"/>
                      </w:rPr>
                    </w:pPr>
                    <w:r>
                      <w:rPr>
                        <w:rFonts w:ascii="Cambria" w:hAnsi="Cambria"/>
                        <w:sz w:val="24"/>
                      </w:rPr>
                      <w:t>Наблюден ие</w:t>
                    </w:r>
                  </w:p>
                </w:txbxContent>
              </v:textbox>
              <w10:wrap type="none"/>
            </v:shape>
            <w10:wrap type="none"/>
          </v:group>
        </w:pict>
      </w:r>
      <w:r>
        <w:rPr/>
        <w:t>Клинический случай №2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r>
        <w:rPr/>
        <w:pict>
          <v:group style="position:absolute;margin-left:87.050003pt;margin-top:13.212729pt;width:461pt;height:155pt;mso-position-horizontal-relative:page;mso-position-vertical-relative:paragraph;z-index:6880;mso-wrap-distance-left:0;mso-wrap-distance-right:0" coordorigin="1741,264" coordsize="9220,3100">
            <v:shape style="position:absolute;left:1941;top:1904;width:9000;height:1440" type="#_x0000_t75" stroked="false">
              <v:imagedata r:id="rId177" o:title=""/>
            </v:shape>
            <v:shape style="position:absolute;left:1941;top:1904;width:9000;height:1440" coordorigin="1941,1904" coordsize="9000,1440" path="m10221,1904l10221,2264,1941,2264,1941,2984,10221,2984,10221,3344,10941,2624,10221,1904xe" filled="false" stroked="true" strokeweight="2pt" strokecolor="#233e5f">
              <v:path arrowok="t"/>
              <v:stroke dashstyle="solid"/>
            </v:shape>
            <v:rect style="position:absolute;left:1881;top:2296;width:4080;height:720" filled="true" fillcolor="#ff0000" stroked="false">
              <v:fill type="solid"/>
            </v:rect>
            <v:rect style="position:absolute;left:1881;top:2296;width:4080;height:720" filled="false" stroked="true" strokeweight="2pt" strokecolor="#233e5f">
              <v:stroke dashstyle="solid"/>
            </v:rect>
            <v:shape style="position:absolute;left:1761;top:284;width:1200;height:1398" type="#_x0000_t75" stroked="false">
              <v:imagedata r:id="rId178" o:title=""/>
            </v:shape>
            <v:shape style="position:absolute;left:1761;top:284;width:1200;height:1398" coordorigin="1761,284" coordsize="1200,1398" path="m1961,284l1883,300,1820,343,1777,406,1761,484,1761,1482,1777,1560,1820,1624,1883,1667,1961,1682,2761,1682,2839,1667,2902,1624,2945,1560,2961,1482,2961,484,2945,406,2902,343,2839,300,2761,284,1961,284xe" filled="false" stroked="true" strokeweight="2pt" strokecolor="#233e5f">
              <v:path arrowok="t"/>
              <v:stroke dashstyle="solid"/>
            </v:shape>
            <v:shape style="position:absolute;left:1803;top:1682;width:186;height:573" coordorigin="1803,1682" coordsize="186,573" path="m1824,2074l1815,2080,1805,2086,1803,2098,1901,2254,1922,2215,1880,2215,1877,2141,1842,2086,1836,2077,1824,2074xm1877,2141l1880,2215,1920,2214,1919,2205,1882,2205,1898,2175,1877,2141xm1965,2069l1953,2073,1917,2140,1920,2214,1880,2215,1922,2215,1983,2101,1988,2092,1985,2079,1965,2069xm1898,2175l1882,2205,1917,2204,1898,2175xm1917,2140l1898,2175,1917,2204,1882,2205,1919,2205,1917,2140xm1901,1682l1861,1683,1877,2141,1898,2175,1917,2140,1901,1682xe" filled="true" fillcolor="#4579b8" stroked="false">
              <v:path arrowok="t"/>
              <v:fill type="solid"/>
            </v:shape>
            <v:shape style="position:absolute;left:5871;top:730;width:2340;height:952" type="#_x0000_t75" stroked="false">
              <v:imagedata r:id="rId179" o:title=""/>
            </v:shape>
            <v:shape style="position:absolute;left:5871;top:730;width:2340;height:952" coordorigin="5871,730" coordsize="2340,952" path="m6030,730l5968,743,5917,777,5883,827,5871,889,5871,1524,5883,1585,5917,1636,5968,1670,6030,1682,8052,1682,8114,1670,8165,1636,8199,1585,8211,1524,8211,889,8199,827,8165,777,8114,743,8052,730,6030,730xe" filled="false" stroked="true" strokeweight="2pt" strokecolor="#233e5f">
              <v:path arrowok="t"/>
              <v:stroke dashstyle="solid"/>
            </v:shape>
            <v:shape style="position:absolute;left:5943;top:1682;width:186;height:573" coordorigin="5943,1682" coordsize="186,573" path="m5964,2074l5955,2080,5945,2086,5943,2098,5949,2107,6041,2254,6062,2215,6020,2215,6017,2141,5982,2086,5976,2077,5964,2074xm6017,2141l6020,2215,6060,2214,6059,2205,6022,2205,6038,2175,6017,2141xm6105,2069l6093,2073,6086,2086,6057,2140,6060,2214,6020,2215,6062,2215,6123,2101,6128,2092,6125,2079,6115,2074,6105,2069xm6038,2175l6022,2205,6057,2204,6038,2175xm6057,2140l6038,2175,6057,2204,6022,2205,6059,2205,6057,2140xm6041,1682l6001,1683,6017,2141,6038,2175,6057,2140,6041,1682xe" filled="true" fillcolor="#4579b8" stroked="false">
              <v:path arrowok="t"/>
              <v:fill type="solid"/>
            </v:shape>
            <v:shape style="position:absolute;left:1983;top:562;width:779;height:842" type="#_x0000_t202" filled="false" stroked="false">
              <v:textbox inset="0,0,0,0">
                <w:txbxContent>
                  <w:p>
                    <w:pPr>
                      <w:spacing w:line="237" w:lineRule="auto" w:before="2"/>
                      <w:ind w:left="0" w:right="18" w:hanging="2"/>
                      <w:jc w:val="center"/>
                      <w:rPr>
                        <w:rFonts w:ascii="Cambria" w:hAnsi="Cambria"/>
                        <w:sz w:val="24"/>
                      </w:rPr>
                    </w:pPr>
                    <w:r>
                      <w:rPr>
                        <w:rFonts w:ascii="Cambria" w:hAnsi="Cambria"/>
                        <w:sz w:val="24"/>
                      </w:rPr>
                      <w:t>Рак яични- ков</w:t>
                    </w:r>
                  </w:p>
                </w:txbxContent>
              </v:textbox>
              <w10:wrap type="none"/>
            </v:shape>
            <v:shape style="position:absolute;left:6097;top:925;width:1907;height:561" type="#_x0000_t202" filled="false" stroked="false">
              <v:textbox inset="0,0,0,0">
                <w:txbxContent>
                  <w:p>
                    <w:pPr>
                      <w:spacing w:line="280" w:lineRule="exact" w:before="4"/>
                      <w:ind w:left="177" w:right="1" w:hanging="178"/>
                      <w:jc w:val="left"/>
                      <w:rPr>
                        <w:rFonts w:ascii="Cambria" w:hAnsi="Cambria"/>
                        <w:sz w:val="24"/>
                      </w:rPr>
                    </w:pPr>
                    <w:r>
                      <w:rPr>
                        <w:rFonts w:ascii="Cambria" w:hAnsi="Cambria"/>
                        <w:sz w:val="24"/>
                      </w:rPr>
                      <w:t>Диагностическая лапароскопия</w:t>
                    </w:r>
                  </w:p>
                </w:txbxContent>
              </v:textbox>
              <w10:wrap type="none"/>
            </v:shape>
            <w10:wrap type="topAndBottom"/>
          </v:group>
        </w:pict>
      </w:r>
    </w:p>
    <w:p>
      <w:pPr>
        <w:pStyle w:val="BodyText"/>
        <w:spacing w:before="4"/>
        <w:rPr>
          <w:sz w:val="31"/>
        </w:rPr>
      </w:pPr>
    </w:p>
    <w:p>
      <w:pPr>
        <w:tabs>
          <w:tab w:pos="4746" w:val="left" w:leader="none"/>
        </w:tabs>
        <w:spacing w:before="0"/>
        <w:ind w:left="102" w:right="0" w:firstLine="0"/>
        <w:jc w:val="both"/>
        <w:rPr>
          <w:sz w:val="24"/>
        </w:rPr>
      </w:pPr>
      <w:r>
        <w:rPr>
          <w:sz w:val="24"/>
        </w:rPr>
        <w:t>10.2014</w:t>
        <w:tab/>
        <w:t>3.2015</w:t>
      </w:r>
    </w:p>
    <w:p>
      <w:pPr>
        <w:pStyle w:val="BodyText"/>
        <w:rPr>
          <w:sz w:val="26"/>
        </w:rPr>
      </w:pPr>
    </w:p>
    <w:p>
      <w:pPr>
        <w:pStyle w:val="BodyText"/>
        <w:rPr>
          <w:sz w:val="26"/>
        </w:rPr>
      </w:pPr>
    </w:p>
    <w:p>
      <w:pPr>
        <w:pStyle w:val="BodyText"/>
        <w:spacing w:before="6"/>
        <w:rPr>
          <w:sz w:val="36"/>
        </w:rPr>
      </w:pPr>
    </w:p>
    <w:p>
      <w:pPr>
        <w:pStyle w:val="BodyText"/>
        <w:spacing w:line="360" w:lineRule="auto"/>
        <w:ind w:left="102" w:right="309" w:firstLine="69"/>
        <w:jc w:val="both"/>
      </w:pPr>
      <w:r>
        <w:rPr/>
        <w:t>В описанном наблюдении диагностическая лапароскопия и биопсия брюшины позволила избежать продолжения высокотоксичного лечения у пожилой, ослабленной больной.</w:t>
      </w:r>
    </w:p>
    <w:p>
      <w:pPr>
        <w:pStyle w:val="BodyText"/>
        <w:spacing w:line="360" w:lineRule="auto" w:before="204"/>
        <w:ind w:left="102" w:right="305" w:firstLine="278"/>
        <w:jc w:val="both"/>
      </w:pPr>
      <w:r>
        <w:rPr/>
        <w:t>Таким образом, обобщая накопленный опыт выполнения повторных операций, могут быть сформулированы следующие показания к их выполнению:</w:t>
      </w:r>
    </w:p>
    <w:p>
      <w:pPr>
        <w:pStyle w:val="ListParagraph"/>
        <w:numPr>
          <w:ilvl w:val="0"/>
          <w:numId w:val="31"/>
        </w:numPr>
        <w:tabs>
          <w:tab w:pos="822" w:val="left" w:leader="none"/>
        </w:tabs>
        <w:spacing w:line="360" w:lineRule="auto" w:before="205" w:after="0"/>
        <w:ind w:left="822" w:right="301" w:hanging="360"/>
        <w:jc w:val="both"/>
        <w:rPr>
          <w:sz w:val="28"/>
        </w:rPr>
      </w:pPr>
      <w:r>
        <w:rPr>
          <w:sz w:val="28"/>
        </w:rPr>
        <w:t>При III-IV стадии, в состоянии клинической ремиссии после 6-10 курсов ПХТ для решения вопроса о прекращении или продолжении лечения.</w:t>
      </w:r>
    </w:p>
    <w:p>
      <w:pPr>
        <w:pStyle w:val="ListParagraph"/>
        <w:numPr>
          <w:ilvl w:val="0"/>
          <w:numId w:val="31"/>
        </w:numPr>
        <w:tabs>
          <w:tab w:pos="822" w:val="left" w:leader="none"/>
        </w:tabs>
        <w:spacing w:line="360" w:lineRule="auto" w:before="5" w:after="0"/>
        <w:ind w:left="822" w:right="310" w:hanging="360"/>
        <w:jc w:val="both"/>
        <w:rPr>
          <w:sz w:val="28"/>
        </w:rPr>
      </w:pPr>
      <w:r>
        <w:rPr>
          <w:sz w:val="28"/>
        </w:rPr>
        <w:t>При любых стадиях, с подозрением на рецидив заболевания с учетом данных дополнительных методов</w:t>
      </w:r>
      <w:r>
        <w:rPr>
          <w:spacing w:val="-18"/>
          <w:sz w:val="28"/>
        </w:rPr>
        <w:t> </w:t>
      </w:r>
      <w:r>
        <w:rPr>
          <w:sz w:val="28"/>
        </w:rPr>
        <w:t>исследования.</w:t>
      </w:r>
    </w:p>
    <w:p>
      <w:pPr>
        <w:spacing w:after="0" w:line="360" w:lineRule="auto"/>
        <w:jc w:val="both"/>
        <w:rPr>
          <w:sz w:val="28"/>
        </w:rPr>
        <w:sectPr>
          <w:pgSz w:w="11900" w:h="16850"/>
          <w:pgMar w:header="712" w:footer="0" w:top="1020" w:bottom="280" w:left="1600" w:right="820"/>
        </w:sectPr>
      </w:pPr>
    </w:p>
    <w:p>
      <w:pPr>
        <w:pStyle w:val="ListParagraph"/>
        <w:numPr>
          <w:ilvl w:val="0"/>
          <w:numId w:val="31"/>
        </w:numPr>
        <w:tabs>
          <w:tab w:pos="822" w:val="left" w:leader="none"/>
          <w:tab w:pos="1719" w:val="left" w:leader="none"/>
          <w:tab w:pos="2887" w:val="left" w:leader="none"/>
          <w:tab w:pos="4847" w:val="left" w:leader="none"/>
        </w:tabs>
        <w:spacing w:line="360" w:lineRule="auto" w:before="0" w:after="0"/>
        <w:ind w:left="822" w:right="107" w:hanging="360"/>
        <w:jc w:val="left"/>
        <w:rPr>
          <w:sz w:val="28"/>
        </w:rPr>
      </w:pPr>
      <w:r>
        <w:rPr>
          <w:sz w:val="28"/>
        </w:rPr>
        <w:t>На</w:t>
        <w:tab/>
        <w:t>фоне</w:t>
        <w:tab/>
        <w:t>клинической</w:t>
        <w:tab/>
        <w:t>ремиссии  после</w:t>
      </w:r>
      <w:r>
        <w:rPr>
          <w:spacing w:val="58"/>
          <w:sz w:val="28"/>
        </w:rPr>
        <w:t> </w:t>
      </w:r>
      <w:r>
        <w:rPr>
          <w:sz w:val="28"/>
        </w:rPr>
        <w:t>нерадикальной</w:t>
      </w:r>
      <w:r>
        <w:rPr>
          <w:spacing w:val="64"/>
          <w:sz w:val="28"/>
        </w:rPr>
        <w:t> </w:t>
      </w:r>
      <w:r>
        <w:rPr>
          <w:sz w:val="28"/>
        </w:rPr>
        <w:t>по</w:t>
      </w:r>
      <w:r>
        <w:rPr>
          <w:w w:val="100"/>
          <w:sz w:val="28"/>
        </w:rPr>
        <w:t> </w:t>
      </w:r>
      <w:r>
        <w:rPr>
          <w:sz w:val="28"/>
        </w:rPr>
        <w:t>объему первой</w:t>
      </w:r>
      <w:r>
        <w:rPr>
          <w:spacing w:val="-9"/>
          <w:sz w:val="28"/>
        </w:rPr>
        <w:t> </w:t>
      </w:r>
      <w:r>
        <w:rPr>
          <w:sz w:val="28"/>
        </w:rPr>
        <w:t>операции.</w:t>
      </w:r>
    </w:p>
    <w:p>
      <w:pPr>
        <w:pStyle w:val="ListParagraph"/>
        <w:numPr>
          <w:ilvl w:val="0"/>
          <w:numId w:val="31"/>
        </w:numPr>
        <w:tabs>
          <w:tab w:pos="822" w:val="left" w:leader="none"/>
        </w:tabs>
        <w:spacing w:line="360" w:lineRule="auto" w:before="8" w:after="0"/>
        <w:ind w:left="822" w:right="108" w:hanging="360"/>
        <w:jc w:val="left"/>
        <w:rPr>
          <w:sz w:val="28"/>
        </w:rPr>
      </w:pPr>
      <w:r>
        <w:rPr>
          <w:sz w:val="28"/>
        </w:rPr>
        <w:t>При рецидиве заболевания с целью удаления опухолевых масс и уточнения степени распространения</w:t>
      </w:r>
      <w:r>
        <w:rPr>
          <w:spacing w:val="-19"/>
          <w:sz w:val="28"/>
        </w:rPr>
        <w:t> </w:t>
      </w:r>
      <w:r>
        <w:rPr>
          <w:sz w:val="28"/>
        </w:rPr>
        <w:t>процесса.</w:t>
      </w:r>
    </w:p>
    <w:p>
      <w:pPr>
        <w:pStyle w:val="ListParagraph"/>
        <w:numPr>
          <w:ilvl w:val="0"/>
          <w:numId w:val="31"/>
        </w:numPr>
        <w:tabs>
          <w:tab w:pos="822" w:val="left" w:leader="none"/>
          <w:tab w:pos="2179" w:val="left" w:leader="none"/>
          <w:tab w:pos="4294" w:val="left" w:leader="none"/>
          <w:tab w:pos="5919" w:val="left" w:leader="none"/>
          <w:tab w:pos="7620" w:val="left" w:leader="none"/>
        </w:tabs>
        <w:spacing w:line="360" w:lineRule="auto" w:before="5" w:after="0"/>
        <w:ind w:left="822" w:right="100" w:hanging="360"/>
        <w:jc w:val="left"/>
        <w:rPr>
          <w:sz w:val="28"/>
        </w:rPr>
      </w:pPr>
      <w:r>
        <w:rPr>
          <w:sz w:val="28"/>
        </w:rPr>
        <w:t>Наличие</w:t>
        <w:tab/>
        <w:t>хирургической</w:t>
        <w:tab/>
        <w:t>патологии,</w:t>
        <w:tab/>
        <w:t>требующей</w:t>
        <w:tab/>
      </w:r>
      <w:r>
        <w:rPr>
          <w:spacing w:val="-1"/>
          <w:sz w:val="28"/>
        </w:rPr>
        <w:t>лапаротомии </w:t>
      </w:r>
      <w:r>
        <w:rPr>
          <w:sz w:val="28"/>
        </w:rPr>
        <w:t>(кишечная непроходимость и</w:t>
      </w:r>
      <w:r>
        <w:rPr>
          <w:spacing w:val="-12"/>
          <w:sz w:val="28"/>
        </w:rPr>
        <w:t> </w:t>
      </w:r>
      <w:r>
        <w:rPr>
          <w:sz w:val="28"/>
        </w:rPr>
        <w:t>др.).</w:t>
      </w:r>
    </w:p>
    <w:p>
      <w:pPr>
        <w:pStyle w:val="BodyText"/>
        <w:spacing w:line="360" w:lineRule="auto" w:before="7"/>
        <w:ind w:left="102" w:right="101" w:firstLine="417"/>
        <w:jc w:val="both"/>
      </w:pPr>
      <w:r>
        <w:rPr/>
        <w:t>Вопросы о показаниях и о сроках проведения повторных хирургических вмешательств должны решаться индивидуально в зависимости от клинической ситуации. В целом ряде случаев повторные хирургические вмешательства могу выполняться лапароскопическим доступом. Диагностические лапароскопии обладают целым рядом неоспоримых преимуществ перед лапаротомиями в отношении течения послеоперационного периода и сроков реабилитации больных. При обнаружении резектабельной опухоли показано выполнение конверсионной</w:t>
      </w:r>
      <w:r>
        <w:rPr>
          <w:spacing w:val="-13"/>
        </w:rPr>
        <w:t> </w:t>
      </w:r>
      <w:r>
        <w:rPr/>
        <w:t>лапаротомии.</w:t>
      </w:r>
    </w:p>
    <w:p>
      <w:pPr>
        <w:pStyle w:val="BodyText"/>
        <w:rPr>
          <w:sz w:val="30"/>
        </w:rPr>
      </w:pPr>
    </w:p>
    <w:p>
      <w:pPr>
        <w:pStyle w:val="BodyText"/>
        <w:spacing w:before="4"/>
        <w:rPr>
          <w:sz w:val="36"/>
        </w:rPr>
      </w:pPr>
    </w:p>
    <w:p>
      <w:pPr>
        <w:pStyle w:val="Heading1"/>
        <w:ind w:right="380"/>
        <w:jc w:val="center"/>
      </w:pPr>
      <w:r>
        <w:rPr/>
        <w:t>Резюме</w:t>
      </w:r>
    </w:p>
    <w:p>
      <w:pPr>
        <w:pStyle w:val="BodyText"/>
        <w:spacing w:before="4"/>
        <w:rPr>
          <w:b/>
          <w:sz w:val="41"/>
        </w:rPr>
      </w:pPr>
    </w:p>
    <w:p>
      <w:pPr>
        <w:pStyle w:val="BodyText"/>
        <w:spacing w:line="360" w:lineRule="auto"/>
        <w:ind w:left="102" w:right="100" w:firstLine="278"/>
        <w:jc w:val="both"/>
      </w:pPr>
      <w:r>
        <w:rPr>
          <w:rFonts w:ascii="MS Mincho" w:hAnsi="MS Mincho"/>
        </w:rPr>
        <w:t>В </w:t>
      </w:r>
      <w:r>
        <w:rPr/>
        <w:t>первом разделе главы, посвященной возможностям применения лапароскопического доступа в хирургии рака яичников, проанализированы результаты лапароскопических операций у 349 больных опухолями яичников. Диагноз злокачественного новообразования яичников при гистологическом исследовании удаленного препарата был установлен в 63 случаях, что составило 18,1%. До операции наряду со стандартным обследованием выполнялось ультразвуковое исследование органов малого таза и определение маркера СА-125. После сопоставления предоперационного диагноза с результатами гистологического исследования удаленных препаратов установлена низкая чувствительность и специфичность УЗИ и маркера СА-125 в определении степени</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98"/>
        <w:jc w:val="both"/>
      </w:pPr>
      <w:r>
        <w:rPr/>
        <w:t>злокачественности опухолевого процесса (32,35%, 31,82% и  72,55%, 68,36% соответственно). Сделан вывод о том, что на сегодняшний день единственной возможностью выявления начального рака яичников  остается незамедлительное хирургическое лечение больных с опухолями яичников, имеющих ультразвуковые признаки злокачественности и повышенный маркер СА-125. Эти операции целесообразно выполнять в специализированных лечебных учреждениях, опытными хирургами – онкологами с обязательным срочным гистологическим исследованием в ходе операции. Такой подход позволит диагностировать злокачественные опухоли яичников на ранних стадиях и добиться не только удовлетворительных отдаленных результатов лечения, но и в целом ряде случаев прибегнуть к выполнению органосохраняющих операций у женщин репродуктивного</w:t>
      </w:r>
      <w:r>
        <w:rPr>
          <w:spacing w:val="-14"/>
        </w:rPr>
        <w:t> </w:t>
      </w:r>
      <w:r>
        <w:rPr/>
        <w:t>возраста.</w:t>
      </w:r>
    </w:p>
    <w:p>
      <w:pPr>
        <w:pStyle w:val="BodyText"/>
        <w:spacing w:line="360" w:lineRule="auto" w:before="205"/>
        <w:ind w:left="102" w:right="102"/>
        <w:jc w:val="both"/>
      </w:pPr>
      <w:r>
        <w:rPr/>
        <w:t>Во втором разделе главы оценены трехлетняя выживаемость 134 больных раком яичников I стадии в зависимости от различных прогностических факторов, определены показания к выполнению органосохраняющих операций. Лапароскопические операции были выполнены у 25 больных этой группы. Выявленные особенности хирургического вмешательства, течение послеоперационного периода, короткие сроки реабилитации свидетельствуют о неоспоримых преимуществах малоинвазивной хирургии. В то же время, при сопоставлении сроков безрецидивной выживаемости отмечена тенденция к их уменьшению после лапароскопических операций по сравнению с  открытыми вмешательствами (80 и 86% соответственно). Этот факт заставляет крайне осторожно относиться к лапароскопическому доступу при хирургическом</w:t>
      </w:r>
    </w:p>
    <w:p>
      <w:pPr>
        <w:pStyle w:val="BodyText"/>
        <w:spacing w:line="360" w:lineRule="auto" w:before="204"/>
        <w:ind w:left="102" w:right="106"/>
        <w:jc w:val="both"/>
      </w:pPr>
      <w:r>
        <w:rPr/>
        <w:t>лечении такой крайне агрессивной опухоли, как рак яичников. При тщательном соблюдении правил абластики и антибластики лапароскопический доступ в лечении больных злокачественными</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99"/>
        <w:jc w:val="both"/>
      </w:pPr>
      <w:r>
        <w:rPr/>
        <w:t>опухолями яичников I стадии может использоваться только в онкологических стационарах бригадами опытных хирургов – онкологов. Необходимы дальнейшие рандомизированные исследования для разработки клинических рекомендаций о хирургическом доступе при операциях по поводу начального рака</w:t>
      </w:r>
      <w:r>
        <w:rPr>
          <w:spacing w:val="-20"/>
        </w:rPr>
        <w:t> </w:t>
      </w:r>
      <w:r>
        <w:rPr/>
        <w:t>яичников.</w:t>
      </w:r>
    </w:p>
    <w:p>
      <w:pPr>
        <w:pStyle w:val="BodyText"/>
        <w:spacing w:line="360" w:lineRule="auto" w:before="204"/>
        <w:ind w:left="102" w:right="99" w:firstLine="208"/>
        <w:jc w:val="both"/>
      </w:pPr>
      <w:r>
        <w:rPr/>
        <w:t>Третий раздел главы посвящен уточнению показаний к диагностическим лапароскопиям на различных этапах лечения больных распространенным раком яичников. При выполнении диагностических лапароскопий для морфологической верификации опухолевого процесса 32 больным с установленным диагнозом “Рак яичников”, гистологическое подтверждение получено только в 88% случаев. Это наблюдение подтверждает необходимость строжайшего соблюдения правила о необходимости морфологической верификации процесса до начала специального</w:t>
      </w:r>
      <w:r>
        <w:rPr>
          <w:spacing w:val="-8"/>
        </w:rPr>
        <w:t> </w:t>
      </w:r>
      <w:r>
        <w:rPr/>
        <w:t>лечения.</w:t>
      </w:r>
    </w:p>
    <w:p>
      <w:pPr>
        <w:pStyle w:val="BodyText"/>
        <w:spacing w:line="360" w:lineRule="auto" w:before="206"/>
        <w:ind w:left="102" w:right="102"/>
        <w:jc w:val="both"/>
      </w:pPr>
      <w:r>
        <w:rPr/>
        <w:t>На основании анализа результатов 389 повторных операций у больных раком яичников показана принципиальная возможность выполнения каждой третьей из них лапароскопическим доступом, что позволит значительно сократить сроки послеоперационного периода и соблюсти необходимые интервалы в химиотерапевтическом лечении. Установлено повышение 5-летней выживаемости у больных, подвергшихся повторным операциям на 10% по сравнению с больными, получавшими стандартное лечение.</w:t>
      </w:r>
    </w:p>
    <w:p>
      <w:pPr>
        <w:pStyle w:val="BodyText"/>
        <w:spacing w:line="360" w:lineRule="auto" w:before="206"/>
        <w:ind w:left="102" w:right="105" w:firstLine="719"/>
        <w:jc w:val="both"/>
      </w:pPr>
      <w:r>
        <w:rPr/>
        <w:t>Таким образом, в данном разделе исследования определены клинические ситуации, в которых лапароскопические операции могут принести неоценимую пользу в диагностике и лечении наиболее тяжелой группы онкогинекологических больных – больных раком яичников.</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Heading1"/>
        <w:spacing w:before="228"/>
        <w:ind w:right="380"/>
        <w:jc w:val="center"/>
      </w:pPr>
      <w:r>
        <w:rPr/>
        <w:t>ЗАКЛЮЧЕНИЕ</w:t>
      </w:r>
    </w:p>
    <w:p>
      <w:pPr>
        <w:pStyle w:val="BodyText"/>
        <w:rPr>
          <w:b/>
          <w:sz w:val="30"/>
        </w:rPr>
      </w:pPr>
    </w:p>
    <w:p>
      <w:pPr>
        <w:pStyle w:val="BodyText"/>
        <w:rPr>
          <w:b/>
          <w:sz w:val="30"/>
        </w:rPr>
      </w:pPr>
    </w:p>
    <w:p>
      <w:pPr>
        <w:pStyle w:val="BodyText"/>
        <w:spacing w:before="3"/>
        <w:rPr>
          <w:b/>
          <w:sz w:val="30"/>
        </w:rPr>
      </w:pPr>
    </w:p>
    <w:p>
      <w:pPr>
        <w:pStyle w:val="BodyText"/>
        <w:spacing w:line="360" w:lineRule="auto"/>
        <w:ind w:left="102" w:right="99" w:firstLine="347"/>
        <w:jc w:val="both"/>
      </w:pPr>
      <w:r>
        <w:rPr/>
        <w:t>За достаточно короткий для медицинской науки временной период, насчитывающий менее 30 лет, малоинвазивные технологии с большим или меньшим успехом начали применяться в онкогинекологии. После первых публикаций в начале 90-х годов, посвященных лапароскопическим операциям у онкологических больных, первой реакцией явилось безоговорочное отрицание самой возможности использования лапароскопического доступа в онкологии. Противники этой методики небезосновательно говорили о невозможности соблюдения основополагающих принципов хирургии злокачественных опухолей, большом числе осложнений, длительности операций и неудовлетворительности отдаленных результатов лечения. Тем не менее, эндовидеохирургия активно интегрировалась в программы комплексного лечения злокачественных новообразований, в целом ряде направлений практически вытеснив традиционную хирургию. По мере накопления хирургического опыта, развития технической базы, появления целых направлений и школ лапароскопической хирургии сформировались определенные научно обоснованные подходы к использованию этой несомненно передовой и перспективной методики в онкологии. На сегодняшний день в мире только 20% онкогинекологических операций выполняется лапароскопическим доступом. В России эта цифра оказывается еще меньше. Объясняется подобное положение прежде всего экономическими трудностями и недостаточным количеством подготовленных хирургов.</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98"/>
        <w:jc w:val="both"/>
      </w:pPr>
      <w:r>
        <w:rPr/>
        <w:t>Объединенный опыт двух крупных онкологических учреждений – НИИ онкологии им.Н.Н.Петрова и Санкт-Петербургского онкологического центра, без преувеличения, можно считать самым большим в нашей стране в области применения малоинвазивных хирургических методик в онкогинекологии. Лапароскопические операции впервые начали применяться в онкогинекологическом отделении в 2010 году и сейчас их количество превышает 3000. Наш опыт охватывает все три наиболее значимые локализации опухолей органов репродуктивной системы: рак эндометрия, рак шейки матки и рак яичников. Сейчас мы уже можем оценивать не только непосредственные, но и отдаленные </w:t>
      </w:r>
      <w:r>
        <w:rPr>
          <w:spacing w:val="5"/>
        </w:rPr>
        <w:t>3- </w:t>
      </w:r>
      <w:r>
        <w:rPr/>
        <w:t>5- летние результаты лечения. Накопленный в этом отношении опыт позволяет уже подвести некоторые итоги и представить обоснованные рекомендации по применению лапароскопии в лечении онкогинекологической патологии, обозначив при этом и целый ряд противопоказаний. В задачи настоящего исследования не входила разработка новых показаний к выполнению тех или иных хирургических вмешательств. Исключение составило только более широкое применение диагностических операций в спорных и неоднозначных клинических ситуациях, без которых сейчас уже порой сложно представить современные алгоритмы диагностических процедур. В соответствии же с основной задачей исследования, мы попытались  оценить преимущества и возможные недостатки самого малоинвазивного доступа в</w:t>
      </w:r>
      <w:r>
        <w:rPr>
          <w:spacing w:val="-10"/>
        </w:rPr>
        <w:t> </w:t>
      </w:r>
      <w:r>
        <w:rPr/>
        <w:t>онкогинекологии.</w:t>
      </w:r>
    </w:p>
    <w:p>
      <w:pPr>
        <w:pStyle w:val="BodyText"/>
        <w:spacing w:line="360" w:lineRule="auto" w:before="204"/>
        <w:ind w:left="102" w:right="106" w:firstLine="139"/>
        <w:jc w:val="both"/>
      </w:pPr>
      <w:r>
        <w:rPr/>
        <w:t>Самый большой и репрезентативный материал в настоящей работе касается различных аспектов хирургического лечения больных раком эндометрия. Преимущества малоинвазивной хирургии в лечении самой многочисленной и разнообразной группы больных раком тела матки признаны ведущими учеными во всем мире. Показания к выполнению лапароскопии сегодня распространяются и на пожилых больных с тяжелой</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0"/>
        <w:jc w:val="both"/>
      </w:pPr>
      <w:r>
        <w:rPr/>
        <w:t>сопутствующей патологией, выраженным ожирением, т.е. в случаях, совсем недавно считавшихся прямыми противопоказаниями к данной методике.</w:t>
      </w:r>
    </w:p>
    <w:p>
      <w:pPr>
        <w:pStyle w:val="BodyText"/>
        <w:spacing w:line="360" w:lineRule="auto" w:before="207"/>
        <w:ind w:left="102" w:right="101"/>
        <w:jc w:val="both"/>
      </w:pPr>
      <w:r>
        <w:rPr/>
        <w:t>Для анализа были отобраны 756 пациенток прооперированных в период с 2010 по 2013 годы с не менее чем 3-летним прослеживанием. По более чем 20 параметрам эта группа была сопоставлена с аналогичной когортой из 1289 больных, прооперированных по поводу рака эндометрия открытым доступом в период с 1995 по 2010 годы. Как уже было показано в 3 главе исследования, обе эти группы полностью соответствовали по всем характеризующим особенности организма и опухоли параметрам. Они оказались идентичны по возрасту, набору сопутствующих заболеваний, особенностям репродуктивного и энергетического гомеостатов. Характеристики опухолевого процесса по степени распространенности, гистологическим типам, потенциям к распространению за пределы органа и метастазированию также оказались сопоставимы. В результате нам удалось проанализировать значение самого хирургического доступа, минимизировав при этом возможную роль других прогностических факторов.</w:t>
      </w:r>
    </w:p>
    <w:p>
      <w:pPr>
        <w:pStyle w:val="BodyText"/>
        <w:spacing w:line="360" w:lineRule="auto" w:before="207"/>
        <w:ind w:left="102" w:right="104" w:firstLine="789"/>
        <w:jc w:val="both"/>
      </w:pPr>
      <w:r>
        <w:rPr/>
        <w:t>В выборе объема хирургического вмешательства мы руководствовались онкологическими показаниями, основанными на тщательном изучении упомянутых выше характеристик опухолевого процесса. Вопрос о выборе хирургического доступа в каждом случае решался индивидуально, руководствуясь, прежде всего интересами пациентки. Как не покажется странным, выраженная сопутствующая сердечно-легочная патология, ожирение, в целом ряде ситуаций  послужили основанием для выбора лапароскопического доступа. Снижение анестезиологических рисков при этом обеспечивалось уменьшением угла наклона больных в положении Тренделенбурга</w:t>
      </w:r>
      <w:r>
        <w:rPr>
          <w:spacing w:val="-20"/>
        </w:rPr>
        <w:t> </w:t>
      </w:r>
      <w:r>
        <w:rPr/>
        <w:t>и</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99"/>
        <w:jc w:val="both"/>
      </w:pPr>
      <w:r>
        <w:rPr/>
        <w:t>снижением внутрибрюшного давления газа, инсуфлируемого в брюшную полость. Необходимо признать, что технически выполнение лапароскопии у подобных больных оказывается более сложным по сравнению с лапаротомией, но в последующем проявляются неоспоримые преимущества лапароскопического доступа, касающиеся прежде всего быстрой реабилитации больных. Если говорить об онкологических аспектах выполненных лапароскопических операций, то они продемонстрировали сопоставимые с лапаротомиями стандартные показатели радикальности и аналогичные отдаленные результаты лечения.</w:t>
      </w:r>
    </w:p>
    <w:p>
      <w:pPr>
        <w:pStyle w:val="BodyText"/>
        <w:spacing w:line="360" w:lineRule="auto" w:before="204"/>
        <w:ind w:left="102" w:right="100" w:firstLine="719"/>
        <w:jc w:val="both"/>
      </w:pPr>
      <w:r>
        <w:rPr/>
        <w:t>Можно заключить, что при раке эндометрия лапароскопический доступ следует признать наиболее предпочтительным, характеризующимся малой травматичностью, практическим отсутствием интраоперационной кровопотери и других осложнений, быстрым восстановлением больных в послеоперационном периоде при соблюдении всех онкологических принципов самого вмешательства и высокими ближайшими и  отдаленными результатами</w:t>
      </w:r>
      <w:r>
        <w:rPr>
          <w:spacing w:val="-7"/>
        </w:rPr>
        <w:t> </w:t>
      </w:r>
      <w:r>
        <w:rPr/>
        <w:t>лечения.</w:t>
      </w:r>
    </w:p>
    <w:p>
      <w:pPr>
        <w:pStyle w:val="BodyText"/>
        <w:spacing w:line="360" w:lineRule="auto" w:before="204"/>
        <w:ind w:left="102" w:right="105" w:firstLine="719"/>
        <w:jc w:val="both"/>
      </w:pPr>
      <w:r>
        <w:rPr/>
        <w:t>У больных раком шейки матки применение лапароскопических операций оценено в двух аспектах: диагностические лапароскопии при местно – распространенных формах заболевания и лапароскопический доступ при выполнении радикальных гистерэктомий при начальных стадиях.</w:t>
      </w:r>
    </w:p>
    <w:p>
      <w:pPr>
        <w:pStyle w:val="BodyText"/>
        <w:spacing w:line="360" w:lineRule="auto" w:before="207"/>
        <w:ind w:left="102" w:right="101" w:firstLine="345"/>
        <w:jc w:val="both"/>
      </w:pPr>
      <w:r>
        <w:rPr/>
        <w:t>Роль диагностической лапароскопии оценена на основании анализа 57 операций, выполненных у больных раком шейки матки II-III стадии до начала специального лечения. Изученные операции заключались в тщательной ревизии органов малого таза и брюшной полости, выполнении биопсии подозрительных участков брюшины, парааортальной +/-</w:t>
      </w:r>
    </w:p>
    <w:p>
      <w:pPr>
        <w:spacing w:after="0" w:line="360" w:lineRule="auto"/>
        <w:jc w:val="both"/>
        <w:sectPr>
          <w:pgSz w:w="11900" w:h="16850"/>
          <w:pgMar w:header="712" w:footer="0" w:top="1020" w:bottom="280" w:left="1600" w:right="1020"/>
        </w:sectPr>
      </w:pPr>
    </w:p>
    <w:p>
      <w:pPr>
        <w:pStyle w:val="BodyText"/>
        <w:rPr>
          <w:sz w:val="20"/>
        </w:rPr>
      </w:pPr>
    </w:p>
    <w:p>
      <w:pPr>
        <w:pStyle w:val="BodyText"/>
        <w:spacing w:line="362" w:lineRule="auto" w:before="252"/>
        <w:ind w:left="102" w:right="110"/>
        <w:jc w:val="both"/>
      </w:pPr>
      <w:r>
        <w:rPr/>
        <w:t>подвздошной лимфаденэктомии и в некоторых случаях транспозиции яичников у больных молодого возраста до начала лучевой терапии.</w:t>
      </w:r>
    </w:p>
    <w:p>
      <w:pPr>
        <w:pStyle w:val="BodyText"/>
        <w:spacing w:line="360" w:lineRule="auto" w:before="201"/>
        <w:ind w:left="102" w:right="98" w:firstLine="345"/>
        <w:jc w:val="both"/>
      </w:pPr>
      <w:r>
        <w:rPr/>
        <w:t>Новые данные, полученные в результате выполнения диагностических лапароскопий привели к изменению установленной в ходе предоперационного обследования стадии более чем у 40% больных. Полученные сведения, прежде всего говорят о невысокой информативности современных лучевых методов исследований, используемых в определении степени распространения опухолевого процесса у онкогинекологических больных. Анализ частоты и характера диагностических ошибок позволил нам сделать вывод о целесообразности выполнения операций хирургического стадирования больным местно- распространенным раком шейки матки (T3), а также во всех случаях клинически установленной тазовой или парааортальной лимфаденопатии. Модифицированные на основании вновь полученных данных план лечения в каждом конкретном наблюдении позволит достичь значительного улучшения отдаленных</w:t>
      </w:r>
      <w:r>
        <w:rPr>
          <w:spacing w:val="-9"/>
        </w:rPr>
        <w:t> </w:t>
      </w:r>
      <w:r>
        <w:rPr/>
        <w:t>результатов.</w:t>
      </w:r>
    </w:p>
    <w:p>
      <w:pPr>
        <w:pStyle w:val="BodyText"/>
        <w:spacing w:line="360" w:lineRule="auto" w:before="5"/>
        <w:ind w:left="102" w:right="100" w:firstLine="345"/>
        <w:jc w:val="both"/>
      </w:pPr>
      <w:r>
        <w:rPr/>
        <w:t>Во втором разделе четвертой главы рассмотрены различные аспекты лапароскопического доступа при выполнении радикальных операций у больных раком шейки матки первой стадии. Количество выполненных к моменту написания этой работы операций уже превысило 150. В исследование мы включили 75 больных со сроком прослеживания не менее</w:t>
      </w:r>
    </w:p>
    <w:p>
      <w:pPr>
        <w:pStyle w:val="BodyText"/>
        <w:spacing w:line="360" w:lineRule="auto" w:before="7"/>
        <w:ind w:left="102" w:right="99"/>
        <w:jc w:val="both"/>
      </w:pPr>
      <w:r>
        <w:rPr/>
        <w:t>3 лет. Как и в предыдущем разделе исследования, посвященном раку эндометрия, больные основной и контрольной групп после тщательного анализа оказались схожими по основным характеристикам организма и опухоли. Хорошо известные преимущества лапароскопического доступа проявились и в этой группе больных. Для них оказалась характерной низкая травматичность, практическое отсутствие интраоперационных осложнений, быстрая реабилитация больных. Длительность операций, доходившая при выполнении первых операций до 5-6 часов, по мере</w:t>
      </w:r>
    </w:p>
    <w:p>
      <w:pPr>
        <w:spacing w:after="0" w:line="360" w:lineRule="auto"/>
        <w:jc w:val="both"/>
        <w:sectPr>
          <w:pgSz w:w="11900" w:h="16850"/>
          <w:pgMar w:header="712" w:footer="0" w:top="1020" w:bottom="280" w:left="1600" w:right="1020"/>
        </w:sectPr>
      </w:pPr>
    </w:p>
    <w:p>
      <w:pPr>
        <w:pStyle w:val="BodyText"/>
        <w:rPr>
          <w:sz w:val="20"/>
        </w:rPr>
      </w:pPr>
    </w:p>
    <w:p>
      <w:pPr>
        <w:pStyle w:val="BodyText"/>
        <w:tabs>
          <w:tab w:pos="1138" w:val="left" w:leader="none"/>
          <w:tab w:pos="2162" w:val="left" w:leader="none"/>
          <w:tab w:pos="2201" w:val="left" w:leader="none"/>
          <w:tab w:pos="2523" w:val="left" w:leader="none"/>
          <w:tab w:pos="2941" w:val="left" w:leader="none"/>
          <w:tab w:pos="3479" w:val="left" w:leader="none"/>
          <w:tab w:pos="3554" w:val="left" w:leader="none"/>
          <w:tab w:pos="4523" w:val="left" w:leader="none"/>
          <w:tab w:pos="5024" w:val="left" w:leader="none"/>
          <w:tab w:pos="5318" w:val="left" w:leader="none"/>
          <w:tab w:pos="5755" w:val="left" w:leader="none"/>
          <w:tab w:pos="6870" w:val="left" w:leader="none"/>
          <w:tab w:pos="7177" w:val="left" w:leader="none"/>
          <w:tab w:pos="7384" w:val="left" w:leader="none"/>
          <w:tab w:pos="7605" w:val="left" w:leader="none"/>
          <w:tab w:pos="7841" w:val="left" w:leader="none"/>
          <w:tab w:pos="8744" w:val="left" w:leader="none"/>
          <w:tab w:pos="9032" w:val="left" w:leader="none"/>
        </w:tabs>
        <w:spacing w:line="360" w:lineRule="auto" w:before="252"/>
        <w:ind w:left="117" w:right="98"/>
      </w:pPr>
      <w:r>
        <w:rPr/>
        <w:t>накопления опыта сокращалось и в настоящее время не превышает 180 минут. С онкологических позиций лапароскопический доступ также оказался вполне адекватным. Количество удаленных лимфатических узлов, протяженность</w:t>
        <w:tab/>
        <w:tab/>
        <w:t>резекции</w:t>
        <w:tab/>
        <w:tab/>
        <w:t>параметриев</w:t>
        <w:tab/>
        <w:t>и</w:t>
        <w:tab/>
        <w:t>влагалищной</w:t>
        <w:tab/>
        <w:tab/>
        <w:t>манжетки</w:t>
        <w:tab/>
        <w:t>в</w:t>
      </w:r>
      <w:r>
        <w:rPr>
          <w:w w:val="100"/>
        </w:rPr>
        <w:t> </w:t>
      </w:r>
      <w:r>
        <w:rPr/>
        <w:t>некоторых случаях оказались даже выше, чем при операции Вертгейма, выполненной традиционным доступом. Не различались и показатели общей  и  безрецидивной  выживаемости  в  обеих</w:t>
      </w:r>
      <w:r>
        <w:rPr>
          <w:spacing w:val="53"/>
        </w:rPr>
        <w:t> </w:t>
      </w:r>
      <w:r>
        <w:rPr/>
        <w:t>группах</w:t>
      </w:r>
      <w:r>
        <w:rPr>
          <w:spacing w:val="65"/>
        </w:rPr>
        <w:t> </w:t>
      </w:r>
      <w:r>
        <w:rPr/>
        <w:t>больных.</w:t>
        <w:tab/>
        <w:t>Мы продемонстрировали</w:t>
        <w:tab/>
      </w:r>
      <w:r>
        <w:rPr>
          <w:spacing w:val="-1"/>
        </w:rPr>
        <w:t>принципиальную</w:t>
        <w:tab/>
        <w:tab/>
      </w:r>
      <w:r>
        <w:rPr/>
        <w:t>техническую</w:t>
        <w:tab/>
        <w:t>возможность</w:t>
        <w:tab/>
        <w:tab/>
        <w:t>и онкологическую</w:t>
        <w:tab/>
        <w:tab/>
        <w:tab/>
        <w:t>безопасность</w:t>
        <w:tab/>
        <w:t>лапароскопического</w:t>
        <w:tab/>
        <w:tab/>
        <w:t>доступа</w:t>
        <w:tab/>
        <w:t>при выполнении радикальных гистерэктомий. Ограничением к применению данной методики следует считать большие (более 2см) размеры опухоли шейки</w:t>
        <w:tab/>
        <w:t>матки,</w:t>
        <w:tab/>
        <w:t>а</w:t>
        <w:tab/>
        <w:t>также</w:t>
        <w:tab/>
        <w:t>отсутствие</w:t>
        <w:tab/>
        <w:t>достаточного</w:t>
        <w:tab/>
        <w:t>опыта</w:t>
        <w:tab/>
        <w:tab/>
        <w:t>хирурга</w:t>
        <w:tab/>
        <w:t>и оснащенности операционной. По-видимому, широкое внедрение данной методики является вопросом недалекого</w:t>
      </w:r>
      <w:r>
        <w:rPr>
          <w:spacing w:val="-14"/>
        </w:rPr>
        <w:t> </w:t>
      </w:r>
      <w:r>
        <w:rPr/>
        <w:t>будущего.</w:t>
      </w:r>
    </w:p>
    <w:p>
      <w:pPr>
        <w:pStyle w:val="BodyText"/>
        <w:spacing w:line="360" w:lineRule="auto" w:before="8"/>
        <w:ind w:left="122" w:right="103" w:firstLine="554"/>
        <w:jc w:val="both"/>
      </w:pPr>
      <w:r>
        <w:rPr/>
        <w:t>Использование эндовидеохирургических методик оказалось неоценимым при операциях хирургического стадирования не только у больных местно-распространенным раком шейки матки, но и при подозрении на злокачественные опухоли яичников. Из 349 больных опухолями яичников, подвергнутых лапароскопии диагноз злокачественного новообразования при гистологическом исследовании удаленного препарата был установлен в 63 случаях, что составило 18,1%. Единственной возможностью выявления начального рака яичников остается незамедлительное хирургическое лечение больных с опухолями яичников, имеющих ультразвуковые признаки злокачественности и повышенный маркер СА-125.</w:t>
      </w:r>
    </w:p>
    <w:p>
      <w:pPr>
        <w:pStyle w:val="BodyText"/>
        <w:spacing w:line="360" w:lineRule="auto" w:before="5"/>
        <w:ind w:left="122" w:right="99" w:firstLine="415"/>
        <w:jc w:val="both"/>
      </w:pPr>
      <w:r>
        <w:rPr/>
        <w:t>Кроме того, в работе продемонстрирована принципиальна возможность лапароскопического доступа при хирургическом  лечения  начальных  форм рака яичников. Лапароскопические операции были выполнены у 25 больных этой группы. Выявленные особенности</w:t>
      </w:r>
      <w:r>
        <w:rPr>
          <w:spacing w:val="46"/>
        </w:rPr>
        <w:t> </w:t>
      </w:r>
      <w:r>
        <w:rPr/>
        <w:t>хирургического</w:t>
      </w:r>
    </w:p>
    <w:p>
      <w:pPr>
        <w:spacing w:after="0" w:line="360" w:lineRule="auto"/>
        <w:jc w:val="both"/>
        <w:sectPr>
          <w:headerReference w:type="default" r:id="rId180"/>
          <w:pgSz w:w="11900" w:h="16850"/>
          <w:pgMar w:header="712" w:footer="0" w:top="1020" w:bottom="280" w:left="1580" w:right="1020"/>
          <w:pgNumType w:start="260"/>
        </w:sect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line="360" w:lineRule="auto" w:before="89"/>
        <w:ind w:left="102" w:right="101"/>
        <w:jc w:val="both"/>
      </w:pPr>
      <w:r>
        <w:rPr/>
        <w:t>вмешательства, течение послеоперационного периода, короткие сроки реабилитации свидетельствуют о неоспоримых преимуществах малоинвазивной хирургии. В то же время, при сопоставлении сроков безрецидивной выживаемости отмечена тенденция к их уменьшению после лапароскопических операций по сравнению с  открытыми вмешательствами (80 и 86% соответственно). Этот факт заставляет крайне осторожно относиться к лапароскопическому доступу при хирургическом лечении такой крайне агрессивной опухоли, как рак яичников. При тщательном соблюдении правил абластики и антибластики лапароскопический доступ в лечении больных злокачественными опухолями яичников I стадии может использоваться только в онкологических стационарах бригадами опытных хирургов – онкологов.</w:t>
      </w:r>
    </w:p>
    <w:p>
      <w:pPr>
        <w:pStyle w:val="BodyText"/>
        <w:spacing w:line="360" w:lineRule="auto" w:before="207"/>
        <w:ind w:left="102" w:right="98" w:firstLine="204"/>
        <w:jc w:val="both"/>
      </w:pPr>
      <w:r>
        <w:rPr/>
        <w:t>При раке яичников лапароскопические операции могут использоваться  на различных этапах лечения с целью максимально возможной объективной оценки состояния опухолевого процесса. При выполнении диагностических лапароскопий у больных распространенным раком яичников морфологическая верификация опухолевого процесса получена только в 88% случаев. Данный факт подтверждает необходимость гистологического подтверждения злокачественной опухоли перед началом химиотерапевтического лечения. На основании анализа результатов 389 повторных операций у больных раком яичников показана принципиальная возможность выполнения каждой третьей из них лапароскопическим доступом, что позволит значительно сократить сроки послеоперационного периода и соблюсти необходимые интервалы в химиотерапевтическом лечении.</w:t>
      </w:r>
    </w:p>
    <w:p>
      <w:pPr>
        <w:pStyle w:val="BodyText"/>
        <w:spacing w:line="360" w:lineRule="auto" w:before="5"/>
        <w:ind w:left="102" w:right="107" w:firstLine="278"/>
        <w:jc w:val="both"/>
      </w:pPr>
      <w:r>
        <w:rPr/>
        <w:t>Приведенный в каждой главе подробный анализ встретившихся осложнений после лапароскопических операций продемонстрировал</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spacing w:line="360" w:lineRule="auto" w:before="224"/>
        <w:ind w:left="102" w:right="108"/>
        <w:jc w:val="both"/>
      </w:pPr>
      <w:r>
        <w:rPr/>
        <w:t>достоверное снижение их количества по сравнению с лапаротомиями. Это касается как интра-, так и послеоперационных осложнений. В одном</w:t>
      </w:r>
    </w:p>
    <w:p>
      <w:pPr>
        <w:pStyle w:val="BodyText"/>
        <w:spacing w:line="360" w:lineRule="auto" w:before="207"/>
        <w:ind w:left="102" w:right="99"/>
        <w:jc w:val="both"/>
      </w:pPr>
      <w:r>
        <w:rPr/>
        <w:t>случае лапароскопической операции стадирования при распространенном раке шейки матки произошла термическая травма мочеточника, потребовавшая релапароскопии и стентирования. Из 756 операций по поводу рака эндометрия в одном случае кровопотеря превысила 200 мл и оказалась связанной с варикозным расширением вен малого таза. Остальные осложнения, такие как лимфорея, формирование лимфатических кист, прикультевых гематом достоверно реже встречались у больных после лапароскопических операций и не привели к увеличению сроков госпитализации и отсрочке с началом адъювантного лечения. Отсутствие раны передней брюшной стенки, ранняя активизация больных, быстрое восстановление работы кишечника и самостоятельного мочеиспускания позволили избежать развития других нередких осложнений послеоперационного периода, характерных для открытых операций.</w:t>
      </w:r>
    </w:p>
    <w:p>
      <w:pPr>
        <w:pStyle w:val="BodyText"/>
        <w:spacing w:line="360" w:lineRule="auto" w:before="204"/>
        <w:ind w:left="102" w:right="100" w:firstLine="347"/>
        <w:jc w:val="both"/>
      </w:pPr>
      <w:r>
        <w:rPr/>
        <w:t>После лапароскопических операций не встретилось ни одного такого тяжелого осложнения, как перитонит, кишечная непроходимость, эвентрация. При выполнении лапаротомий их частота также оказалась невысокой, но полностью избежать их все-таки не удалось. Чаще они развивались у пожилых, ослабленных больных с выраженной сопутствующей патологией и ожирением.</w:t>
      </w:r>
    </w:p>
    <w:p>
      <w:pPr>
        <w:pStyle w:val="BodyText"/>
        <w:spacing w:line="360" w:lineRule="auto" w:before="206"/>
        <w:ind w:left="102" w:right="108" w:firstLine="487"/>
        <w:jc w:val="both"/>
      </w:pPr>
      <w:r>
        <w:rPr/>
        <w:t>В заключение можно сказать о том, что лапароскопический доступ является методом выбора у неосложненных по соматическому статусу и распространенности опухолевого процесса больных раком эндометрия. У пациенток с сопутствующей патологией, выраженным ожирением он  также может быть рекомендован при наличии достаточного опыта хирургической и анестезиологических</w:t>
      </w:r>
      <w:r>
        <w:rPr>
          <w:spacing w:val="-18"/>
        </w:rPr>
        <w:t> </w:t>
      </w:r>
      <w:r>
        <w:rPr/>
        <w:t>бригад.</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BodyText"/>
        <w:tabs>
          <w:tab w:pos="5061" w:val="left" w:leader="none"/>
        </w:tabs>
        <w:spacing w:line="360" w:lineRule="auto" w:before="224"/>
        <w:ind w:left="102" w:right="107" w:firstLine="278"/>
      </w:pPr>
      <w:r>
        <w:rPr/>
        <w:t>На  основании </w:t>
      </w:r>
      <w:r>
        <w:rPr>
          <w:spacing w:val="19"/>
        </w:rPr>
        <w:t> </w:t>
      </w:r>
      <w:r>
        <w:rPr/>
        <w:t>опыта </w:t>
      </w:r>
      <w:r>
        <w:rPr>
          <w:spacing w:val="10"/>
        </w:rPr>
        <w:t> </w:t>
      </w:r>
      <w:r>
        <w:rPr/>
        <w:t>выполнения</w:t>
        <w:tab/>
        <w:t>75  оперативных </w:t>
      </w:r>
      <w:r>
        <w:rPr>
          <w:spacing w:val="21"/>
        </w:rPr>
        <w:t> </w:t>
      </w:r>
      <w:r>
        <w:rPr/>
        <w:t>вмешательств </w:t>
      </w:r>
      <w:r>
        <w:rPr>
          <w:spacing w:val="11"/>
        </w:rPr>
        <w:t> </w:t>
      </w:r>
      <w:r>
        <w:rPr/>
        <w:t>у</w:t>
      </w:r>
      <w:r>
        <w:rPr>
          <w:w w:val="100"/>
        </w:rPr>
        <w:t> </w:t>
      </w:r>
      <w:r>
        <w:rPr/>
        <w:t>больных раком шейки матки I стадии  и 25 больных начальным</w:t>
      </w:r>
      <w:r>
        <w:rPr>
          <w:spacing w:val="-15"/>
        </w:rPr>
        <w:t> </w:t>
      </w:r>
      <w:r>
        <w:rPr/>
        <w:t>раком</w:t>
      </w:r>
    </w:p>
    <w:p>
      <w:pPr>
        <w:pStyle w:val="BodyText"/>
        <w:tabs>
          <w:tab w:pos="1591" w:val="left" w:leader="none"/>
          <w:tab w:pos="3004" w:val="left" w:leader="none"/>
          <w:tab w:pos="5253" w:val="left" w:leader="none"/>
          <w:tab w:pos="7193" w:val="left" w:leader="none"/>
          <w:tab w:pos="7704" w:val="left" w:leader="none"/>
        </w:tabs>
        <w:spacing w:line="360" w:lineRule="auto" w:before="207"/>
        <w:ind w:left="102" w:right="107"/>
      </w:pPr>
      <w:r>
        <w:rPr/>
        <w:t>яичников</w:t>
        <w:tab/>
        <w:t>доказана</w:t>
        <w:tab/>
        <w:t>онкологическая</w:t>
        <w:tab/>
        <w:t>безопасность</w:t>
        <w:tab/>
        <w:t>и</w:t>
        <w:tab/>
      </w:r>
      <w:r>
        <w:rPr>
          <w:spacing w:val="-1"/>
        </w:rPr>
        <w:t>техническая </w:t>
      </w:r>
      <w:r>
        <w:rPr/>
        <w:t>возможность лапароскопических радикальных</w:t>
      </w:r>
      <w:r>
        <w:rPr>
          <w:spacing w:val="-16"/>
        </w:rPr>
        <w:t> </w:t>
      </w:r>
      <w:r>
        <w:rPr/>
        <w:t>операций.</w:t>
      </w:r>
    </w:p>
    <w:p>
      <w:pPr>
        <w:pStyle w:val="BodyText"/>
        <w:spacing w:line="362" w:lineRule="auto" w:before="204"/>
        <w:ind w:left="102" w:right="108" w:firstLine="278"/>
      </w:pPr>
      <w:r>
        <w:rPr/>
        <w:t>Трудно также переоценить роль операций хирургического стадирования у  больных местно-распространенным раком шейки матки и яичников.</w:t>
      </w:r>
    </w:p>
    <w:p>
      <w:pPr>
        <w:pStyle w:val="BodyText"/>
        <w:spacing w:line="360" w:lineRule="auto" w:before="201"/>
        <w:ind w:left="102" w:right="115" w:firstLine="278"/>
      </w:pPr>
      <w:r>
        <w:rPr/>
        <w:t>Противопоказания к лапароскопии в онкогинекологии можно обобщить в следующих трех</w:t>
      </w:r>
      <w:r>
        <w:rPr>
          <w:spacing w:val="-7"/>
        </w:rPr>
        <w:t> </w:t>
      </w:r>
      <w:r>
        <w:rPr/>
        <w:t>положениях:</w:t>
      </w:r>
    </w:p>
    <w:p>
      <w:pPr>
        <w:pStyle w:val="ListParagraph"/>
        <w:numPr>
          <w:ilvl w:val="0"/>
          <w:numId w:val="32"/>
        </w:numPr>
        <w:tabs>
          <w:tab w:pos="1002" w:val="left" w:leader="none"/>
        </w:tabs>
        <w:spacing w:line="360" w:lineRule="auto" w:before="206" w:after="0"/>
        <w:ind w:left="1002" w:right="108" w:hanging="540"/>
        <w:jc w:val="both"/>
        <w:rPr>
          <w:sz w:val="28"/>
        </w:rPr>
      </w:pPr>
      <w:r>
        <w:rPr>
          <w:sz w:val="28"/>
        </w:rPr>
        <w:t>Связанные с риском нарушений правил абластики и антибластики при значительном местном распространении опухолевого</w:t>
      </w:r>
      <w:r>
        <w:rPr>
          <w:spacing w:val="-27"/>
          <w:sz w:val="28"/>
        </w:rPr>
        <w:t> </w:t>
      </w:r>
      <w:r>
        <w:rPr>
          <w:sz w:val="28"/>
        </w:rPr>
        <w:t>процесса.</w:t>
      </w:r>
    </w:p>
    <w:p>
      <w:pPr>
        <w:pStyle w:val="ListParagraph"/>
        <w:numPr>
          <w:ilvl w:val="0"/>
          <w:numId w:val="32"/>
        </w:numPr>
        <w:tabs>
          <w:tab w:pos="1002" w:val="left" w:leader="none"/>
        </w:tabs>
        <w:spacing w:line="360" w:lineRule="auto" w:before="5" w:after="0"/>
        <w:ind w:left="1002" w:right="100" w:hanging="540"/>
        <w:jc w:val="both"/>
        <w:rPr>
          <w:sz w:val="28"/>
        </w:rPr>
      </w:pPr>
      <w:r>
        <w:rPr>
          <w:sz w:val="28"/>
        </w:rPr>
        <w:t>При декомпенсированных общих сопутствующих заболеваниях, обуславливающих высокий риск осложнений, связанных с особенностями лапароскопического</w:t>
      </w:r>
      <w:r>
        <w:rPr>
          <w:spacing w:val="-23"/>
          <w:sz w:val="28"/>
        </w:rPr>
        <w:t> </w:t>
      </w:r>
      <w:r>
        <w:rPr>
          <w:sz w:val="28"/>
        </w:rPr>
        <w:t>доступа.</w:t>
      </w:r>
    </w:p>
    <w:p>
      <w:pPr>
        <w:pStyle w:val="ListParagraph"/>
        <w:numPr>
          <w:ilvl w:val="0"/>
          <w:numId w:val="32"/>
        </w:numPr>
        <w:tabs>
          <w:tab w:pos="1002" w:val="left" w:leader="none"/>
        </w:tabs>
        <w:spacing w:line="360" w:lineRule="auto" w:before="5" w:after="0"/>
        <w:ind w:left="1002" w:right="106" w:hanging="540"/>
        <w:jc w:val="both"/>
        <w:rPr>
          <w:sz w:val="28"/>
        </w:rPr>
      </w:pPr>
      <w:r>
        <w:rPr>
          <w:sz w:val="28"/>
        </w:rPr>
        <w:t>При наличии в анамнезе неоднократных или осложненных лапаротомий, выполненных по поводу интеркуррентных заболеваний, ввиду высокого риска развития интраоперационных хирургических</w:t>
      </w:r>
      <w:r>
        <w:rPr>
          <w:spacing w:val="-10"/>
          <w:sz w:val="28"/>
        </w:rPr>
        <w:t> </w:t>
      </w:r>
      <w:r>
        <w:rPr>
          <w:sz w:val="28"/>
        </w:rPr>
        <w:t>осложнений.</w:t>
      </w:r>
    </w:p>
    <w:p>
      <w:pPr>
        <w:pStyle w:val="BodyText"/>
        <w:spacing w:line="360" w:lineRule="auto" w:before="5"/>
        <w:ind w:left="102" w:right="100" w:firstLine="417"/>
        <w:jc w:val="both"/>
      </w:pPr>
      <w:r>
        <w:rPr/>
        <w:t>В любом случае, во главе угла всегда должны находиться интересы больной. Если в ходе лапароскопической операции выясняется, что она может оказаться нерадикальной или излишне длительной и травматичной  и тем самым причинить вред пациентке, абсолютно оправданным окажется выполнение конверсионной</w:t>
      </w:r>
      <w:r>
        <w:rPr>
          <w:spacing w:val="-20"/>
        </w:rPr>
        <w:t> </w:t>
      </w:r>
      <w:r>
        <w:rPr/>
        <w:t>лапаротомии.</w:t>
      </w:r>
    </w:p>
    <w:p>
      <w:pPr>
        <w:spacing w:after="0" w:line="360" w:lineRule="auto"/>
        <w:jc w:val="both"/>
        <w:sectPr>
          <w:pgSz w:w="11900" w:h="16850"/>
          <w:pgMar w:header="712" w:footer="0" w:top="1020" w:bottom="280" w:left="1600" w:right="1020"/>
        </w:sectPr>
      </w:pPr>
    </w:p>
    <w:p>
      <w:pPr>
        <w:pStyle w:val="BodyText"/>
        <w:rPr>
          <w:sz w:val="20"/>
        </w:rPr>
      </w:pPr>
    </w:p>
    <w:p>
      <w:pPr>
        <w:pStyle w:val="BodyText"/>
        <w:rPr>
          <w:sz w:val="20"/>
        </w:rPr>
      </w:pPr>
    </w:p>
    <w:p>
      <w:pPr>
        <w:pStyle w:val="Heading1"/>
        <w:spacing w:before="228"/>
        <w:ind w:right="380"/>
        <w:jc w:val="center"/>
      </w:pPr>
      <w:r>
        <w:rPr/>
        <w:t>ВЫВОДЫ</w:t>
      </w:r>
    </w:p>
    <w:p>
      <w:pPr>
        <w:pStyle w:val="BodyText"/>
        <w:rPr>
          <w:b/>
          <w:sz w:val="30"/>
        </w:rPr>
      </w:pPr>
    </w:p>
    <w:p>
      <w:pPr>
        <w:pStyle w:val="BodyText"/>
        <w:spacing w:before="7"/>
        <w:rPr>
          <w:b/>
          <w:sz w:val="40"/>
        </w:rPr>
      </w:pPr>
    </w:p>
    <w:p>
      <w:pPr>
        <w:pStyle w:val="ListParagraph"/>
        <w:numPr>
          <w:ilvl w:val="0"/>
          <w:numId w:val="33"/>
        </w:numPr>
        <w:tabs>
          <w:tab w:pos="462" w:val="left" w:leader="none"/>
        </w:tabs>
        <w:spacing w:line="360" w:lineRule="auto" w:before="0" w:after="0"/>
        <w:ind w:left="462" w:right="105" w:hanging="360"/>
        <w:jc w:val="both"/>
        <w:rPr>
          <w:sz w:val="28"/>
        </w:rPr>
      </w:pPr>
      <w:r>
        <w:rPr>
          <w:sz w:val="28"/>
        </w:rPr>
        <w:t>Современные методы (УЗИ, МРТ) определения степени распространения опухолевого процесса у больных раком шейки матки оказались достоверными у 60% больных. Диагноз рака яичников, установленный на основании данных УЗИ, МРТ и определения опухолевых маркеров подтвержден у 30%</w:t>
      </w:r>
      <w:r>
        <w:rPr>
          <w:spacing w:val="-18"/>
          <w:sz w:val="28"/>
        </w:rPr>
        <w:t> </w:t>
      </w:r>
      <w:r>
        <w:rPr>
          <w:sz w:val="28"/>
        </w:rPr>
        <w:t>больных.</w:t>
      </w:r>
    </w:p>
    <w:p>
      <w:pPr>
        <w:pStyle w:val="ListParagraph"/>
        <w:numPr>
          <w:ilvl w:val="0"/>
          <w:numId w:val="33"/>
        </w:numPr>
        <w:tabs>
          <w:tab w:pos="532" w:val="left" w:leader="none"/>
        </w:tabs>
        <w:spacing w:line="360" w:lineRule="auto" w:before="4" w:after="0"/>
        <w:ind w:left="462" w:right="103" w:hanging="360"/>
        <w:jc w:val="both"/>
        <w:rPr>
          <w:sz w:val="28"/>
        </w:rPr>
      </w:pPr>
      <w:r>
        <w:rPr>
          <w:sz w:val="28"/>
        </w:rPr>
        <w:t>Лапароскопический доступ является методом выбора у больных раком эндометрия. При полном удовлетворении требованиям абластики и антибластики он характеризуется минимальной травматичностью, практическим отсутствием интра- и послеоперационных осложнений и высокими показателями общей и безрецидивной выживаемости (  до 96% при I</w:t>
      </w:r>
      <w:r>
        <w:rPr>
          <w:spacing w:val="-6"/>
          <w:sz w:val="28"/>
        </w:rPr>
        <w:t> </w:t>
      </w:r>
      <w:r>
        <w:rPr>
          <w:sz w:val="28"/>
        </w:rPr>
        <w:t>стадии).</w:t>
      </w:r>
    </w:p>
    <w:p>
      <w:pPr>
        <w:pStyle w:val="ListParagraph"/>
        <w:numPr>
          <w:ilvl w:val="0"/>
          <w:numId w:val="33"/>
        </w:numPr>
        <w:tabs>
          <w:tab w:pos="462" w:val="left" w:leader="none"/>
        </w:tabs>
        <w:spacing w:line="360" w:lineRule="auto" w:before="7" w:after="0"/>
        <w:ind w:left="462" w:right="105" w:hanging="360"/>
        <w:jc w:val="both"/>
        <w:rPr>
          <w:rFonts w:ascii="Cambria" w:hAnsi="Cambria"/>
          <w:sz w:val="28"/>
        </w:rPr>
      </w:pPr>
      <w:r>
        <w:rPr>
          <w:sz w:val="28"/>
        </w:rPr>
        <w:t>Противопоказанием к лапароскопическим операциям у больных раком эндометрия следует считать значительное местное распространение опухолевого процесса (Т2), сочетание с миомой матки или опухолями яичников более 10 см в диаметре, предшествовавшие осложненные лапаротомии и некомпенсированную сопутствующую</w:t>
      </w:r>
      <w:r>
        <w:rPr>
          <w:spacing w:val="-14"/>
          <w:sz w:val="28"/>
        </w:rPr>
        <w:t> </w:t>
      </w:r>
      <w:r>
        <w:rPr>
          <w:sz w:val="28"/>
        </w:rPr>
        <w:t>патологию</w:t>
      </w:r>
      <w:r>
        <w:rPr>
          <w:rFonts w:ascii="Cambria" w:hAnsi="Cambria"/>
          <w:sz w:val="28"/>
        </w:rPr>
        <w:t>.</w:t>
      </w:r>
    </w:p>
    <w:p>
      <w:pPr>
        <w:pStyle w:val="ListParagraph"/>
        <w:numPr>
          <w:ilvl w:val="0"/>
          <w:numId w:val="33"/>
        </w:numPr>
        <w:tabs>
          <w:tab w:pos="462" w:val="left" w:leader="none"/>
        </w:tabs>
        <w:spacing w:line="360" w:lineRule="auto" w:before="0" w:after="0"/>
        <w:ind w:left="462" w:right="99" w:hanging="360"/>
        <w:jc w:val="both"/>
        <w:rPr>
          <w:sz w:val="28"/>
        </w:rPr>
      </w:pPr>
      <w:r>
        <w:rPr>
          <w:sz w:val="28"/>
        </w:rPr>
        <w:t>Операции хирургического стадирования показаны больным местно- распространенным раком шейки матки во всех случаях заподозренного при обследовании метастатического поражения парааортальных лимфатических узлов и целесообразна при планировании сочетанного лучевого лечения. Изменение установленной при клиническом обследовании стадии произошло у 40%</w:t>
      </w:r>
      <w:r>
        <w:rPr>
          <w:spacing w:val="-14"/>
          <w:sz w:val="28"/>
        </w:rPr>
        <w:t> </w:t>
      </w:r>
      <w:r>
        <w:rPr>
          <w:sz w:val="28"/>
        </w:rPr>
        <w:t>больных.</w:t>
      </w:r>
    </w:p>
    <w:p>
      <w:pPr>
        <w:pStyle w:val="ListParagraph"/>
        <w:numPr>
          <w:ilvl w:val="0"/>
          <w:numId w:val="33"/>
        </w:numPr>
        <w:tabs>
          <w:tab w:pos="462" w:val="left" w:leader="none"/>
        </w:tabs>
        <w:spacing w:line="360" w:lineRule="auto" w:before="6" w:after="0"/>
        <w:ind w:left="462" w:right="102" w:hanging="360"/>
        <w:jc w:val="both"/>
        <w:rPr>
          <w:sz w:val="28"/>
        </w:rPr>
      </w:pPr>
      <w:r>
        <w:rPr>
          <w:sz w:val="28"/>
        </w:rPr>
        <w:t>Радикальная гистерэктомия при I стадии рака шейки матки может выполняться лапароскопическим доступом, не ухудшая отдаленных результатов лечения (96% 3-летняя общая выживаемость) и демонстрируя все преимущества малоинвазивной</w:t>
      </w:r>
      <w:r>
        <w:rPr>
          <w:spacing w:val="-21"/>
          <w:sz w:val="28"/>
        </w:rPr>
        <w:t> </w:t>
      </w:r>
      <w:r>
        <w:rPr>
          <w:sz w:val="28"/>
        </w:rPr>
        <w:t>хирургии</w:t>
      </w:r>
    </w:p>
    <w:p>
      <w:pPr>
        <w:spacing w:after="0" w:line="360" w:lineRule="auto"/>
        <w:jc w:val="both"/>
        <w:rPr>
          <w:sz w:val="28"/>
        </w:rPr>
        <w:sectPr>
          <w:pgSz w:w="11900" w:h="16850"/>
          <w:pgMar w:header="712" w:footer="0" w:top="1020" w:bottom="280" w:left="1600" w:right="1020"/>
        </w:sectPr>
      </w:pPr>
    </w:p>
    <w:p>
      <w:pPr>
        <w:pStyle w:val="BodyText"/>
        <w:rPr>
          <w:sz w:val="20"/>
        </w:rPr>
      </w:pPr>
    </w:p>
    <w:p>
      <w:pPr>
        <w:pStyle w:val="BodyText"/>
        <w:spacing w:line="360" w:lineRule="auto" w:before="252"/>
        <w:ind w:left="461" w:right="99"/>
        <w:jc w:val="both"/>
      </w:pPr>
      <w:r>
        <w:rPr/>
        <w:t>(минимальная травматичность, незначительное (до 7%) число интра- и послеоперационных осложнений, быстрая реабилитация и сокращение сроков госпитализации до 7-10 суток.</w:t>
      </w:r>
    </w:p>
    <w:p>
      <w:pPr>
        <w:pStyle w:val="ListParagraph"/>
        <w:numPr>
          <w:ilvl w:val="0"/>
          <w:numId w:val="33"/>
        </w:numPr>
        <w:tabs>
          <w:tab w:pos="462" w:val="left" w:leader="none"/>
        </w:tabs>
        <w:spacing w:line="360" w:lineRule="auto" w:before="5" w:after="0"/>
        <w:ind w:left="462" w:right="107" w:hanging="360"/>
        <w:jc w:val="both"/>
        <w:rPr>
          <w:sz w:val="28"/>
        </w:rPr>
      </w:pPr>
      <w:r>
        <w:rPr>
          <w:sz w:val="28"/>
        </w:rPr>
        <w:t>Диагностические лапароскопии на всех этапах лечения больных распространенным раком яичников позволяют избежать диагностических ошибок, встретившихся в 18%</w:t>
      </w:r>
      <w:r>
        <w:rPr>
          <w:spacing w:val="-16"/>
          <w:sz w:val="28"/>
        </w:rPr>
        <w:t> </w:t>
      </w:r>
      <w:r>
        <w:rPr>
          <w:sz w:val="28"/>
        </w:rPr>
        <w:t>случаев.</w:t>
      </w:r>
    </w:p>
    <w:p>
      <w:pPr>
        <w:pStyle w:val="ListParagraph"/>
        <w:numPr>
          <w:ilvl w:val="0"/>
          <w:numId w:val="33"/>
        </w:numPr>
        <w:tabs>
          <w:tab w:pos="462" w:val="left" w:leader="none"/>
        </w:tabs>
        <w:spacing w:line="360" w:lineRule="auto" w:before="5" w:after="0"/>
        <w:ind w:left="462" w:right="99" w:hanging="360"/>
        <w:jc w:val="both"/>
        <w:rPr>
          <w:sz w:val="28"/>
        </w:rPr>
      </w:pPr>
      <w:r>
        <w:rPr>
          <w:sz w:val="28"/>
        </w:rPr>
        <w:t>Лапароскопический доступ в хирургическом лечении рака яичников возможен только при Ia стадии при строжайшем соблюдении правил абластики и антибластики. При I стадии рака яичников частота рецидивов после лапароскопических операций достигает 20%, после лапаротомии –</w:t>
      </w:r>
      <w:r>
        <w:rPr>
          <w:spacing w:val="-6"/>
          <w:sz w:val="28"/>
        </w:rPr>
        <w:t> </w:t>
      </w:r>
      <w:r>
        <w:rPr>
          <w:sz w:val="28"/>
        </w:rPr>
        <w:t>14%.</w:t>
      </w:r>
    </w:p>
    <w:p>
      <w:pPr>
        <w:spacing w:after="0" w:line="360" w:lineRule="auto"/>
        <w:jc w:val="both"/>
        <w:rPr>
          <w:sz w:val="28"/>
        </w:rPr>
        <w:sectPr>
          <w:pgSz w:w="11900" w:h="16850"/>
          <w:pgMar w:header="712" w:footer="0" w:top="1020" w:bottom="280" w:left="1600" w:right="1020"/>
        </w:sectPr>
      </w:pPr>
    </w:p>
    <w:p>
      <w:pPr>
        <w:pStyle w:val="BodyText"/>
        <w:rPr>
          <w:sz w:val="20"/>
        </w:rPr>
      </w:pPr>
    </w:p>
    <w:p>
      <w:pPr>
        <w:pStyle w:val="BodyText"/>
        <w:rPr>
          <w:sz w:val="20"/>
        </w:rPr>
      </w:pPr>
    </w:p>
    <w:p>
      <w:pPr>
        <w:pStyle w:val="Heading1"/>
        <w:spacing w:before="228"/>
        <w:ind w:left="2073"/>
      </w:pPr>
      <w:r>
        <w:rPr/>
        <w:t>ПРАКТИЧЕСКИЕ РЕКОМЕНДАЦИИ</w:t>
      </w:r>
    </w:p>
    <w:p>
      <w:pPr>
        <w:pStyle w:val="BodyText"/>
        <w:spacing w:before="9"/>
        <w:rPr>
          <w:b/>
          <w:sz w:val="30"/>
        </w:rPr>
      </w:pPr>
    </w:p>
    <w:p>
      <w:pPr>
        <w:pStyle w:val="ListParagraph"/>
        <w:numPr>
          <w:ilvl w:val="1"/>
          <w:numId w:val="33"/>
        </w:numPr>
        <w:tabs>
          <w:tab w:pos="666" w:val="left" w:leader="none"/>
        </w:tabs>
        <w:spacing w:line="360" w:lineRule="auto" w:before="0" w:after="0"/>
        <w:ind w:left="665" w:right="102" w:hanging="360"/>
        <w:jc w:val="both"/>
        <w:rPr>
          <w:sz w:val="28"/>
        </w:rPr>
      </w:pPr>
      <w:r>
        <w:rPr>
          <w:sz w:val="28"/>
        </w:rPr>
        <w:t>Установленная в ходе настоящего исследования невысокая информативность таких современных диагностических методов, как УЗИ и МРТ при раке шейки матки, дополняемые определением опухолевого маркера СА-125 при раке яичников не позволяют слепо доверять их результатам. В спорных клинических ситуациях показано выполнение диагностической лапароскопии, позволяющей  достоверно определить степень распространенности опухолевого процесса и его резектабельность, а также получить морфологическую верификацию. Прежде всего, это касается больных раком яичников. Подобные операции позволяют составить индивидуальный план лечения в каждом конкретном случае и характеризуются малой травматичностью, быстрой реабилитацией больных и не приводят к задержке с началом специального</w:t>
      </w:r>
      <w:r>
        <w:rPr>
          <w:spacing w:val="-8"/>
          <w:sz w:val="28"/>
        </w:rPr>
        <w:t> </w:t>
      </w:r>
      <w:r>
        <w:rPr>
          <w:sz w:val="28"/>
        </w:rPr>
        <w:t>лечения.</w:t>
      </w:r>
    </w:p>
    <w:p>
      <w:pPr>
        <w:pStyle w:val="ListParagraph"/>
        <w:numPr>
          <w:ilvl w:val="1"/>
          <w:numId w:val="33"/>
        </w:numPr>
        <w:tabs>
          <w:tab w:pos="666" w:val="left" w:leader="none"/>
        </w:tabs>
        <w:spacing w:line="360" w:lineRule="auto" w:before="125" w:after="0"/>
        <w:ind w:left="665" w:right="101" w:hanging="360"/>
        <w:jc w:val="both"/>
        <w:rPr>
          <w:sz w:val="28"/>
        </w:rPr>
      </w:pPr>
      <w:r>
        <w:rPr>
          <w:sz w:val="28"/>
        </w:rPr>
        <w:t>Лапароскопический доступ является методом выбора у больных раком эндометрия. Сопутствующая сердечно-сосудистая патология, ожирение, заболевания эндокринной системы не являются противопоказанием к малоинвазивной хирургии. Минимальная травматичность вмешательства, быстрое восстановлению больных в послеоперационном периоде, наоборот, определяют показания к его применению.</w:t>
      </w:r>
    </w:p>
    <w:p>
      <w:pPr>
        <w:pStyle w:val="ListParagraph"/>
        <w:numPr>
          <w:ilvl w:val="1"/>
          <w:numId w:val="33"/>
        </w:numPr>
        <w:tabs>
          <w:tab w:pos="666" w:val="left" w:leader="none"/>
        </w:tabs>
        <w:spacing w:line="360" w:lineRule="auto" w:before="125" w:after="0"/>
        <w:ind w:left="665" w:right="106" w:hanging="360"/>
        <w:jc w:val="both"/>
        <w:rPr>
          <w:sz w:val="28"/>
        </w:rPr>
      </w:pPr>
      <w:r>
        <w:rPr>
          <w:sz w:val="28"/>
        </w:rPr>
        <w:t>Лапароскопические операции хирургического стадирования показаны больным раком шейки матки с подозрением на метастатическое поражение парааортальных    лимфатических</w:t>
      </w:r>
      <w:r>
        <w:rPr>
          <w:spacing w:val="-15"/>
          <w:sz w:val="28"/>
        </w:rPr>
        <w:t> </w:t>
      </w:r>
      <w:r>
        <w:rPr>
          <w:sz w:val="28"/>
        </w:rPr>
        <w:t>узлов.</w:t>
      </w:r>
    </w:p>
    <w:p>
      <w:pPr>
        <w:pStyle w:val="ListParagraph"/>
        <w:numPr>
          <w:ilvl w:val="1"/>
          <w:numId w:val="33"/>
        </w:numPr>
        <w:tabs>
          <w:tab w:pos="666" w:val="left" w:leader="none"/>
        </w:tabs>
        <w:spacing w:line="360" w:lineRule="auto" w:before="127" w:after="0"/>
        <w:ind w:left="665" w:right="101" w:hanging="360"/>
        <w:jc w:val="both"/>
        <w:rPr>
          <w:sz w:val="28"/>
        </w:rPr>
      </w:pPr>
      <w:r>
        <w:rPr>
          <w:sz w:val="28"/>
        </w:rPr>
        <w:t>Продемонстрирована техническая возможность выполнения радикальной гистерэктомии у больных раком шейки матки I стадии. Подтверждена онкологическая безопасность данной методики в сочетании со всеми преимуществами малоинвазивной</w:t>
      </w:r>
      <w:r>
        <w:rPr>
          <w:spacing w:val="-15"/>
          <w:sz w:val="28"/>
        </w:rPr>
        <w:t> </w:t>
      </w:r>
      <w:r>
        <w:rPr>
          <w:sz w:val="28"/>
        </w:rPr>
        <w:t>хирургии</w:t>
      </w:r>
    </w:p>
    <w:p>
      <w:pPr>
        <w:spacing w:after="0" w:line="360" w:lineRule="auto"/>
        <w:jc w:val="both"/>
        <w:rPr>
          <w:sz w:val="28"/>
        </w:rPr>
        <w:sectPr>
          <w:pgSz w:w="11900" w:h="16850"/>
          <w:pgMar w:header="712" w:footer="0" w:top="1020" w:bottom="280" w:left="1680" w:right="1020"/>
        </w:sectPr>
      </w:pPr>
    </w:p>
    <w:p>
      <w:pPr>
        <w:pStyle w:val="BodyText"/>
        <w:rPr>
          <w:sz w:val="20"/>
        </w:rPr>
      </w:pPr>
    </w:p>
    <w:p>
      <w:pPr>
        <w:pStyle w:val="BodyText"/>
        <w:spacing w:before="7"/>
        <w:rPr>
          <w:sz w:val="24"/>
        </w:rPr>
      </w:pPr>
    </w:p>
    <w:p>
      <w:pPr>
        <w:pStyle w:val="BodyText"/>
        <w:spacing w:line="360" w:lineRule="auto" w:before="89"/>
        <w:ind w:left="665" w:right="106"/>
        <w:jc w:val="both"/>
      </w:pPr>
      <w:r>
        <w:rPr/>
        <w:t>(минимальная травматичнисть и быстрая реабилитация больных). Подобные операции требуют высокой квалификации хирургической бригады и хорошей технической оснащенности операционной.</w:t>
      </w:r>
    </w:p>
    <w:p>
      <w:pPr>
        <w:pStyle w:val="ListParagraph"/>
        <w:numPr>
          <w:ilvl w:val="1"/>
          <w:numId w:val="33"/>
        </w:numPr>
        <w:tabs>
          <w:tab w:pos="666" w:val="left" w:leader="none"/>
        </w:tabs>
        <w:spacing w:line="360" w:lineRule="auto" w:before="125" w:after="0"/>
        <w:ind w:left="665" w:right="104" w:hanging="360"/>
        <w:jc w:val="both"/>
        <w:rPr>
          <w:sz w:val="28"/>
        </w:rPr>
      </w:pPr>
      <w:r>
        <w:rPr>
          <w:sz w:val="28"/>
        </w:rPr>
        <w:t>При раке яичников подтверждена высокая информативность и безопасность диагностических лапароскопических операций. Применение лапароскопического доступа при хирургическом  лечении рака яичников возможно только при I стадии заболевания со строжайшим соблюдении всех правил абластики и</w:t>
      </w:r>
      <w:r>
        <w:rPr>
          <w:spacing w:val="-19"/>
          <w:sz w:val="28"/>
        </w:rPr>
        <w:t> </w:t>
      </w:r>
      <w:r>
        <w:rPr>
          <w:sz w:val="28"/>
        </w:rPr>
        <w:t>антибластики.</w:t>
      </w:r>
    </w:p>
    <w:p>
      <w:pPr>
        <w:pStyle w:val="BodyText"/>
        <w:spacing w:line="360" w:lineRule="auto" w:before="125"/>
        <w:ind w:left="665" w:right="107"/>
        <w:jc w:val="both"/>
      </w:pPr>
      <w:r>
        <w:rPr/>
        <w:t>Незамедлительное хирургическое лечение больных с подозрением на рак яичников на сегодняшний день остается единственным способом выявления  начальных стадий заболевания.</w:t>
      </w:r>
    </w:p>
    <w:p>
      <w:pPr>
        <w:spacing w:after="0" w:line="360" w:lineRule="auto"/>
        <w:jc w:val="both"/>
        <w:sectPr>
          <w:pgSz w:w="11900" w:h="16850"/>
          <w:pgMar w:header="712" w:footer="0" w:top="1020" w:bottom="280" w:left="1680" w:right="1020"/>
        </w:sectPr>
      </w:pPr>
    </w:p>
    <w:p>
      <w:pPr>
        <w:pStyle w:val="BodyText"/>
        <w:rPr>
          <w:sz w:val="20"/>
        </w:rPr>
      </w:pPr>
    </w:p>
    <w:p>
      <w:pPr>
        <w:pStyle w:val="BodyText"/>
        <w:rPr>
          <w:sz w:val="20"/>
        </w:rPr>
      </w:pPr>
    </w:p>
    <w:p>
      <w:pPr>
        <w:pStyle w:val="Heading1"/>
        <w:spacing w:before="228"/>
        <w:ind w:left="222" w:right="240"/>
        <w:jc w:val="center"/>
      </w:pPr>
      <w:r>
        <w:rPr/>
        <w:t>ПРИЛОЖЕНИЯ</w:t>
      </w:r>
    </w:p>
    <w:p>
      <w:pPr>
        <w:pStyle w:val="BodyText"/>
        <w:rPr>
          <w:b/>
          <w:sz w:val="30"/>
        </w:rPr>
      </w:pPr>
    </w:p>
    <w:p>
      <w:pPr>
        <w:pStyle w:val="BodyText"/>
        <w:rPr>
          <w:b/>
          <w:sz w:val="30"/>
        </w:rPr>
      </w:pPr>
    </w:p>
    <w:p>
      <w:pPr>
        <w:pStyle w:val="BodyText"/>
        <w:spacing w:before="3"/>
        <w:rPr>
          <w:b/>
          <w:sz w:val="30"/>
        </w:rPr>
      </w:pPr>
    </w:p>
    <w:p>
      <w:pPr>
        <w:pStyle w:val="BodyText"/>
        <w:ind w:left="102"/>
      </w:pPr>
      <w:r>
        <w:rPr/>
        <w:t>Анкета для сбора сведений о больных раком тела   матки</w:t>
      </w:r>
    </w:p>
    <w:p>
      <w:pPr>
        <w:pStyle w:val="BodyText"/>
        <w:rPr>
          <w:sz w:val="30"/>
        </w:rPr>
      </w:pPr>
    </w:p>
    <w:p>
      <w:pPr>
        <w:pStyle w:val="BodyText"/>
        <w:spacing w:before="4"/>
        <w:rPr>
          <w:sz w:val="43"/>
        </w:rPr>
      </w:pPr>
    </w:p>
    <w:p>
      <w:pPr>
        <w:pStyle w:val="ListParagraph"/>
        <w:numPr>
          <w:ilvl w:val="0"/>
          <w:numId w:val="34"/>
        </w:numPr>
        <w:tabs>
          <w:tab w:pos="462" w:val="left" w:leader="none"/>
        </w:tabs>
        <w:spacing w:line="240" w:lineRule="auto" w:before="0" w:after="0"/>
        <w:ind w:left="462" w:right="0" w:hanging="360"/>
        <w:jc w:val="left"/>
        <w:rPr>
          <w:sz w:val="28"/>
        </w:rPr>
      </w:pPr>
      <w:r>
        <w:rPr>
          <w:sz w:val="28"/>
        </w:rPr>
        <w:t>Ф.И.О.</w:t>
      </w:r>
    </w:p>
    <w:p>
      <w:pPr>
        <w:pStyle w:val="ListParagraph"/>
        <w:numPr>
          <w:ilvl w:val="0"/>
          <w:numId w:val="34"/>
        </w:numPr>
        <w:tabs>
          <w:tab w:pos="462" w:val="left" w:leader="none"/>
        </w:tabs>
        <w:spacing w:line="240" w:lineRule="auto" w:before="160" w:after="0"/>
        <w:ind w:left="462" w:right="0" w:hanging="360"/>
        <w:jc w:val="left"/>
        <w:rPr>
          <w:sz w:val="28"/>
        </w:rPr>
      </w:pPr>
      <w:r>
        <w:rPr>
          <w:sz w:val="28"/>
        </w:rPr>
        <w:t>N. Истории</w:t>
      </w:r>
      <w:r>
        <w:rPr>
          <w:spacing w:val="-8"/>
          <w:sz w:val="28"/>
        </w:rPr>
        <w:t> </w:t>
      </w:r>
      <w:r>
        <w:rPr>
          <w:sz w:val="28"/>
        </w:rPr>
        <w:t>болезни.</w:t>
      </w:r>
    </w:p>
    <w:p>
      <w:pPr>
        <w:pStyle w:val="ListParagraph"/>
        <w:numPr>
          <w:ilvl w:val="0"/>
          <w:numId w:val="34"/>
        </w:numPr>
        <w:tabs>
          <w:tab w:pos="462" w:val="left" w:leader="none"/>
        </w:tabs>
        <w:spacing w:line="240" w:lineRule="auto" w:before="160" w:after="0"/>
        <w:ind w:left="462" w:right="0" w:hanging="360"/>
        <w:jc w:val="left"/>
        <w:rPr>
          <w:sz w:val="28"/>
        </w:rPr>
      </w:pPr>
      <w:r>
        <w:rPr>
          <w:sz w:val="28"/>
        </w:rPr>
        <w:t>Год обследования (пребывание в</w:t>
      </w:r>
      <w:r>
        <w:rPr>
          <w:spacing w:val="-14"/>
          <w:sz w:val="28"/>
        </w:rPr>
        <w:t> </w:t>
      </w:r>
      <w:r>
        <w:rPr>
          <w:sz w:val="28"/>
        </w:rPr>
        <w:t>стационаре).</w:t>
      </w:r>
    </w:p>
    <w:p>
      <w:pPr>
        <w:pStyle w:val="BodyText"/>
        <w:spacing w:before="160"/>
        <w:ind w:left="102"/>
      </w:pPr>
      <w:r>
        <w:rPr/>
        <w:t>4.  Возраст:  1. До 30, 2. 30-39, 3. 40-49, 4. 50-59, 5. 60-69, 6. 70-</w:t>
      </w:r>
    </w:p>
    <w:p>
      <w:pPr>
        <w:pStyle w:val="ListParagraph"/>
        <w:numPr>
          <w:ilvl w:val="0"/>
          <w:numId w:val="35"/>
        </w:numPr>
        <w:tabs>
          <w:tab w:pos="462" w:val="left" w:leader="none"/>
        </w:tabs>
        <w:spacing w:line="240" w:lineRule="auto" w:before="162" w:after="0"/>
        <w:ind w:left="462" w:right="0" w:hanging="360"/>
        <w:jc w:val="left"/>
        <w:rPr>
          <w:sz w:val="28"/>
        </w:rPr>
      </w:pPr>
      <w:r>
        <w:rPr>
          <w:sz w:val="28"/>
        </w:rPr>
        <w:t>Ожирение (ИМТ):  0.нет</w:t>
      </w:r>
      <w:r>
        <w:rPr>
          <w:spacing w:val="-10"/>
          <w:sz w:val="28"/>
        </w:rPr>
        <w:t> </w:t>
      </w:r>
      <w:r>
        <w:rPr>
          <w:sz w:val="28"/>
        </w:rPr>
        <w:t>данных.</w:t>
      </w:r>
    </w:p>
    <w:p>
      <w:pPr>
        <w:pStyle w:val="ListParagraph"/>
        <w:numPr>
          <w:ilvl w:val="0"/>
          <w:numId w:val="35"/>
        </w:numPr>
        <w:tabs>
          <w:tab w:pos="462" w:val="left" w:leader="none"/>
          <w:tab w:pos="3821" w:val="left" w:leader="none"/>
        </w:tabs>
        <w:spacing w:line="240" w:lineRule="auto" w:before="160" w:after="0"/>
        <w:ind w:left="462" w:right="0" w:hanging="360"/>
        <w:jc w:val="left"/>
        <w:rPr>
          <w:sz w:val="28"/>
        </w:rPr>
      </w:pPr>
      <w:r>
        <w:rPr>
          <w:sz w:val="28"/>
        </w:rPr>
        <w:t>Гипертоническая</w:t>
      </w:r>
      <w:r>
        <w:rPr>
          <w:spacing w:val="-3"/>
          <w:sz w:val="28"/>
        </w:rPr>
        <w:t> </w:t>
      </w:r>
      <w:r>
        <w:rPr>
          <w:sz w:val="28"/>
        </w:rPr>
        <w:t>болезнь:</w:t>
        <w:tab/>
        <w:t>0.-нет данных, 1.-есть,</w:t>
      </w:r>
      <w:r>
        <w:rPr>
          <w:spacing w:val="-7"/>
          <w:sz w:val="28"/>
        </w:rPr>
        <w:t> </w:t>
      </w:r>
      <w:r>
        <w:rPr>
          <w:sz w:val="28"/>
        </w:rPr>
        <w:t>2.-нет.</w:t>
      </w:r>
    </w:p>
    <w:p>
      <w:pPr>
        <w:pStyle w:val="ListParagraph"/>
        <w:numPr>
          <w:ilvl w:val="0"/>
          <w:numId w:val="35"/>
        </w:numPr>
        <w:tabs>
          <w:tab w:pos="462" w:val="left" w:leader="none"/>
          <w:tab w:pos="2826" w:val="left" w:leader="none"/>
        </w:tabs>
        <w:spacing w:line="240" w:lineRule="auto" w:before="160" w:after="0"/>
        <w:ind w:left="462" w:right="0" w:hanging="360"/>
        <w:jc w:val="left"/>
        <w:rPr>
          <w:sz w:val="28"/>
        </w:rPr>
      </w:pPr>
      <w:r>
        <w:rPr>
          <w:sz w:val="28"/>
        </w:rPr>
        <w:t>Сахарный</w:t>
      </w:r>
      <w:r>
        <w:rPr>
          <w:spacing w:val="-2"/>
          <w:sz w:val="28"/>
        </w:rPr>
        <w:t> </w:t>
      </w:r>
      <w:r>
        <w:rPr>
          <w:sz w:val="28"/>
        </w:rPr>
        <w:t>диабет:</w:t>
        <w:tab/>
        <w:t>0.-нет данных,  1.-есть,</w:t>
      </w:r>
      <w:r>
        <w:rPr>
          <w:spacing w:val="-7"/>
          <w:sz w:val="28"/>
        </w:rPr>
        <w:t> </w:t>
      </w:r>
      <w:r>
        <w:rPr>
          <w:sz w:val="28"/>
        </w:rPr>
        <w:t>2.-нет.</w:t>
      </w:r>
    </w:p>
    <w:p>
      <w:pPr>
        <w:pStyle w:val="ListParagraph"/>
        <w:numPr>
          <w:ilvl w:val="0"/>
          <w:numId w:val="35"/>
        </w:numPr>
        <w:tabs>
          <w:tab w:pos="462" w:val="left" w:leader="none"/>
          <w:tab w:pos="2004" w:val="left" w:leader="none"/>
        </w:tabs>
        <w:spacing w:line="240" w:lineRule="auto" w:before="160" w:after="0"/>
        <w:ind w:left="462" w:right="0" w:hanging="360"/>
        <w:jc w:val="left"/>
        <w:rPr>
          <w:sz w:val="28"/>
        </w:rPr>
      </w:pPr>
      <w:r>
        <w:rPr>
          <w:sz w:val="28"/>
        </w:rPr>
        <w:t>Бесплодие:</w:t>
        <w:tab/>
        <w:t>0.-нет данных,  1.-есть,</w:t>
      </w:r>
      <w:r>
        <w:rPr>
          <w:spacing w:val="-8"/>
          <w:sz w:val="28"/>
        </w:rPr>
        <w:t> </w:t>
      </w:r>
      <w:r>
        <w:rPr>
          <w:sz w:val="28"/>
        </w:rPr>
        <w:t>2.-нет.</w:t>
      </w:r>
    </w:p>
    <w:p>
      <w:pPr>
        <w:pStyle w:val="ListParagraph"/>
        <w:numPr>
          <w:ilvl w:val="0"/>
          <w:numId w:val="35"/>
        </w:numPr>
        <w:tabs>
          <w:tab w:pos="462" w:val="left" w:leader="none"/>
        </w:tabs>
        <w:spacing w:line="360" w:lineRule="auto" w:before="163" w:after="0"/>
        <w:ind w:left="462" w:right="116" w:hanging="360"/>
        <w:jc w:val="left"/>
        <w:rPr>
          <w:sz w:val="28"/>
        </w:rPr>
      </w:pPr>
      <w:r>
        <w:rPr>
          <w:sz w:val="28"/>
        </w:rPr>
        <w:t>Менструальная функция: 0.-нет данных, 1.-репродуктивный возраст, 2.- пременопауза,</w:t>
      </w:r>
      <w:r>
        <w:rPr>
          <w:spacing w:val="-10"/>
          <w:sz w:val="28"/>
        </w:rPr>
        <w:t> </w:t>
      </w:r>
      <w:r>
        <w:rPr>
          <w:sz w:val="28"/>
        </w:rPr>
        <w:t>3-постменопауза.</w:t>
      </w:r>
    </w:p>
    <w:p>
      <w:pPr>
        <w:pStyle w:val="ListParagraph"/>
        <w:numPr>
          <w:ilvl w:val="0"/>
          <w:numId w:val="35"/>
        </w:numPr>
        <w:tabs>
          <w:tab w:pos="532" w:val="left" w:leader="none"/>
        </w:tabs>
        <w:spacing w:line="240" w:lineRule="auto" w:before="5" w:after="0"/>
        <w:ind w:left="531" w:right="0" w:hanging="429"/>
        <w:jc w:val="left"/>
        <w:rPr>
          <w:sz w:val="28"/>
        </w:rPr>
      </w:pPr>
      <w:r>
        <w:rPr>
          <w:sz w:val="28"/>
        </w:rPr>
        <w:t>Гормональный уровень:  0.-нет данных, 1.- 1-2, 2.</w:t>
      </w:r>
      <w:r>
        <w:rPr>
          <w:spacing w:val="-16"/>
          <w:sz w:val="28"/>
        </w:rPr>
        <w:t> </w:t>
      </w:r>
      <w:r>
        <w:rPr>
          <w:sz w:val="28"/>
        </w:rPr>
        <w:t>3-4.</w:t>
      </w:r>
    </w:p>
    <w:p>
      <w:pPr>
        <w:pStyle w:val="ListParagraph"/>
        <w:numPr>
          <w:ilvl w:val="0"/>
          <w:numId w:val="35"/>
        </w:numPr>
        <w:tabs>
          <w:tab w:pos="532" w:val="left" w:leader="none"/>
        </w:tabs>
        <w:spacing w:line="240" w:lineRule="auto" w:before="160" w:after="0"/>
        <w:ind w:left="531" w:right="0" w:hanging="429"/>
        <w:jc w:val="left"/>
        <w:rPr>
          <w:sz w:val="28"/>
        </w:rPr>
      </w:pPr>
      <w:r>
        <w:rPr>
          <w:sz w:val="28"/>
        </w:rPr>
        <w:t>Патогенетический вариант:  1.-I,</w:t>
      </w:r>
      <w:r>
        <w:rPr>
          <w:spacing w:val="65"/>
          <w:sz w:val="28"/>
        </w:rPr>
        <w:t> </w:t>
      </w:r>
      <w:r>
        <w:rPr>
          <w:sz w:val="28"/>
        </w:rPr>
        <w:t>2.-II.</w:t>
      </w:r>
    </w:p>
    <w:p>
      <w:pPr>
        <w:pStyle w:val="ListParagraph"/>
        <w:numPr>
          <w:ilvl w:val="0"/>
          <w:numId w:val="35"/>
        </w:numPr>
        <w:tabs>
          <w:tab w:pos="532" w:val="left" w:leader="none"/>
        </w:tabs>
        <w:spacing w:line="362" w:lineRule="auto" w:before="160" w:after="0"/>
        <w:ind w:left="462" w:right="121" w:hanging="360"/>
        <w:jc w:val="left"/>
        <w:rPr>
          <w:sz w:val="28"/>
        </w:rPr>
      </w:pPr>
      <w:r>
        <w:rPr>
          <w:sz w:val="28"/>
        </w:rPr>
        <w:t>Операция: 0.-нет данных, 1.-экстирпация, 2.-расширенная экстирпация, 3.-операция</w:t>
      </w:r>
      <w:r>
        <w:rPr>
          <w:spacing w:val="-8"/>
          <w:sz w:val="28"/>
        </w:rPr>
        <w:t> </w:t>
      </w:r>
      <w:r>
        <w:rPr>
          <w:sz w:val="28"/>
        </w:rPr>
        <w:t>Вертгеима.</w:t>
      </w:r>
    </w:p>
    <w:p>
      <w:pPr>
        <w:pStyle w:val="ListParagraph"/>
        <w:numPr>
          <w:ilvl w:val="0"/>
          <w:numId w:val="35"/>
        </w:numPr>
        <w:tabs>
          <w:tab w:pos="532" w:val="left" w:leader="none"/>
          <w:tab w:pos="1898" w:val="left" w:leader="none"/>
          <w:tab w:pos="3677" w:val="left" w:leader="none"/>
          <w:tab w:pos="4755" w:val="left" w:leader="none"/>
          <w:tab w:pos="6093" w:val="left" w:leader="none"/>
          <w:tab w:pos="8872" w:val="left" w:leader="none"/>
        </w:tabs>
        <w:spacing w:line="360" w:lineRule="auto" w:before="2" w:after="0"/>
        <w:ind w:left="462" w:right="116" w:hanging="360"/>
        <w:jc w:val="left"/>
        <w:rPr>
          <w:sz w:val="28"/>
        </w:rPr>
      </w:pPr>
      <w:r>
        <w:rPr>
          <w:sz w:val="28"/>
        </w:rPr>
        <w:t>Лучевое</w:t>
        <w:tab/>
        <w:t>лечение:</w:t>
        <w:tab/>
        <w:t>0.-нет</w:t>
        <w:tab/>
        <w:t>данных,</w:t>
        <w:tab/>
        <w:t>1.-эндовагинальное,</w:t>
        <w:tab/>
        <w:t>2.- дистанционное, 3.-</w:t>
      </w:r>
      <w:r>
        <w:rPr>
          <w:spacing w:val="-8"/>
          <w:sz w:val="28"/>
        </w:rPr>
        <w:t> </w:t>
      </w:r>
      <w:r>
        <w:rPr>
          <w:sz w:val="28"/>
        </w:rPr>
        <w:t>сочетанное.</w:t>
      </w:r>
    </w:p>
    <w:p>
      <w:pPr>
        <w:pStyle w:val="ListParagraph"/>
        <w:numPr>
          <w:ilvl w:val="0"/>
          <w:numId w:val="35"/>
        </w:numPr>
        <w:tabs>
          <w:tab w:pos="532" w:val="left" w:leader="none"/>
          <w:tab w:pos="3209" w:val="left" w:leader="none"/>
          <w:tab w:pos="4220" w:val="left" w:leader="none"/>
          <w:tab w:pos="5489" w:val="left" w:leader="none"/>
          <w:tab w:pos="6762" w:val="left" w:leader="none"/>
          <w:tab w:pos="8871" w:val="left" w:leader="none"/>
        </w:tabs>
        <w:spacing w:line="362" w:lineRule="auto" w:before="5" w:after="0"/>
        <w:ind w:left="462" w:right="119" w:hanging="360"/>
        <w:jc w:val="left"/>
        <w:rPr>
          <w:sz w:val="28"/>
        </w:rPr>
      </w:pPr>
      <w:r>
        <w:rPr>
          <w:sz w:val="28"/>
        </w:rPr>
        <w:t>Гормонотерапия:</w:t>
        <w:tab/>
        <w:t>0.-нет</w:t>
        <w:tab/>
        <w:t>данных,</w:t>
        <w:tab/>
        <w:t>1.-ОПК,</w:t>
        <w:tab/>
        <w:t>2.-тамоксифен,</w:t>
        <w:tab/>
        <w:t>3.- ОПК+тамоксифен.</w:t>
      </w:r>
    </w:p>
    <w:p>
      <w:pPr>
        <w:pStyle w:val="ListParagraph"/>
        <w:numPr>
          <w:ilvl w:val="0"/>
          <w:numId w:val="35"/>
        </w:numPr>
        <w:tabs>
          <w:tab w:pos="532" w:val="left" w:leader="none"/>
        </w:tabs>
        <w:spacing w:line="360" w:lineRule="auto" w:before="2" w:after="0"/>
        <w:ind w:left="462" w:right="119" w:hanging="360"/>
        <w:jc w:val="both"/>
        <w:rPr>
          <w:sz w:val="28"/>
        </w:rPr>
      </w:pPr>
      <w:r>
        <w:rPr>
          <w:sz w:val="28"/>
        </w:rPr>
        <w:t>Чувствительность к гормонотерапии: 0.-нет  данных,  1.-не проводилась, 2.-полный регресс, 3.-появление секреции 4.-полный регресс.</w:t>
      </w:r>
    </w:p>
    <w:p>
      <w:pPr>
        <w:pStyle w:val="ListParagraph"/>
        <w:numPr>
          <w:ilvl w:val="0"/>
          <w:numId w:val="35"/>
        </w:numPr>
        <w:tabs>
          <w:tab w:pos="532" w:val="left" w:leader="none"/>
        </w:tabs>
        <w:spacing w:line="240" w:lineRule="auto" w:before="7" w:after="0"/>
        <w:ind w:left="531" w:right="0" w:hanging="429"/>
        <w:jc w:val="left"/>
        <w:rPr>
          <w:sz w:val="28"/>
        </w:rPr>
      </w:pPr>
      <w:r>
        <w:rPr>
          <w:sz w:val="28"/>
        </w:rPr>
        <w:t>N гистологического</w:t>
      </w:r>
      <w:r>
        <w:rPr>
          <w:spacing w:val="-5"/>
          <w:sz w:val="28"/>
        </w:rPr>
        <w:t> </w:t>
      </w:r>
      <w:r>
        <w:rPr>
          <w:sz w:val="28"/>
        </w:rPr>
        <w:t>исследования.</w:t>
      </w:r>
    </w:p>
    <w:p>
      <w:pPr>
        <w:pStyle w:val="BodyText"/>
        <w:spacing w:line="360" w:lineRule="auto" w:before="160"/>
        <w:ind w:left="461" w:right="120" w:hanging="360"/>
      </w:pPr>
      <w:r>
        <w:rPr/>
        <w:t>17. Толщина стенки матки (см): 0.-нет данных, 1.-до 0,5; 2.-0,6-1; 3.-1,1-2; 4.-2,1-3; 5.-3,1-4; 6.-4,1-5; 7.-больше 5.</w:t>
      </w:r>
    </w:p>
    <w:p>
      <w:pPr>
        <w:spacing w:after="0" w:line="360" w:lineRule="auto"/>
        <w:sectPr>
          <w:pgSz w:w="11900" w:h="16850"/>
          <w:pgMar w:header="712" w:footer="0" w:top="1020" w:bottom="280" w:left="1600" w:right="1000"/>
        </w:sectPr>
      </w:pPr>
    </w:p>
    <w:p>
      <w:pPr>
        <w:pStyle w:val="BodyText"/>
        <w:tabs>
          <w:tab w:pos="1630" w:val="left" w:leader="none"/>
          <w:tab w:pos="2893" w:val="left" w:leader="none"/>
          <w:tab w:pos="3725" w:val="left" w:leader="none"/>
          <w:tab w:pos="4847" w:val="left" w:leader="none"/>
        </w:tabs>
        <w:spacing w:line="321" w:lineRule="exact"/>
        <w:ind w:left="102"/>
      </w:pPr>
      <w:r>
        <w:rPr/>
        <w:t>18.</w:t>
      </w:r>
      <w:r>
        <w:rPr>
          <w:spacing w:val="7"/>
        </w:rPr>
        <w:t> </w:t>
      </w:r>
      <w:r>
        <w:rPr/>
        <w:t>Размер</w:t>
        <w:tab/>
        <w:t>опухоли</w:t>
        <w:tab/>
        <w:t>(см):</w:t>
        <w:tab/>
        <w:t>0.-нет</w:t>
        <w:tab/>
        <w:t>данных, 1.-до 0,5; 2.-0,6-1; </w:t>
      </w:r>
      <w:r>
        <w:rPr>
          <w:spacing w:val="50"/>
        </w:rPr>
        <w:t> </w:t>
      </w:r>
      <w:r>
        <w:rPr/>
        <w:t>3.-1,1-2;</w:t>
      </w:r>
    </w:p>
    <w:p>
      <w:pPr>
        <w:pStyle w:val="BodyText"/>
        <w:spacing w:before="161"/>
        <w:ind w:left="461"/>
      </w:pPr>
      <w:r>
        <w:rPr/>
        <w:t>4.-2,1-3; 5.-3,1-4; 6.-4,1-5; 7.больше 5.</w:t>
      </w:r>
    </w:p>
    <w:p>
      <w:pPr>
        <w:pStyle w:val="ListParagraph"/>
        <w:numPr>
          <w:ilvl w:val="0"/>
          <w:numId w:val="36"/>
        </w:numPr>
        <w:tabs>
          <w:tab w:pos="532" w:val="left" w:leader="none"/>
        </w:tabs>
        <w:spacing w:line="360" w:lineRule="auto" w:before="163" w:after="0"/>
        <w:ind w:left="462" w:right="119" w:hanging="360"/>
        <w:jc w:val="left"/>
        <w:rPr>
          <w:sz w:val="28"/>
        </w:rPr>
      </w:pPr>
      <w:r>
        <w:rPr>
          <w:sz w:val="28"/>
        </w:rPr>
        <w:t>Локализация: 0.-нет данных; 1.-верхняя треть, 2.-вся полость, 3.- переход на цервикальный</w:t>
      </w:r>
      <w:r>
        <w:rPr>
          <w:spacing w:val="-7"/>
          <w:sz w:val="28"/>
        </w:rPr>
        <w:t> </w:t>
      </w:r>
      <w:r>
        <w:rPr>
          <w:sz w:val="28"/>
        </w:rPr>
        <w:t>канал.</w:t>
      </w:r>
    </w:p>
    <w:p>
      <w:pPr>
        <w:pStyle w:val="ListParagraph"/>
        <w:numPr>
          <w:ilvl w:val="0"/>
          <w:numId w:val="36"/>
        </w:numPr>
        <w:tabs>
          <w:tab w:pos="532" w:val="left" w:leader="none"/>
        </w:tabs>
        <w:spacing w:line="360" w:lineRule="auto" w:before="5" w:after="0"/>
        <w:ind w:left="462" w:right="119" w:hanging="360"/>
        <w:jc w:val="left"/>
        <w:rPr>
          <w:sz w:val="28"/>
        </w:rPr>
      </w:pPr>
      <w:r>
        <w:rPr>
          <w:sz w:val="28"/>
        </w:rPr>
        <w:t>Инвазия (см): 0.-нет данных, 1.-без инвазии, 2.-до 0,5, 3.-0,6-1, 4.- больше 1 см.</w:t>
      </w:r>
    </w:p>
    <w:p>
      <w:pPr>
        <w:pStyle w:val="ListParagraph"/>
        <w:numPr>
          <w:ilvl w:val="0"/>
          <w:numId w:val="36"/>
        </w:numPr>
        <w:tabs>
          <w:tab w:pos="532" w:val="left" w:leader="none"/>
        </w:tabs>
        <w:spacing w:line="360" w:lineRule="auto" w:before="7" w:after="0"/>
        <w:ind w:left="462" w:right="118" w:hanging="360"/>
        <w:jc w:val="left"/>
        <w:rPr>
          <w:sz w:val="28"/>
        </w:rPr>
      </w:pPr>
      <w:r>
        <w:rPr>
          <w:sz w:val="28"/>
        </w:rPr>
        <w:t>Инвазия по отношению к толщине стенки матки: 0.-нет данных, 1.-без инвазии, 2.-до 1/2, 3.-больше</w:t>
      </w:r>
      <w:r>
        <w:rPr>
          <w:spacing w:val="-11"/>
          <w:sz w:val="28"/>
        </w:rPr>
        <w:t> </w:t>
      </w:r>
      <w:r>
        <w:rPr>
          <w:sz w:val="28"/>
        </w:rPr>
        <w:t>1/2.</w:t>
      </w:r>
    </w:p>
    <w:p>
      <w:pPr>
        <w:pStyle w:val="ListParagraph"/>
        <w:numPr>
          <w:ilvl w:val="0"/>
          <w:numId w:val="36"/>
        </w:numPr>
        <w:tabs>
          <w:tab w:pos="532" w:val="left" w:leader="none"/>
          <w:tab w:pos="3181" w:val="left" w:leader="none"/>
          <w:tab w:pos="6149" w:val="left" w:leader="none"/>
          <w:tab w:pos="8867" w:val="left" w:leader="none"/>
        </w:tabs>
        <w:spacing w:line="360" w:lineRule="auto" w:before="5" w:after="0"/>
        <w:ind w:left="462" w:right="121" w:hanging="360"/>
        <w:jc w:val="left"/>
        <w:rPr>
          <w:sz w:val="28"/>
        </w:rPr>
      </w:pPr>
      <w:r>
        <w:rPr>
          <w:sz w:val="28"/>
        </w:rPr>
        <w:t>Гистологический тип: 0.-нет данных, 1.-аденокарцинома, 2.-папилярная аденокарцинома,</w:t>
        <w:tab/>
        <w:t>3.-мезонефроидная</w:t>
        <w:tab/>
        <w:t>аденокарцинома,</w:t>
        <w:tab/>
        <w:t>4.-</w:t>
      </w:r>
    </w:p>
    <w:p>
      <w:pPr>
        <w:pStyle w:val="BodyText"/>
        <w:tabs>
          <w:tab w:pos="2816" w:val="left" w:leader="none"/>
          <w:tab w:pos="3531" w:val="left" w:leader="none"/>
          <w:tab w:pos="5928" w:val="left" w:leader="none"/>
        </w:tabs>
        <w:spacing w:line="362" w:lineRule="auto" w:before="4"/>
        <w:ind w:left="461" w:right="123"/>
      </w:pPr>
      <w:r>
        <w:rPr/>
        <w:t>аденосквамозный</w:t>
        <w:tab/>
        <w:t>рак,</w:t>
        <w:tab/>
        <w:t>5.-аденоакантома,</w:t>
        <w:tab/>
      </w:r>
      <w:r>
        <w:rPr>
          <w:spacing w:val="-1"/>
        </w:rPr>
        <w:t>6.-недифференцированный </w:t>
      </w:r>
      <w:r>
        <w:rPr/>
        <w:t>рак.</w:t>
      </w:r>
    </w:p>
    <w:p>
      <w:pPr>
        <w:pStyle w:val="ListParagraph"/>
        <w:numPr>
          <w:ilvl w:val="0"/>
          <w:numId w:val="36"/>
        </w:numPr>
        <w:tabs>
          <w:tab w:pos="532" w:val="left" w:leader="none"/>
        </w:tabs>
        <w:spacing w:line="240" w:lineRule="auto" w:before="1" w:after="0"/>
        <w:ind w:left="531" w:right="0" w:hanging="429"/>
        <w:jc w:val="left"/>
        <w:rPr>
          <w:sz w:val="28"/>
        </w:rPr>
      </w:pPr>
      <w:r>
        <w:rPr>
          <w:sz w:val="28"/>
        </w:rPr>
        <w:t>Дифференцировка: 0.-нет данных, 1.-G1,  2.-G2,</w:t>
      </w:r>
      <w:r>
        <w:rPr>
          <w:spacing w:val="55"/>
          <w:sz w:val="28"/>
        </w:rPr>
        <w:t> </w:t>
      </w:r>
      <w:r>
        <w:rPr>
          <w:sz w:val="28"/>
        </w:rPr>
        <w:t>3.-G3.</w:t>
      </w:r>
    </w:p>
    <w:p>
      <w:pPr>
        <w:pStyle w:val="ListParagraph"/>
        <w:numPr>
          <w:ilvl w:val="0"/>
          <w:numId w:val="36"/>
        </w:numPr>
        <w:tabs>
          <w:tab w:pos="532" w:val="left" w:leader="none"/>
        </w:tabs>
        <w:spacing w:line="240" w:lineRule="auto" w:before="160" w:after="0"/>
        <w:ind w:left="531" w:right="0" w:hanging="429"/>
        <w:jc w:val="left"/>
        <w:rPr>
          <w:sz w:val="28"/>
        </w:rPr>
      </w:pPr>
      <w:r>
        <w:rPr>
          <w:sz w:val="28"/>
        </w:rPr>
        <w:t>Секреция: 0.нет данных, 1.-отсутствует, 2.-очаговая,</w:t>
      </w:r>
      <w:r>
        <w:rPr>
          <w:spacing w:val="-19"/>
          <w:sz w:val="28"/>
        </w:rPr>
        <w:t> </w:t>
      </w:r>
      <w:r>
        <w:rPr>
          <w:sz w:val="28"/>
        </w:rPr>
        <w:t>3.-диффузная.</w:t>
      </w:r>
    </w:p>
    <w:p>
      <w:pPr>
        <w:pStyle w:val="ListParagraph"/>
        <w:numPr>
          <w:ilvl w:val="0"/>
          <w:numId w:val="36"/>
        </w:numPr>
        <w:tabs>
          <w:tab w:pos="532" w:val="left" w:leader="none"/>
        </w:tabs>
        <w:spacing w:line="362" w:lineRule="auto" w:before="160" w:after="0"/>
        <w:ind w:left="462" w:right="119" w:hanging="360"/>
        <w:jc w:val="left"/>
        <w:rPr>
          <w:sz w:val="28"/>
        </w:rPr>
      </w:pPr>
      <w:r>
        <w:rPr>
          <w:sz w:val="28"/>
        </w:rPr>
        <w:t>Уровень секреции: 0.-нет данных, 1.-отсутствует, 2.-слабая (+), 3.- умеренная (++), 4.-выраженная</w:t>
      </w:r>
      <w:r>
        <w:rPr>
          <w:spacing w:val="-6"/>
          <w:sz w:val="28"/>
        </w:rPr>
        <w:t> </w:t>
      </w:r>
      <w:r>
        <w:rPr>
          <w:sz w:val="28"/>
        </w:rPr>
        <w:t>(+++).</w:t>
      </w:r>
    </w:p>
    <w:p>
      <w:pPr>
        <w:pStyle w:val="ListParagraph"/>
        <w:numPr>
          <w:ilvl w:val="0"/>
          <w:numId w:val="36"/>
        </w:numPr>
        <w:tabs>
          <w:tab w:pos="532" w:val="left" w:leader="none"/>
        </w:tabs>
        <w:spacing w:line="360" w:lineRule="auto" w:before="1" w:after="0"/>
        <w:ind w:left="462" w:right="124" w:hanging="360"/>
        <w:jc w:val="left"/>
        <w:rPr>
          <w:sz w:val="28"/>
        </w:rPr>
      </w:pPr>
      <w:r>
        <w:rPr>
          <w:sz w:val="28"/>
        </w:rPr>
        <w:t>Лимфогистиоцитарная инфильтрация: 0.-нет данных, 1.-отсутствует, 2.- очаговая,</w:t>
      </w:r>
      <w:r>
        <w:rPr>
          <w:spacing w:val="-5"/>
          <w:sz w:val="28"/>
        </w:rPr>
        <w:t> </w:t>
      </w:r>
      <w:r>
        <w:rPr>
          <w:sz w:val="28"/>
        </w:rPr>
        <w:t>3.-диффузная.</w:t>
      </w:r>
    </w:p>
    <w:p>
      <w:pPr>
        <w:pStyle w:val="ListParagraph"/>
        <w:numPr>
          <w:ilvl w:val="0"/>
          <w:numId w:val="36"/>
        </w:numPr>
        <w:tabs>
          <w:tab w:pos="532" w:val="left" w:leader="none"/>
        </w:tabs>
        <w:spacing w:line="362" w:lineRule="auto" w:before="4" w:after="0"/>
        <w:ind w:left="462" w:right="119" w:hanging="360"/>
        <w:jc w:val="left"/>
        <w:rPr>
          <w:sz w:val="28"/>
        </w:rPr>
      </w:pPr>
      <w:r>
        <w:rPr>
          <w:sz w:val="28"/>
        </w:rPr>
        <w:t>Выраженность лимфогистиоцитарной инфильтрации: 0.-нет данных, 1.- отсутствует, 2.-слабая (+), 3.-умеренная (++), 4.-выраженная</w:t>
      </w:r>
      <w:r>
        <w:rPr>
          <w:spacing w:val="-17"/>
          <w:sz w:val="28"/>
        </w:rPr>
        <w:t> </w:t>
      </w:r>
      <w:r>
        <w:rPr>
          <w:sz w:val="28"/>
        </w:rPr>
        <w:t>(+++).</w:t>
      </w:r>
    </w:p>
    <w:p>
      <w:pPr>
        <w:pStyle w:val="ListParagraph"/>
        <w:numPr>
          <w:ilvl w:val="0"/>
          <w:numId w:val="36"/>
        </w:numPr>
        <w:tabs>
          <w:tab w:pos="532" w:val="left" w:leader="none"/>
        </w:tabs>
        <w:spacing w:line="240" w:lineRule="auto" w:before="1" w:after="0"/>
        <w:ind w:left="531" w:right="0" w:hanging="429"/>
        <w:jc w:val="left"/>
        <w:rPr>
          <w:sz w:val="28"/>
        </w:rPr>
      </w:pPr>
      <w:r>
        <w:rPr>
          <w:sz w:val="28"/>
        </w:rPr>
        <w:t>Стадия до операции: 0.-нет данных, 1.-0; 2.-1; 3.-II; 4.-III;</w:t>
      </w:r>
      <w:r>
        <w:rPr>
          <w:spacing w:val="-21"/>
          <w:sz w:val="28"/>
        </w:rPr>
        <w:t> </w:t>
      </w:r>
      <w:r>
        <w:rPr>
          <w:sz w:val="28"/>
        </w:rPr>
        <w:t>5.-IV.</w:t>
      </w:r>
    </w:p>
    <w:p>
      <w:pPr>
        <w:pStyle w:val="ListParagraph"/>
        <w:numPr>
          <w:ilvl w:val="0"/>
          <w:numId w:val="36"/>
        </w:numPr>
        <w:tabs>
          <w:tab w:pos="532" w:val="left" w:leader="none"/>
        </w:tabs>
        <w:spacing w:line="360" w:lineRule="auto" w:before="159" w:after="0"/>
        <w:ind w:left="462" w:right="116" w:hanging="360"/>
        <w:jc w:val="left"/>
        <w:rPr>
          <w:sz w:val="28"/>
        </w:rPr>
      </w:pPr>
      <w:r>
        <w:rPr>
          <w:sz w:val="28"/>
        </w:rPr>
        <w:t>Стадия после операции: 0.-нет данных; 1.-0; 2.-Ia; 3.-Iв; 4.-II; 5.-III; 6.- IV.</w:t>
      </w:r>
    </w:p>
    <w:p>
      <w:pPr>
        <w:pStyle w:val="ListParagraph"/>
        <w:numPr>
          <w:ilvl w:val="0"/>
          <w:numId w:val="36"/>
        </w:numPr>
        <w:tabs>
          <w:tab w:pos="532" w:val="left" w:leader="none"/>
        </w:tabs>
        <w:spacing w:line="240" w:lineRule="auto" w:before="7" w:after="0"/>
        <w:ind w:left="531" w:right="0" w:hanging="429"/>
        <w:jc w:val="left"/>
        <w:rPr>
          <w:sz w:val="28"/>
        </w:rPr>
      </w:pPr>
      <w:r>
        <w:rPr>
          <w:sz w:val="28"/>
        </w:rPr>
        <w:t>Лимфатические узлы: 0.-нет данных; 1.-N0;</w:t>
      </w:r>
      <w:r>
        <w:rPr>
          <w:spacing w:val="-16"/>
          <w:sz w:val="28"/>
        </w:rPr>
        <w:t> </w:t>
      </w:r>
      <w:r>
        <w:rPr>
          <w:sz w:val="28"/>
        </w:rPr>
        <w:t>2.-N1.</w:t>
      </w:r>
    </w:p>
    <w:p>
      <w:pPr>
        <w:pStyle w:val="ListParagraph"/>
        <w:numPr>
          <w:ilvl w:val="0"/>
          <w:numId w:val="36"/>
        </w:numPr>
        <w:tabs>
          <w:tab w:pos="532" w:val="left" w:leader="none"/>
          <w:tab w:pos="2870" w:val="left" w:leader="none"/>
          <w:tab w:pos="4788" w:val="left" w:leader="none"/>
          <w:tab w:pos="6361" w:val="left" w:leader="none"/>
          <w:tab w:pos="7482" w:val="left" w:leader="none"/>
          <w:tab w:pos="8870" w:val="left" w:leader="none"/>
        </w:tabs>
        <w:spacing w:line="240" w:lineRule="auto" w:before="160" w:after="0"/>
        <w:ind w:left="531" w:right="0" w:hanging="429"/>
        <w:jc w:val="left"/>
        <w:rPr>
          <w:sz w:val="28"/>
        </w:rPr>
      </w:pPr>
      <w:r>
        <w:rPr>
          <w:sz w:val="28"/>
        </w:rPr>
        <w:t>Характеристика</w:t>
        <w:tab/>
        <w:t>опухолевого</w:t>
        <w:tab/>
        <w:t>процесса:</w:t>
        <w:tab/>
        <w:t>0.-нет</w:t>
        <w:tab/>
        <w:t>данных;</w:t>
        <w:tab/>
        <w:t>1.-</w:t>
      </w:r>
    </w:p>
    <w:p>
      <w:pPr>
        <w:pStyle w:val="BodyText"/>
        <w:spacing w:line="360" w:lineRule="auto" w:before="160"/>
        <w:ind w:left="461"/>
      </w:pPr>
      <w:r>
        <w:rPr/>
        <w:t>преинвазивный; 2.-микроинвазивный; 3.-местно-распространенный; 3.- метастатический.</w:t>
      </w:r>
    </w:p>
    <w:p>
      <w:pPr>
        <w:pStyle w:val="ListParagraph"/>
        <w:numPr>
          <w:ilvl w:val="0"/>
          <w:numId w:val="36"/>
        </w:numPr>
        <w:tabs>
          <w:tab w:pos="532" w:val="left" w:leader="none"/>
        </w:tabs>
        <w:spacing w:line="360" w:lineRule="auto" w:before="5" w:after="0"/>
        <w:ind w:left="462" w:right="119" w:hanging="360"/>
        <w:jc w:val="both"/>
        <w:rPr>
          <w:sz w:val="28"/>
        </w:rPr>
      </w:pPr>
      <w:r>
        <w:rPr>
          <w:sz w:val="28"/>
        </w:rPr>
        <w:t>Отдаленные результаты лечения: 0.-нет данных; 1.-жива; 2.-жива с рецидивом и метастазом; 3.-умерла от рака; 4.-умерла от интеркуррентного заболевания; 5.-исчезла из-под</w:t>
      </w:r>
      <w:r>
        <w:rPr>
          <w:spacing w:val="-19"/>
          <w:sz w:val="28"/>
        </w:rPr>
        <w:t> </w:t>
      </w:r>
      <w:r>
        <w:rPr>
          <w:sz w:val="28"/>
        </w:rPr>
        <w:t>наблюдения.</w:t>
      </w:r>
    </w:p>
    <w:p>
      <w:pPr>
        <w:spacing w:after="0" w:line="360" w:lineRule="auto"/>
        <w:jc w:val="both"/>
        <w:rPr>
          <w:sz w:val="28"/>
        </w:rPr>
        <w:sectPr>
          <w:pgSz w:w="11900" w:h="16850"/>
          <w:pgMar w:header="712" w:footer="0" w:top="1020" w:bottom="280" w:left="1600" w:right="1000"/>
        </w:sectPr>
      </w:pPr>
    </w:p>
    <w:p>
      <w:pPr>
        <w:pStyle w:val="ListParagraph"/>
        <w:numPr>
          <w:ilvl w:val="0"/>
          <w:numId w:val="36"/>
        </w:numPr>
        <w:tabs>
          <w:tab w:pos="532" w:val="left" w:leader="none"/>
          <w:tab w:pos="1738" w:val="left" w:leader="none"/>
          <w:tab w:pos="3728" w:val="left" w:leader="none"/>
          <w:tab w:pos="4847" w:val="left" w:leader="none"/>
        </w:tabs>
        <w:spacing w:line="360" w:lineRule="auto" w:before="0" w:after="0"/>
        <w:ind w:left="462" w:right="121" w:hanging="360"/>
        <w:jc w:val="left"/>
        <w:rPr>
          <w:sz w:val="28"/>
        </w:rPr>
      </w:pPr>
      <w:r>
        <w:rPr>
          <w:sz w:val="28"/>
        </w:rPr>
        <w:t>Сроки</w:t>
        <w:tab/>
        <w:t>наблюдения:</w:t>
        <w:tab/>
        <w:t>0.-нет</w:t>
        <w:tab/>
        <w:t>данных; 1.-до 1 года;  </w:t>
      </w:r>
      <w:r>
        <w:rPr>
          <w:spacing w:val="10"/>
          <w:sz w:val="28"/>
        </w:rPr>
        <w:t> </w:t>
      </w:r>
      <w:r>
        <w:rPr>
          <w:sz w:val="28"/>
        </w:rPr>
        <w:t>2.-1-2г.;</w:t>
      </w:r>
      <w:r>
        <w:rPr>
          <w:spacing w:val="35"/>
          <w:sz w:val="28"/>
        </w:rPr>
        <w:t> </w:t>
      </w:r>
      <w:r>
        <w:rPr>
          <w:sz w:val="28"/>
        </w:rPr>
        <w:t>3.-2-</w:t>
      </w:r>
      <w:r>
        <w:rPr>
          <w:w w:val="100"/>
          <w:sz w:val="28"/>
        </w:rPr>
        <w:t> </w:t>
      </w:r>
      <w:r>
        <w:rPr>
          <w:sz w:val="28"/>
        </w:rPr>
        <w:t>3г.; 4.-3-4г.; 5.-4-5г.;  6.-5 и более</w:t>
      </w:r>
      <w:r>
        <w:rPr>
          <w:spacing w:val="-11"/>
          <w:sz w:val="28"/>
        </w:rPr>
        <w:t> </w:t>
      </w:r>
      <w:r>
        <w:rPr>
          <w:sz w:val="28"/>
        </w:rPr>
        <w:t>лет.</w:t>
      </w:r>
    </w:p>
    <w:p>
      <w:pPr>
        <w:pStyle w:val="ListParagraph"/>
        <w:numPr>
          <w:ilvl w:val="0"/>
          <w:numId w:val="36"/>
        </w:numPr>
        <w:tabs>
          <w:tab w:pos="532" w:val="left" w:leader="none"/>
        </w:tabs>
        <w:spacing w:line="360" w:lineRule="auto" w:before="8" w:after="0"/>
        <w:ind w:left="462" w:right="116" w:hanging="360"/>
        <w:jc w:val="left"/>
        <w:rPr>
          <w:sz w:val="28"/>
        </w:rPr>
      </w:pPr>
      <w:r>
        <w:rPr>
          <w:sz w:val="28"/>
        </w:rPr>
        <w:t>Состояние яичников: 0.-нет данных; 1.-фиброз; 2.-гиперплазия; 3.- метастазы; 4.-первично множественная</w:t>
      </w:r>
      <w:r>
        <w:rPr>
          <w:spacing w:val="-16"/>
          <w:sz w:val="28"/>
        </w:rPr>
        <w:t> </w:t>
      </w:r>
      <w:r>
        <w:rPr>
          <w:sz w:val="28"/>
        </w:rPr>
        <w:t>опухоль.</w:t>
      </w:r>
    </w:p>
    <w:p>
      <w:pPr>
        <w:pStyle w:val="BodyText"/>
        <w:spacing w:before="5"/>
        <w:ind w:left="102"/>
      </w:pPr>
      <w:r>
        <w:rPr/>
        <w:t>35.Доступ 1-лапаротомия, 2-лапароскопия.</w:t>
      </w:r>
    </w:p>
    <w:p>
      <w:pPr>
        <w:pStyle w:val="ListParagraph"/>
        <w:numPr>
          <w:ilvl w:val="0"/>
          <w:numId w:val="37"/>
        </w:numPr>
        <w:tabs>
          <w:tab w:pos="594" w:val="left" w:leader="none"/>
        </w:tabs>
        <w:spacing w:line="240" w:lineRule="auto" w:before="160" w:after="0"/>
        <w:ind w:left="593" w:right="0" w:hanging="422"/>
        <w:jc w:val="left"/>
        <w:rPr>
          <w:sz w:val="28"/>
        </w:rPr>
      </w:pPr>
      <w:r>
        <w:rPr>
          <w:sz w:val="28"/>
        </w:rPr>
        <w:t>Интраоперационные</w:t>
      </w:r>
      <w:r>
        <w:rPr>
          <w:spacing w:val="-18"/>
          <w:sz w:val="28"/>
        </w:rPr>
        <w:t> </w:t>
      </w:r>
      <w:r>
        <w:rPr>
          <w:sz w:val="28"/>
        </w:rPr>
        <w:t>осложнения</w:t>
      </w:r>
    </w:p>
    <w:p>
      <w:pPr>
        <w:pStyle w:val="BodyText"/>
        <w:spacing w:before="5"/>
        <w:rPr>
          <w:sz w:val="31"/>
        </w:rPr>
      </w:pPr>
    </w:p>
    <w:p>
      <w:pPr>
        <w:pStyle w:val="ListParagraph"/>
        <w:numPr>
          <w:ilvl w:val="1"/>
          <w:numId w:val="37"/>
        </w:numPr>
        <w:tabs>
          <w:tab w:pos="3953" w:val="left" w:leader="none"/>
        </w:tabs>
        <w:spacing w:line="240" w:lineRule="auto" w:before="0" w:after="0"/>
        <w:ind w:left="3952" w:right="360" w:hanging="211"/>
        <w:jc w:val="left"/>
        <w:rPr>
          <w:sz w:val="28"/>
        </w:rPr>
      </w:pPr>
      <w:r>
        <w:rPr>
          <w:sz w:val="28"/>
        </w:rPr>
        <w:t>– не</w:t>
      </w:r>
      <w:r>
        <w:rPr>
          <w:spacing w:val="-3"/>
          <w:sz w:val="28"/>
        </w:rPr>
        <w:t> </w:t>
      </w:r>
      <w:r>
        <w:rPr>
          <w:sz w:val="28"/>
        </w:rPr>
        <w:t>было;</w:t>
      </w:r>
    </w:p>
    <w:p>
      <w:pPr>
        <w:pStyle w:val="BodyText"/>
        <w:spacing w:before="3"/>
        <w:rPr>
          <w:sz w:val="31"/>
        </w:rPr>
      </w:pPr>
    </w:p>
    <w:p>
      <w:pPr>
        <w:pStyle w:val="ListParagraph"/>
        <w:numPr>
          <w:ilvl w:val="1"/>
          <w:numId w:val="37"/>
        </w:numPr>
        <w:tabs>
          <w:tab w:pos="3962" w:val="left" w:leader="none"/>
        </w:tabs>
        <w:spacing w:line="240" w:lineRule="auto" w:before="0" w:after="0"/>
        <w:ind w:left="3961" w:right="0" w:hanging="211"/>
        <w:jc w:val="left"/>
        <w:rPr>
          <w:sz w:val="28"/>
        </w:rPr>
      </w:pPr>
      <w:r>
        <w:rPr>
          <w:sz w:val="28"/>
        </w:rPr>
        <w:t>–</w:t>
      </w:r>
      <w:r>
        <w:rPr>
          <w:spacing w:val="-2"/>
          <w:sz w:val="28"/>
        </w:rPr>
        <w:t> </w:t>
      </w:r>
      <w:r>
        <w:rPr>
          <w:sz w:val="28"/>
        </w:rPr>
        <w:t>кровотечение;</w:t>
      </w:r>
    </w:p>
    <w:p>
      <w:pPr>
        <w:pStyle w:val="ListParagraph"/>
        <w:numPr>
          <w:ilvl w:val="1"/>
          <w:numId w:val="37"/>
        </w:numPr>
        <w:tabs>
          <w:tab w:pos="4022" w:val="left" w:leader="none"/>
        </w:tabs>
        <w:spacing w:line="240" w:lineRule="auto" w:before="162" w:after="0"/>
        <w:ind w:left="4021" w:right="0" w:hanging="211"/>
        <w:jc w:val="left"/>
        <w:rPr>
          <w:sz w:val="28"/>
        </w:rPr>
      </w:pPr>
      <w:r>
        <w:rPr>
          <w:sz w:val="28"/>
        </w:rPr>
        <w:t>– травма магистральных</w:t>
      </w:r>
      <w:r>
        <w:rPr>
          <w:spacing w:val="-6"/>
          <w:sz w:val="28"/>
        </w:rPr>
        <w:t> </w:t>
      </w:r>
      <w:r>
        <w:rPr>
          <w:sz w:val="28"/>
        </w:rPr>
        <w:t>сосудов;</w:t>
      </w:r>
    </w:p>
    <w:p>
      <w:pPr>
        <w:pStyle w:val="BodyText"/>
        <w:spacing w:before="2"/>
        <w:rPr>
          <w:sz w:val="31"/>
        </w:rPr>
      </w:pPr>
    </w:p>
    <w:p>
      <w:pPr>
        <w:pStyle w:val="ListParagraph"/>
        <w:numPr>
          <w:ilvl w:val="1"/>
          <w:numId w:val="37"/>
        </w:numPr>
        <w:tabs>
          <w:tab w:pos="3962" w:val="left" w:leader="none"/>
        </w:tabs>
        <w:spacing w:line="240" w:lineRule="auto" w:before="1" w:after="0"/>
        <w:ind w:left="3961" w:right="0" w:hanging="211"/>
        <w:jc w:val="left"/>
        <w:rPr>
          <w:sz w:val="28"/>
        </w:rPr>
      </w:pPr>
      <w:r>
        <w:rPr>
          <w:sz w:val="28"/>
        </w:rPr>
        <w:t>– кишечная</w:t>
      </w:r>
      <w:r>
        <w:rPr>
          <w:spacing w:val="-4"/>
          <w:sz w:val="28"/>
        </w:rPr>
        <w:t> </w:t>
      </w:r>
      <w:r>
        <w:rPr>
          <w:sz w:val="28"/>
        </w:rPr>
        <w:t>травма;</w:t>
      </w:r>
    </w:p>
    <w:p>
      <w:pPr>
        <w:pStyle w:val="ListParagraph"/>
        <w:numPr>
          <w:ilvl w:val="1"/>
          <w:numId w:val="37"/>
        </w:numPr>
        <w:tabs>
          <w:tab w:pos="3962" w:val="left" w:leader="none"/>
        </w:tabs>
        <w:spacing w:line="240" w:lineRule="auto" w:before="160" w:after="0"/>
        <w:ind w:left="3961" w:right="0" w:hanging="211"/>
        <w:jc w:val="left"/>
        <w:rPr>
          <w:sz w:val="28"/>
        </w:rPr>
      </w:pPr>
      <w:r>
        <w:rPr>
          <w:sz w:val="28"/>
        </w:rPr>
        <w:t>– травма</w:t>
      </w:r>
      <w:r>
        <w:rPr>
          <w:spacing w:val="-3"/>
          <w:sz w:val="28"/>
        </w:rPr>
        <w:t> </w:t>
      </w:r>
      <w:r>
        <w:rPr>
          <w:sz w:val="28"/>
        </w:rPr>
        <w:t>мочеточников</w:t>
      </w:r>
    </w:p>
    <w:p>
      <w:pPr>
        <w:pStyle w:val="ListParagraph"/>
        <w:numPr>
          <w:ilvl w:val="0"/>
          <w:numId w:val="38"/>
        </w:numPr>
        <w:tabs>
          <w:tab w:pos="532" w:val="left" w:leader="none"/>
          <w:tab w:pos="4921" w:val="left" w:leader="none"/>
        </w:tabs>
        <w:spacing w:line="240" w:lineRule="auto" w:before="162" w:after="0"/>
        <w:ind w:left="102" w:right="0" w:firstLine="0"/>
        <w:jc w:val="left"/>
        <w:rPr>
          <w:sz w:val="28"/>
        </w:rPr>
      </w:pPr>
      <w:r>
        <w:rPr>
          <w:sz w:val="28"/>
        </w:rPr>
        <w:t>Послеоперационные</w:t>
      </w:r>
      <w:r>
        <w:rPr>
          <w:spacing w:val="-4"/>
          <w:sz w:val="28"/>
        </w:rPr>
        <w:t> </w:t>
      </w:r>
      <w:r>
        <w:rPr>
          <w:sz w:val="28"/>
        </w:rPr>
        <w:t>осложнения</w:t>
        <w:tab/>
        <w:t>1 – не</w:t>
      </w:r>
      <w:r>
        <w:rPr>
          <w:spacing w:val="-1"/>
          <w:sz w:val="28"/>
        </w:rPr>
        <w:t> </w:t>
      </w:r>
      <w:r>
        <w:rPr>
          <w:sz w:val="28"/>
        </w:rPr>
        <w:t>было;</w:t>
      </w:r>
    </w:p>
    <w:p>
      <w:pPr>
        <w:pStyle w:val="BodyText"/>
        <w:tabs>
          <w:tab w:pos="4125" w:val="left" w:leader="none"/>
        </w:tabs>
        <w:spacing w:before="160"/>
        <w:ind w:left="574"/>
        <w:jc w:val="center"/>
      </w:pPr>
      <w:r>
        <w:rPr/>
        <w:t>2</w:t>
      </w:r>
      <w:r>
        <w:rPr>
          <w:spacing w:val="-1"/>
        </w:rPr>
        <w:t> </w:t>
      </w:r>
      <w:r>
        <w:rPr/>
        <w:t>–</w:t>
      </w:r>
      <w:r>
        <w:rPr>
          <w:spacing w:val="-1"/>
        </w:rPr>
        <w:t> </w:t>
      </w:r>
      <w:r>
        <w:rPr/>
        <w:t>лимфокиста;</w:t>
        <w:tab/>
        <w:t>4 – анемия;</w:t>
      </w:r>
    </w:p>
    <w:p>
      <w:pPr>
        <w:pStyle w:val="BodyText"/>
        <w:spacing w:before="5"/>
        <w:rPr>
          <w:sz w:val="31"/>
        </w:rPr>
      </w:pPr>
    </w:p>
    <w:p>
      <w:pPr>
        <w:pStyle w:val="BodyText"/>
        <w:tabs>
          <w:tab w:pos="6341" w:val="left" w:leader="none"/>
        </w:tabs>
        <w:spacing w:before="1"/>
        <w:ind w:left="2843"/>
      </w:pPr>
      <w:r>
        <w:rPr/>
        <w:t>3</w:t>
      </w:r>
      <w:r>
        <w:rPr>
          <w:spacing w:val="-2"/>
        </w:rPr>
        <w:t> </w:t>
      </w:r>
      <w:r>
        <w:rPr/>
        <w:t>–</w:t>
      </w:r>
      <w:r>
        <w:rPr>
          <w:spacing w:val="-2"/>
        </w:rPr>
        <w:t> </w:t>
      </w:r>
      <w:r>
        <w:rPr/>
        <w:t>лимфорея;</w:t>
        <w:tab/>
        <w:t>5 –</w:t>
      </w:r>
      <w:r>
        <w:rPr>
          <w:spacing w:val="-2"/>
        </w:rPr>
        <w:t> </w:t>
      </w:r>
      <w:r>
        <w:rPr/>
        <w:t>гидронефроз</w:t>
      </w:r>
    </w:p>
    <w:p>
      <w:pPr>
        <w:pStyle w:val="BodyText"/>
        <w:rPr>
          <w:sz w:val="30"/>
        </w:rPr>
      </w:pPr>
    </w:p>
    <w:p>
      <w:pPr>
        <w:pStyle w:val="BodyText"/>
        <w:spacing w:before="10"/>
        <w:rPr>
          <w:sz w:val="25"/>
        </w:rPr>
      </w:pPr>
    </w:p>
    <w:p>
      <w:pPr>
        <w:pStyle w:val="ListParagraph"/>
        <w:numPr>
          <w:ilvl w:val="0"/>
          <w:numId w:val="38"/>
        </w:numPr>
        <w:tabs>
          <w:tab w:pos="532" w:val="left" w:leader="none"/>
        </w:tabs>
        <w:spacing w:line="240" w:lineRule="auto" w:before="0" w:after="0"/>
        <w:ind w:left="531" w:right="0" w:hanging="429"/>
        <w:jc w:val="left"/>
        <w:rPr>
          <w:sz w:val="28"/>
        </w:rPr>
      </w:pPr>
      <w:r>
        <w:rPr>
          <w:sz w:val="28"/>
        </w:rPr>
        <w:t>Лимфорея: 1 – не</w:t>
      </w:r>
      <w:r>
        <w:rPr>
          <w:spacing w:val="-3"/>
          <w:sz w:val="28"/>
        </w:rPr>
        <w:t> </w:t>
      </w:r>
      <w:r>
        <w:rPr>
          <w:sz w:val="28"/>
        </w:rPr>
        <w:t>было;</w:t>
      </w:r>
    </w:p>
    <w:p>
      <w:pPr>
        <w:pStyle w:val="BodyText"/>
        <w:tabs>
          <w:tab w:pos="4901" w:val="left" w:leader="none"/>
        </w:tabs>
        <w:spacing w:before="160"/>
        <w:ind w:left="2209"/>
      </w:pPr>
      <w:r>
        <w:rPr/>
        <w:t>2 – 1-2 дня;</w:t>
        <w:tab/>
        <w:t>4 – 5-7</w:t>
      </w:r>
      <w:r>
        <w:rPr>
          <w:spacing w:val="-4"/>
        </w:rPr>
        <w:t> </w:t>
      </w:r>
      <w:r>
        <w:rPr/>
        <w:t>дней;</w:t>
      </w:r>
    </w:p>
    <w:p>
      <w:pPr>
        <w:pStyle w:val="BodyText"/>
        <w:tabs>
          <w:tab w:pos="2698" w:val="left" w:leader="none"/>
        </w:tabs>
        <w:spacing w:before="160"/>
        <w:ind w:right="240"/>
        <w:jc w:val="center"/>
      </w:pPr>
      <w:r>
        <w:rPr/>
        <w:t>3 – 2-5 дней;</w:t>
        <w:tab/>
        <w:t>5 – более 7</w:t>
      </w:r>
      <w:r>
        <w:rPr>
          <w:spacing w:val="-4"/>
        </w:rPr>
        <w:t> </w:t>
      </w:r>
      <w:r>
        <w:rPr/>
        <w:t>дней</w:t>
      </w:r>
    </w:p>
    <w:p>
      <w:pPr>
        <w:pStyle w:val="ListParagraph"/>
        <w:numPr>
          <w:ilvl w:val="0"/>
          <w:numId w:val="38"/>
        </w:numPr>
        <w:tabs>
          <w:tab w:pos="532" w:val="left" w:leader="none"/>
          <w:tab w:pos="3818" w:val="left" w:leader="none"/>
        </w:tabs>
        <w:spacing w:line="360" w:lineRule="auto" w:before="162" w:after="0"/>
        <w:ind w:left="102" w:right="119" w:firstLine="0"/>
        <w:jc w:val="left"/>
        <w:rPr>
          <w:sz w:val="28"/>
        </w:rPr>
      </w:pPr>
      <w:r>
        <w:rPr>
          <w:sz w:val="28"/>
        </w:rPr>
        <w:t>Длительность</w:t>
      </w:r>
      <w:r>
        <w:rPr>
          <w:spacing w:val="67"/>
          <w:sz w:val="28"/>
        </w:rPr>
        <w:t> </w:t>
      </w:r>
      <w:r>
        <w:rPr>
          <w:sz w:val="28"/>
        </w:rPr>
        <w:t>операции:</w:t>
        <w:tab/>
        <w:t>1 – 60 мин,  2 – 90,  3-120,  4 – 150</w:t>
      </w:r>
      <w:r>
        <w:rPr>
          <w:spacing w:val="-15"/>
          <w:sz w:val="28"/>
        </w:rPr>
        <w:t> </w:t>
      </w:r>
      <w:r>
        <w:rPr>
          <w:sz w:val="28"/>
        </w:rPr>
        <w:t>и</w:t>
      </w:r>
      <w:r>
        <w:rPr>
          <w:spacing w:val="-1"/>
          <w:sz w:val="28"/>
        </w:rPr>
        <w:t> </w:t>
      </w:r>
      <w:r>
        <w:rPr>
          <w:sz w:val="28"/>
        </w:rPr>
        <w:t>более</w:t>
      </w:r>
      <w:r>
        <w:rPr>
          <w:w w:val="100"/>
          <w:sz w:val="28"/>
        </w:rPr>
        <w:t> </w:t>
      </w:r>
      <w:r>
        <w:rPr>
          <w:sz w:val="28"/>
        </w:rPr>
        <w:t>39.Объем кровопотери:  0 – нд, 1 -  до 30 мл,  2 - 30-60мл,  3 – 60-100мл, </w:t>
      </w:r>
      <w:r>
        <w:rPr>
          <w:spacing w:val="50"/>
          <w:sz w:val="28"/>
        </w:rPr>
        <w:t> </w:t>
      </w:r>
      <w:r>
        <w:rPr>
          <w:sz w:val="28"/>
        </w:rPr>
        <w:t>4-</w:t>
      </w:r>
    </w:p>
    <w:p>
      <w:pPr>
        <w:pStyle w:val="BodyText"/>
        <w:spacing w:before="5"/>
        <w:ind w:left="461"/>
      </w:pPr>
      <w:r>
        <w:rPr/>
        <w:t>100-150 мл, 5 150 – 200 мл, 6 – более 200мл.</w:t>
      </w:r>
    </w:p>
    <w:p>
      <w:pPr>
        <w:spacing w:after="0"/>
        <w:sectPr>
          <w:headerReference w:type="default" r:id="rId181"/>
          <w:pgSz w:w="11900" w:h="16850"/>
          <w:pgMar w:header="712" w:footer="0" w:top="1020" w:bottom="280" w:left="1600" w:right="1000"/>
          <w:pgNumType w:start="27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5"/>
        <w:ind w:left="1153"/>
      </w:pPr>
      <w:r>
        <w:rPr/>
        <w:t>Анкета для сбора сведений о больных раком шейки матки</w:t>
      </w:r>
    </w:p>
    <w:p>
      <w:pPr>
        <w:pStyle w:val="BodyText"/>
        <w:rPr>
          <w:sz w:val="30"/>
        </w:rPr>
      </w:pPr>
    </w:p>
    <w:p>
      <w:pPr>
        <w:pStyle w:val="BodyText"/>
        <w:rPr>
          <w:sz w:val="30"/>
        </w:rPr>
      </w:pPr>
    </w:p>
    <w:p>
      <w:pPr>
        <w:pStyle w:val="BodyText"/>
        <w:spacing w:before="8"/>
        <w:rPr>
          <w:sz w:val="30"/>
        </w:rPr>
      </w:pPr>
    </w:p>
    <w:p>
      <w:pPr>
        <w:pStyle w:val="ListParagraph"/>
        <w:numPr>
          <w:ilvl w:val="0"/>
          <w:numId w:val="39"/>
        </w:numPr>
        <w:tabs>
          <w:tab w:pos="383" w:val="left" w:leader="none"/>
        </w:tabs>
        <w:spacing w:line="240" w:lineRule="auto" w:before="0" w:after="0"/>
        <w:ind w:left="102" w:right="0" w:firstLine="0"/>
        <w:jc w:val="left"/>
        <w:rPr>
          <w:sz w:val="28"/>
        </w:rPr>
      </w:pPr>
      <w:r>
        <w:rPr>
          <w:sz w:val="28"/>
        </w:rPr>
        <w:t>Ф.И.О.</w:t>
      </w:r>
    </w:p>
    <w:p>
      <w:pPr>
        <w:pStyle w:val="BodyText"/>
        <w:spacing w:before="5"/>
        <w:rPr>
          <w:sz w:val="31"/>
        </w:rPr>
      </w:pPr>
    </w:p>
    <w:p>
      <w:pPr>
        <w:pStyle w:val="ListParagraph"/>
        <w:numPr>
          <w:ilvl w:val="0"/>
          <w:numId w:val="39"/>
        </w:numPr>
        <w:tabs>
          <w:tab w:pos="383" w:val="left" w:leader="none"/>
        </w:tabs>
        <w:spacing w:line="240" w:lineRule="auto" w:before="0" w:after="0"/>
        <w:ind w:left="382" w:right="0" w:hanging="280"/>
        <w:jc w:val="left"/>
        <w:rPr>
          <w:sz w:val="28"/>
        </w:rPr>
      </w:pPr>
      <w:r>
        <w:rPr>
          <w:sz w:val="28"/>
        </w:rPr>
        <w:t>Год</w:t>
      </w:r>
      <w:r>
        <w:rPr>
          <w:spacing w:val="-7"/>
          <w:sz w:val="28"/>
        </w:rPr>
        <w:t> </w:t>
      </w:r>
      <w:r>
        <w:rPr>
          <w:sz w:val="28"/>
        </w:rPr>
        <w:t>обследования.</w:t>
      </w:r>
    </w:p>
    <w:p>
      <w:pPr>
        <w:pStyle w:val="BodyText"/>
        <w:spacing w:before="5"/>
        <w:rPr>
          <w:sz w:val="31"/>
        </w:rPr>
      </w:pPr>
    </w:p>
    <w:p>
      <w:pPr>
        <w:pStyle w:val="ListParagraph"/>
        <w:numPr>
          <w:ilvl w:val="0"/>
          <w:numId w:val="39"/>
        </w:numPr>
        <w:tabs>
          <w:tab w:pos="383" w:val="left" w:leader="none"/>
        </w:tabs>
        <w:spacing w:line="240" w:lineRule="auto" w:before="0" w:after="0"/>
        <w:ind w:left="382" w:right="0" w:hanging="280"/>
        <w:jc w:val="left"/>
        <w:rPr>
          <w:sz w:val="28"/>
        </w:rPr>
      </w:pPr>
      <w:r>
        <w:rPr>
          <w:sz w:val="28"/>
        </w:rPr>
        <w:t>№ истории</w:t>
      </w:r>
      <w:r>
        <w:rPr>
          <w:spacing w:val="-7"/>
          <w:sz w:val="28"/>
        </w:rPr>
        <w:t> </w:t>
      </w:r>
      <w:r>
        <w:rPr>
          <w:sz w:val="28"/>
        </w:rPr>
        <w:t>болезни.</w:t>
      </w:r>
    </w:p>
    <w:p>
      <w:pPr>
        <w:pStyle w:val="BodyText"/>
        <w:spacing w:before="2"/>
        <w:rPr>
          <w:sz w:val="31"/>
        </w:rPr>
      </w:pPr>
    </w:p>
    <w:p>
      <w:pPr>
        <w:pStyle w:val="ListParagraph"/>
        <w:numPr>
          <w:ilvl w:val="0"/>
          <w:numId w:val="39"/>
        </w:numPr>
        <w:tabs>
          <w:tab w:pos="383" w:val="left" w:leader="none"/>
        </w:tabs>
        <w:spacing w:line="240" w:lineRule="auto" w:before="0" w:after="0"/>
        <w:ind w:left="382" w:right="0" w:hanging="280"/>
        <w:jc w:val="left"/>
        <w:rPr>
          <w:sz w:val="28"/>
        </w:rPr>
      </w:pPr>
      <w:r>
        <w:rPr>
          <w:sz w:val="28"/>
        </w:rPr>
        <w:t>Возраст.</w:t>
      </w:r>
    </w:p>
    <w:p>
      <w:pPr>
        <w:pStyle w:val="BodyText"/>
        <w:spacing w:before="5"/>
        <w:rPr>
          <w:sz w:val="31"/>
        </w:rPr>
      </w:pPr>
    </w:p>
    <w:p>
      <w:pPr>
        <w:pStyle w:val="ListParagraph"/>
        <w:numPr>
          <w:ilvl w:val="0"/>
          <w:numId w:val="39"/>
        </w:numPr>
        <w:tabs>
          <w:tab w:pos="383" w:val="left" w:leader="none"/>
          <w:tab w:pos="4851" w:val="left" w:leader="none"/>
        </w:tabs>
        <w:spacing w:line="240" w:lineRule="auto" w:before="0" w:after="0"/>
        <w:ind w:left="382" w:right="0" w:hanging="280"/>
        <w:jc w:val="left"/>
        <w:rPr>
          <w:sz w:val="28"/>
        </w:rPr>
      </w:pPr>
      <w:r>
        <w:rPr>
          <w:sz w:val="28"/>
        </w:rPr>
        <w:t>Профессиональные</w:t>
      </w:r>
      <w:r>
        <w:rPr>
          <w:spacing w:val="-5"/>
          <w:sz w:val="28"/>
        </w:rPr>
        <w:t> </w:t>
      </w:r>
      <w:r>
        <w:rPr>
          <w:sz w:val="28"/>
        </w:rPr>
        <w:t>вредности:</w:t>
        <w:tab/>
        <w:t>1 –</w:t>
      </w:r>
      <w:r>
        <w:rPr>
          <w:spacing w:val="4"/>
          <w:sz w:val="28"/>
        </w:rPr>
        <w:t> </w:t>
      </w:r>
      <w:r>
        <w:rPr>
          <w:sz w:val="28"/>
        </w:rPr>
        <w:t>нет;</w:t>
      </w:r>
    </w:p>
    <w:p>
      <w:pPr>
        <w:pStyle w:val="BodyText"/>
        <w:spacing w:before="3"/>
        <w:rPr>
          <w:sz w:val="31"/>
        </w:rPr>
      </w:pPr>
    </w:p>
    <w:p>
      <w:pPr>
        <w:pStyle w:val="BodyText"/>
        <w:ind w:left="1694" w:right="178"/>
        <w:jc w:val="center"/>
      </w:pPr>
      <w:r>
        <w:rPr/>
        <w:t>2 – да</w:t>
      </w:r>
    </w:p>
    <w:p>
      <w:pPr>
        <w:pStyle w:val="BodyText"/>
        <w:spacing w:before="5"/>
        <w:rPr>
          <w:sz w:val="31"/>
        </w:rPr>
      </w:pPr>
    </w:p>
    <w:p>
      <w:pPr>
        <w:pStyle w:val="ListParagraph"/>
        <w:numPr>
          <w:ilvl w:val="0"/>
          <w:numId w:val="39"/>
        </w:numPr>
        <w:tabs>
          <w:tab w:pos="383" w:val="left" w:leader="none"/>
        </w:tabs>
        <w:spacing w:line="240" w:lineRule="auto" w:before="0" w:after="0"/>
        <w:ind w:left="382" w:right="0" w:hanging="280"/>
        <w:jc w:val="left"/>
        <w:rPr>
          <w:sz w:val="28"/>
        </w:rPr>
      </w:pPr>
      <w:r>
        <w:rPr>
          <w:sz w:val="28"/>
        </w:rPr>
        <w:t>Рост:</w:t>
      </w:r>
    </w:p>
    <w:p>
      <w:pPr>
        <w:pStyle w:val="BodyText"/>
        <w:spacing w:before="3"/>
        <w:rPr>
          <w:sz w:val="31"/>
        </w:rPr>
      </w:pPr>
    </w:p>
    <w:p>
      <w:pPr>
        <w:pStyle w:val="ListParagraph"/>
        <w:numPr>
          <w:ilvl w:val="0"/>
          <w:numId w:val="39"/>
        </w:numPr>
        <w:tabs>
          <w:tab w:pos="383" w:val="left" w:leader="none"/>
        </w:tabs>
        <w:spacing w:line="240" w:lineRule="auto" w:before="0" w:after="0"/>
        <w:ind w:left="382" w:right="0" w:hanging="280"/>
        <w:jc w:val="left"/>
        <w:rPr>
          <w:sz w:val="28"/>
        </w:rPr>
      </w:pPr>
      <w:r>
        <w:rPr>
          <w:sz w:val="28"/>
        </w:rPr>
        <w:t>Вес:</w:t>
      </w:r>
    </w:p>
    <w:p>
      <w:pPr>
        <w:pStyle w:val="BodyText"/>
        <w:spacing w:before="5"/>
        <w:rPr>
          <w:sz w:val="31"/>
        </w:rPr>
      </w:pPr>
    </w:p>
    <w:p>
      <w:pPr>
        <w:pStyle w:val="ListParagraph"/>
        <w:numPr>
          <w:ilvl w:val="0"/>
          <w:numId w:val="39"/>
        </w:numPr>
        <w:tabs>
          <w:tab w:pos="383" w:val="left" w:leader="none"/>
        </w:tabs>
        <w:spacing w:line="240" w:lineRule="auto" w:before="0" w:after="0"/>
        <w:ind w:left="382" w:right="0" w:hanging="280"/>
        <w:jc w:val="left"/>
        <w:rPr>
          <w:sz w:val="28"/>
        </w:rPr>
      </w:pPr>
      <w:r>
        <w:rPr>
          <w:sz w:val="28"/>
        </w:rPr>
        <w:t>ИМТ:</w:t>
      </w:r>
    </w:p>
    <w:p>
      <w:pPr>
        <w:pStyle w:val="BodyText"/>
        <w:spacing w:before="5"/>
        <w:rPr>
          <w:sz w:val="31"/>
        </w:rPr>
      </w:pPr>
    </w:p>
    <w:p>
      <w:pPr>
        <w:pStyle w:val="ListParagraph"/>
        <w:numPr>
          <w:ilvl w:val="0"/>
          <w:numId w:val="39"/>
        </w:numPr>
        <w:tabs>
          <w:tab w:pos="383" w:val="left" w:leader="none"/>
        </w:tabs>
        <w:spacing w:line="240" w:lineRule="auto" w:before="0" w:after="0"/>
        <w:ind w:left="382" w:right="0" w:hanging="280"/>
        <w:jc w:val="left"/>
        <w:rPr>
          <w:sz w:val="28"/>
        </w:rPr>
      </w:pPr>
      <w:r>
        <w:rPr>
          <w:sz w:val="28"/>
        </w:rPr>
        <w:t>Сопутствующие</w:t>
      </w:r>
      <w:r>
        <w:rPr>
          <w:spacing w:val="-9"/>
          <w:sz w:val="28"/>
        </w:rPr>
        <w:t> </w:t>
      </w:r>
      <w:r>
        <w:rPr>
          <w:sz w:val="28"/>
        </w:rPr>
        <w:t>заболевания:</w:t>
      </w:r>
    </w:p>
    <w:p>
      <w:pPr>
        <w:pStyle w:val="BodyText"/>
        <w:spacing w:before="3"/>
        <w:rPr>
          <w:sz w:val="31"/>
        </w:rPr>
      </w:pPr>
    </w:p>
    <w:p>
      <w:pPr>
        <w:pStyle w:val="ListParagraph"/>
        <w:numPr>
          <w:ilvl w:val="1"/>
          <w:numId w:val="39"/>
        </w:numPr>
        <w:tabs>
          <w:tab w:pos="1432" w:val="left" w:leader="none"/>
        </w:tabs>
        <w:spacing w:line="240" w:lineRule="auto" w:before="0" w:after="0"/>
        <w:ind w:left="1220" w:right="0" w:firstLine="0"/>
        <w:jc w:val="left"/>
        <w:rPr>
          <w:sz w:val="28"/>
        </w:rPr>
      </w:pPr>
      <w:r>
        <w:rPr>
          <w:sz w:val="28"/>
        </w:rPr>
        <w:t>–  Гипертоническая</w:t>
      </w:r>
      <w:r>
        <w:rPr>
          <w:spacing w:val="-8"/>
          <w:sz w:val="28"/>
        </w:rPr>
        <w:t> </w:t>
      </w:r>
      <w:r>
        <w:rPr>
          <w:sz w:val="28"/>
        </w:rPr>
        <w:t>болезнь</w:t>
      </w:r>
    </w:p>
    <w:p>
      <w:pPr>
        <w:pStyle w:val="BodyText"/>
        <w:spacing w:before="5"/>
        <w:rPr>
          <w:sz w:val="31"/>
        </w:rPr>
      </w:pPr>
    </w:p>
    <w:p>
      <w:pPr>
        <w:pStyle w:val="ListParagraph"/>
        <w:numPr>
          <w:ilvl w:val="1"/>
          <w:numId w:val="39"/>
        </w:numPr>
        <w:tabs>
          <w:tab w:pos="1432" w:val="left" w:leader="none"/>
        </w:tabs>
        <w:spacing w:line="240" w:lineRule="auto" w:before="0" w:after="0"/>
        <w:ind w:left="1431" w:right="0" w:hanging="211"/>
        <w:jc w:val="left"/>
        <w:rPr>
          <w:sz w:val="28"/>
        </w:rPr>
      </w:pPr>
      <w:r>
        <w:rPr>
          <w:sz w:val="28"/>
        </w:rPr>
        <w:t>–  Ишемическая болезнь</w:t>
      </w:r>
      <w:r>
        <w:rPr>
          <w:spacing w:val="-5"/>
          <w:sz w:val="28"/>
        </w:rPr>
        <w:t> </w:t>
      </w:r>
      <w:r>
        <w:rPr>
          <w:sz w:val="28"/>
        </w:rPr>
        <w:t>сердца</w:t>
      </w:r>
    </w:p>
    <w:p>
      <w:pPr>
        <w:pStyle w:val="BodyText"/>
        <w:spacing w:before="3"/>
        <w:rPr>
          <w:sz w:val="31"/>
        </w:rPr>
      </w:pPr>
    </w:p>
    <w:p>
      <w:pPr>
        <w:pStyle w:val="ListParagraph"/>
        <w:numPr>
          <w:ilvl w:val="1"/>
          <w:numId w:val="39"/>
        </w:numPr>
        <w:tabs>
          <w:tab w:pos="1432" w:val="left" w:leader="none"/>
        </w:tabs>
        <w:spacing w:line="508" w:lineRule="auto" w:before="0" w:after="0"/>
        <w:ind w:left="1220" w:right="3061" w:firstLine="0"/>
        <w:jc w:val="left"/>
        <w:rPr>
          <w:sz w:val="28"/>
        </w:rPr>
      </w:pPr>
      <w:r>
        <w:rPr>
          <w:sz w:val="28"/>
        </w:rPr>
        <w:t>– Сердечно-сосудистая патология 4 –</w:t>
      </w:r>
      <w:r>
        <w:rPr>
          <w:spacing w:val="69"/>
          <w:sz w:val="28"/>
        </w:rPr>
        <w:t> </w:t>
      </w:r>
      <w:r>
        <w:rPr>
          <w:sz w:val="28"/>
        </w:rPr>
        <w:t>Анемия</w:t>
      </w:r>
    </w:p>
    <w:p>
      <w:pPr>
        <w:pStyle w:val="BodyText"/>
        <w:spacing w:line="508" w:lineRule="auto" w:before="12"/>
        <w:ind w:left="1220" w:right="3281"/>
      </w:pPr>
      <w:r>
        <w:rPr/>
        <w:t>5 – Бронхо-лёгочные заболевания 6 –  Ауто-иммунные заболевания 7 – Церебро-васкулярная болезнь 8 –</w:t>
      </w:r>
      <w:r>
        <w:rPr>
          <w:spacing w:val="68"/>
        </w:rPr>
        <w:t> </w:t>
      </w:r>
      <w:r>
        <w:rPr/>
        <w:t>Нефропатии</w:t>
      </w:r>
    </w:p>
    <w:p>
      <w:pPr>
        <w:spacing w:after="0" w:line="508" w:lineRule="auto"/>
        <w:sectPr>
          <w:pgSz w:w="11900" w:h="16850"/>
          <w:pgMar w:header="712" w:footer="0" w:top="1020" w:bottom="280" w:left="1600" w:right="1680"/>
        </w:sectPr>
      </w:pPr>
    </w:p>
    <w:p>
      <w:pPr>
        <w:pStyle w:val="BodyText"/>
        <w:spacing w:line="511" w:lineRule="auto"/>
        <w:ind w:left="1150" w:right="5302" w:firstLine="69"/>
      </w:pPr>
      <w:r>
        <w:rPr/>
        <w:t>9 – Сахарный диабет 10 – Ожирение</w:t>
      </w:r>
    </w:p>
    <w:p>
      <w:pPr>
        <w:pStyle w:val="BodyText"/>
        <w:spacing w:line="508" w:lineRule="auto" w:before="9"/>
        <w:ind w:left="1150" w:right="2429"/>
      </w:pPr>
      <w:r>
        <w:rPr/>
        <w:t>11 – Заболевания желудочно-кишечного тракта 12 – Первично-множественные опухоли</w:t>
      </w:r>
    </w:p>
    <w:p>
      <w:pPr>
        <w:pStyle w:val="ListParagraph"/>
        <w:numPr>
          <w:ilvl w:val="0"/>
          <w:numId w:val="39"/>
        </w:numPr>
        <w:tabs>
          <w:tab w:pos="644" w:val="left" w:leader="none"/>
          <w:tab w:pos="4488" w:val="left" w:leader="none"/>
          <w:tab w:pos="5070" w:val="left" w:leader="none"/>
        </w:tabs>
        <w:spacing w:line="362" w:lineRule="auto" w:before="11" w:after="0"/>
        <w:ind w:left="102" w:right="106" w:firstLine="0"/>
        <w:jc w:val="left"/>
        <w:rPr>
          <w:sz w:val="28"/>
        </w:rPr>
      </w:pPr>
      <w:r>
        <w:rPr>
          <w:sz w:val="28"/>
        </w:rPr>
        <w:t>Онкологические заболевании женской репродуктивной системы у родственниц I, II</w:t>
      </w:r>
      <w:r>
        <w:rPr>
          <w:spacing w:val="-6"/>
          <w:sz w:val="28"/>
        </w:rPr>
        <w:t> </w:t>
      </w:r>
      <w:r>
        <w:rPr>
          <w:sz w:val="28"/>
        </w:rPr>
        <w:t>линии</w:t>
      </w:r>
      <w:r>
        <w:rPr>
          <w:spacing w:val="-2"/>
          <w:sz w:val="28"/>
        </w:rPr>
        <w:t> </w:t>
      </w:r>
      <w:r>
        <w:rPr>
          <w:sz w:val="28"/>
        </w:rPr>
        <w:t>родства:</w:t>
        <w:tab/>
        <w:t>1 </w:t>
      </w:r>
      <w:r>
        <w:rPr>
          <w:spacing w:val="1"/>
          <w:sz w:val="28"/>
        </w:rPr>
        <w:t> </w:t>
      </w:r>
      <w:r>
        <w:rPr>
          <w:sz w:val="28"/>
        </w:rPr>
        <w:t>-</w:t>
        <w:tab/>
        <w:t>нет;</w:t>
      </w:r>
    </w:p>
    <w:p>
      <w:pPr>
        <w:pStyle w:val="BodyText"/>
        <w:tabs>
          <w:tab w:pos="2692" w:val="left" w:leader="none"/>
        </w:tabs>
        <w:spacing w:before="201"/>
        <w:ind w:left="2339"/>
      </w:pPr>
      <w:r>
        <w:rPr/>
        <w:t>2</w:t>
        <w:tab/>
        <w:t>-  да</w:t>
      </w:r>
    </w:p>
    <w:p>
      <w:pPr>
        <w:pStyle w:val="BodyText"/>
        <w:spacing w:before="5"/>
        <w:rPr>
          <w:sz w:val="31"/>
        </w:rPr>
      </w:pPr>
    </w:p>
    <w:p>
      <w:pPr>
        <w:pStyle w:val="ListParagraph"/>
        <w:numPr>
          <w:ilvl w:val="0"/>
          <w:numId w:val="39"/>
        </w:numPr>
        <w:tabs>
          <w:tab w:pos="524" w:val="left" w:leader="none"/>
          <w:tab w:pos="3936" w:val="left" w:leader="none"/>
        </w:tabs>
        <w:spacing w:line="240" w:lineRule="auto" w:before="0" w:after="0"/>
        <w:ind w:left="523" w:right="0" w:hanging="421"/>
        <w:jc w:val="left"/>
        <w:rPr>
          <w:sz w:val="28"/>
        </w:rPr>
      </w:pPr>
      <w:r>
        <w:rPr>
          <w:sz w:val="28"/>
        </w:rPr>
        <w:t>Физиологический</w:t>
      </w:r>
      <w:r>
        <w:rPr>
          <w:spacing w:val="-4"/>
          <w:sz w:val="28"/>
        </w:rPr>
        <w:t> </w:t>
      </w:r>
      <w:r>
        <w:rPr>
          <w:sz w:val="28"/>
        </w:rPr>
        <w:t>период:</w:t>
        <w:tab/>
        <w:t>1  -</w:t>
      </w:r>
      <w:r>
        <w:rPr>
          <w:spacing w:val="-5"/>
          <w:sz w:val="28"/>
        </w:rPr>
        <w:t> </w:t>
      </w:r>
      <w:r>
        <w:rPr>
          <w:sz w:val="28"/>
        </w:rPr>
        <w:t>репродуктивный;</w:t>
      </w:r>
    </w:p>
    <w:p>
      <w:pPr>
        <w:pStyle w:val="BodyText"/>
        <w:spacing w:before="3"/>
        <w:rPr>
          <w:sz w:val="31"/>
        </w:rPr>
      </w:pPr>
    </w:p>
    <w:p>
      <w:pPr>
        <w:pStyle w:val="ListParagraph"/>
        <w:numPr>
          <w:ilvl w:val="0"/>
          <w:numId w:val="40"/>
        </w:numPr>
        <w:tabs>
          <w:tab w:pos="4092" w:val="left" w:leader="none"/>
        </w:tabs>
        <w:spacing w:line="240" w:lineRule="auto" w:before="0" w:after="0"/>
        <w:ind w:left="4091" w:right="0" w:hanging="281"/>
        <w:jc w:val="left"/>
        <w:rPr>
          <w:sz w:val="28"/>
        </w:rPr>
      </w:pPr>
      <w:r>
        <w:rPr>
          <w:sz w:val="28"/>
        </w:rPr>
        <w:t>-</w:t>
      </w:r>
      <w:r>
        <w:rPr>
          <w:spacing w:val="-7"/>
          <w:sz w:val="28"/>
        </w:rPr>
        <w:t> </w:t>
      </w:r>
      <w:r>
        <w:rPr>
          <w:sz w:val="28"/>
        </w:rPr>
        <w:t>перименопаузальный;</w:t>
      </w:r>
    </w:p>
    <w:p>
      <w:pPr>
        <w:pStyle w:val="BodyText"/>
        <w:spacing w:before="5"/>
        <w:rPr>
          <w:sz w:val="31"/>
        </w:rPr>
      </w:pPr>
    </w:p>
    <w:p>
      <w:pPr>
        <w:pStyle w:val="ListParagraph"/>
        <w:numPr>
          <w:ilvl w:val="0"/>
          <w:numId w:val="40"/>
        </w:numPr>
        <w:tabs>
          <w:tab w:pos="4022" w:val="left" w:leader="none"/>
        </w:tabs>
        <w:spacing w:line="240" w:lineRule="auto" w:before="0" w:after="0"/>
        <w:ind w:left="4021" w:right="0" w:hanging="211"/>
        <w:jc w:val="left"/>
        <w:rPr>
          <w:sz w:val="28"/>
        </w:rPr>
      </w:pPr>
      <w:r>
        <w:rPr>
          <w:sz w:val="28"/>
        </w:rPr>
        <w:t>–</w:t>
      </w:r>
      <w:r>
        <w:rPr>
          <w:spacing w:val="-5"/>
          <w:sz w:val="28"/>
        </w:rPr>
        <w:t> </w:t>
      </w:r>
      <w:r>
        <w:rPr>
          <w:sz w:val="28"/>
        </w:rPr>
        <w:t>менопаузальный</w:t>
      </w:r>
    </w:p>
    <w:p>
      <w:pPr>
        <w:pStyle w:val="BodyText"/>
        <w:spacing w:before="2"/>
        <w:rPr>
          <w:sz w:val="31"/>
        </w:rPr>
      </w:pPr>
    </w:p>
    <w:p>
      <w:pPr>
        <w:pStyle w:val="ListParagraph"/>
        <w:numPr>
          <w:ilvl w:val="0"/>
          <w:numId w:val="39"/>
        </w:numPr>
        <w:tabs>
          <w:tab w:pos="595" w:val="left" w:leader="none"/>
        </w:tabs>
        <w:spacing w:line="240" w:lineRule="auto" w:before="0" w:after="0"/>
        <w:ind w:left="594" w:right="0" w:hanging="492"/>
        <w:jc w:val="left"/>
        <w:rPr>
          <w:sz w:val="28"/>
        </w:rPr>
      </w:pPr>
      <w:r>
        <w:rPr>
          <w:sz w:val="28"/>
        </w:rPr>
        <w:t>Вредные привычки: 1  -</w:t>
      </w:r>
      <w:r>
        <w:rPr>
          <w:spacing w:val="62"/>
          <w:sz w:val="28"/>
        </w:rPr>
        <w:t> </w:t>
      </w:r>
      <w:r>
        <w:rPr>
          <w:sz w:val="28"/>
        </w:rPr>
        <w:t>нет;</w:t>
      </w:r>
    </w:p>
    <w:p>
      <w:pPr>
        <w:pStyle w:val="BodyText"/>
        <w:spacing w:before="5"/>
        <w:rPr>
          <w:sz w:val="31"/>
        </w:rPr>
      </w:pPr>
    </w:p>
    <w:p>
      <w:pPr>
        <w:pStyle w:val="ListParagraph"/>
        <w:numPr>
          <w:ilvl w:val="0"/>
          <w:numId w:val="41"/>
        </w:numPr>
        <w:tabs>
          <w:tab w:pos="3252" w:val="left" w:leader="none"/>
        </w:tabs>
        <w:spacing w:line="240" w:lineRule="auto" w:before="0" w:after="0"/>
        <w:ind w:left="3251" w:right="0" w:hanging="281"/>
        <w:jc w:val="left"/>
        <w:rPr>
          <w:sz w:val="28"/>
        </w:rPr>
      </w:pPr>
      <w:r>
        <w:rPr>
          <w:sz w:val="28"/>
        </w:rPr>
        <w:t>-</w:t>
      </w:r>
      <w:r>
        <w:rPr>
          <w:spacing w:val="-3"/>
          <w:sz w:val="28"/>
        </w:rPr>
        <w:t> </w:t>
      </w:r>
      <w:r>
        <w:rPr>
          <w:sz w:val="28"/>
        </w:rPr>
        <w:t>курение;</w:t>
      </w:r>
    </w:p>
    <w:p>
      <w:pPr>
        <w:pStyle w:val="BodyText"/>
        <w:spacing w:before="5"/>
        <w:rPr>
          <w:sz w:val="31"/>
        </w:rPr>
      </w:pPr>
    </w:p>
    <w:p>
      <w:pPr>
        <w:pStyle w:val="ListParagraph"/>
        <w:numPr>
          <w:ilvl w:val="0"/>
          <w:numId w:val="41"/>
        </w:numPr>
        <w:tabs>
          <w:tab w:pos="3252" w:val="left" w:leader="none"/>
        </w:tabs>
        <w:spacing w:line="240" w:lineRule="auto" w:before="0" w:after="0"/>
        <w:ind w:left="3251" w:right="0" w:hanging="281"/>
        <w:jc w:val="left"/>
        <w:rPr>
          <w:sz w:val="28"/>
        </w:rPr>
      </w:pPr>
      <w:r>
        <w:rPr>
          <w:sz w:val="28"/>
        </w:rPr>
        <w:t>-</w:t>
      </w:r>
      <w:r>
        <w:rPr>
          <w:spacing w:val="2"/>
          <w:sz w:val="28"/>
        </w:rPr>
        <w:t> </w:t>
      </w:r>
      <w:r>
        <w:rPr>
          <w:sz w:val="28"/>
        </w:rPr>
        <w:t>алкоголь</w:t>
      </w:r>
    </w:p>
    <w:p>
      <w:pPr>
        <w:pStyle w:val="BodyText"/>
        <w:spacing w:before="2"/>
        <w:rPr>
          <w:sz w:val="31"/>
        </w:rPr>
      </w:pPr>
    </w:p>
    <w:p>
      <w:pPr>
        <w:pStyle w:val="ListParagraph"/>
        <w:numPr>
          <w:ilvl w:val="0"/>
          <w:numId w:val="39"/>
        </w:numPr>
        <w:tabs>
          <w:tab w:pos="524" w:val="left" w:leader="none"/>
          <w:tab w:pos="3699" w:val="left" w:leader="none"/>
        </w:tabs>
        <w:spacing w:line="240" w:lineRule="auto" w:before="1" w:after="0"/>
        <w:ind w:left="523" w:right="0" w:hanging="421"/>
        <w:jc w:val="left"/>
        <w:rPr>
          <w:sz w:val="28"/>
        </w:rPr>
      </w:pPr>
      <w:r>
        <w:rPr>
          <w:sz w:val="28"/>
        </w:rPr>
        <w:t>Локализация</w:t>
      </w:r>
      <w:r>
        <w:rPr>
          <w:spacing w:val="-4"/>
          <w:sz w:val="28"/>
        </w:rPr>
        <w:t> </w:t>
      </w:r>
      <w:r>
        <w:rPr>
          <w:sz w:val="28"/>
        </w:rPr>
        <w:t>опухоли:</w:t>
        <w:tab/>
        <w:t>1 –</w:t>
      </w:r>
      <w:r>
        <w:rPr>
          <w:spacing w:val="1"/>
          <w:sz w:val="28"/>
        </w:rPr>
        <w:t> </w:t>
      </w:r>
      <w:r>
        <w:rPr>
          <w:sz w:val="28"/>
        </w:rPr>
        <w:t>экзоцервикс;</w:t>
      </w:r>
    </w:p>
    <w:p>
      <w:pPr>
        <w:pStyle w:val="BodyText"/>
        <w:spacing w:before="5"/>
        <w:rPr>
          <w:sz w:val="31"/>
        </w:rPr>
      </w:pPr>
    </w:p>
    <w:p>
      <w:pPr>
        <w:pStyle w:val="BodyText"/>
        <w:ind w:left="314" w:right="380"/>
        <w:jc w:val="center"/>
      </w:pPr>
      <w:r>
        <w:rPr/>
        <w:t>2 – эндоцервикс;</w:t>
      </w:r>
    </w:p>
    <w:p>
      <w:pPr>
        <w:pStyle w:val="BodyText"/>
        <w:spacing w:before="2"/>
        <w:rPr>
          <w:sz w:val="31"/>
        </w:rPr>
      </w:pPr>
    </w:p>
    <w:p>
      <w:pPr>
        <w:pStyle w:val="ListParagraph"/>
        <w:numPr>
          <w:ilvl w:val="0"/>
          <w:numId w:val="39"/>
        </w:numPr>
        <w:tabs>
          <w:tab w:pos="524" w:val="left" w:leader="none"/>
        </w:tabs>
        <w:spacing w:line="240" w:lineRule="auto" w:before="0" w:after="0"/>
        <w:ind w:left="523" w:right="0" w:hanging="421"/>
        <w:jc w:val="left"/>
        <w:rPr>
          <w:sz w:val="28"/>
        </w:rPr>
      </w:pPr>
      <w:r>
        <w:rPr>
          <w:sz w:val="28"/>
        </w:rPr>
        <w:t>Форма роста:  1 -</w:t>
      </w:r>
      <w:r>
        <w:rPr>
          <w:spacing w:val="-8"/>
          <w:sz w:val="28"/>
        </w:rPr>
        <w:t> </w:t>
      </w:r>
      <w:r>
        <w:rPr>
          <w:sz w:val="28"/>
        </w:rPr>
        <w:t>экзофитная;</w:t>
      </w:r>
    </w:p>
    <w:p>
      <w:pPr>
        <w:pStyle w:val="BodyText"/>
        <w:spacing w:before="5"/>
        <w:rPr>
          <w:sz w:val="31"/>
        </w:rPr>
      </w:pPr>
    </w:p>
    <w:p>
      <w:pPr>
        <w:pStyle w:val="ListParagraph"/>
        <w:numPr>
          <w:ilvl w:val="0"/>
          <w:numId w:val="42"/>
        </w:numPr>
        <w:tabs>
          <w:tab w:pos="2484" w:val="left" w:leader="none"/>
        </w:tabs>
        <w:spacing w:line="240" w:lineRule="auto" w:before="0" w:after="0"/>
        <w:ind w:left="2483" w:right="0" w:hanging="214"/>
        <w:jc w:val="left"/>
        <w:rPr>
          <w:sz w:val="28"/>
        </w:rPr>
      </w:pPr>
      <w:r>
        <w:rPr>
          <w:sz w:val="28"/>
        </w:rPr>
        <w:t>-</w:t>
      </w:r>
      <w:r>
        <w:rPr>
          <w:spacing w:val="-1"/>
          <w:sz w:val="28"/>
        </w:rPr>
        <w:t> </w:t>
      </w:r>
      <w:r>
        <w:rPr>
          <w:sz w:val="28"/>
        </w:rPr>
        <w:t>эндофитная;</w:t>
      </w:r>
    </w:p>
    <w:p>
      <w:pPr>
        <w:pStyle w:val="BodyText"/>
        <w:spacing w:before="2"/>
        <w:rPr>
          <w:sz w:val="31"/>
        </w:rPr>
      </w:pPr>
    </w:p>
    <w:p>
      <w:pPr>
        <w:pStyle w:val="ListParagraph"/>
        <w:numPr>
          <w:ilvl w:val="0"/>
          <w:numId w:val="42"/>
        </w:numPr>
        <w:tabs>
          <w:tab w:pos="2484" w:val="left" w:leader="none"/>
        </w:tabs>
        <w:spacing w:line="240" w:lineRule="auto" w:before="0" w:after="0"/>
        <w:ind w:left="2483" w:right="0" w:hanging="214"/>
        <w:jc w:val="left"/>
        <w:rPr>
          <w:sz w:val="28"/>
        </w:rPr>
      </w:pPr>
      <w:r>
        <w:rPr>
          <w:sz w:val="28"/>
        </w:rPr>
        <w:t>–</w:t>
      </w:r>
      <w:r>
        <w:rPr>
          <w:spacing w:val="-1"/>
          <w:sz w:val="28"/>
        </w:rPr>
        <w:t> </w:t>
      </w:r>
      <w:r>
        <w:rPr>
          <w:sz w:val="28"/>
        </w:rPr>
        <w:t>смешанная</w:t>
      </w:r>
    </w:p>
    <w:p>
      <w:pPr>
        <w:pStyle w:val="BodyText"/>
        <w:spacing w:before="5"/>
        <w:rPr>
          <w:sz w:val="31"/>
        </w:rPr>
      </w:pPr>
    </w:p>
    <w:p>
      <w:pPr>
        <w:pStyle w:val="ListParagraph"/>
        <w:numPr>
          <w:ilvl w:val="0"/>
          <w:numId w:val="39"/>
        </w:numPr>
        <w:tabs>
          <w:tab w:pos="524" w:val="left" w:leader="none"/>
          <w:tab w:pos="4980" w:val="left" w:leader="none"/>
          <w:tab w:pos="5565" w:val="left" w:leader="none"/>
        </w:tabs>
        <w:spacing w:line="240" w:lineRule="auto" w:before="0" w:after="0"/>
        <w:ind w:left="523" w:right="0" w:hanging="421"/>
        <w:jc w:val="left"/>
        <w:rPr>
          <w:sz w:val="28"/>
        </w:rPr>
      </w:pPr>
      <w:r>
        <w:rPr>
          <w:sz w:val="28"/>
        </w:rPr>
        <w:t>Переход на</w:t>
      </w:r>
      <w:r>
        <w:rPr>
          <w:spacing w:val="-4"/>
          <w:sz w:val="28"/>
        </w:rPr>
        <w:t> </w:t>
      </w:r>
      <w:r>
        <w:rPr>
          <w:sz w:val="28"/>
        </w:rPr>
        <w:t>слизистую</w:t>
      </w:r>
      <w:r>
        <w:rPr>
          <w:spacing w:val="-4"/>
          <w:sz w:val="28"/>
        </w:rPr>
        <w:t> </w:t>
      </w:r>
      <w:r>
        <w:rPr>
          <w:sz w:val="28"/>
        </w:rPr>
        <w:t>влагалища:</w:t>
        <w:tab/>
        <w:t>1 </w:t>
      </w:r>
      <w:r>
        <w:rPr>
          <w:spacing w:val="2"/>
          <w:sz w:val="28"/>
        </w:rPr>
        <w:t> </w:t>
      </w:r>
      <w:r>
        <w:rPr>
          <w:sz w:val="28"/>
        </w:rPr>
        <w:t>-</w:t>
        <w:tab/>
        <w:t>нет;</w:t>
      </w:r>
    </w:p>
    <w:p>
      <w:pPr>
        <w:pStyle w:val="BodyText"/>
        <w:spacing w:before="5"/>
        <w:rPr>
          <w:sz w:val="31"/>
        </w:rPr>
      </w:pPr>
    </w:p>
    <w:p>
      <w:pPr>
        <w:pStyle w:val="BodyText"/>
        <w:tabs>
          <w:tab w:pos="1886" w:val="left" w:leader="none"/>
        </w:tabs>
        <w:ind w:left="1372"/>
        <w:jc w:val="center"/>
      </w:pPr>
      <w:r>
        <w:rPr/>
        <w:t>2 -</w:t>
        <w:tab/>
        <w:t>да</w:t>
      </w:r>
    </w:p>
    <w:p>
      <w:pPr>
        <w:pStyle w:val="BodyText"/>
        <w:spacing w:before="2"/>
        <w:rPr>
          <w:sz w:val="31"/>
        </w:rPr>
      </w:pPr>
    </w:p>
    <w:p>
      <w:pPr>
        <w:pStyle w:val="ListParagraph"/>
        <w:numPr>
          <w:ilvl w:val="0"/>
          <w:numId w:val="39"/>
        </w:numPr>
        <w:tabs>
          <w:tab w:pos="524" w:val="left" w:leader="none"/>
          <w:tab w:pos="4667" w:val="left" w:leader="none"/>
        </w:tabs>
        <w:spacing w:line="240" w:lineRule="auto" w:before="0" w:after="0"/>
        <w:ind w:left="523" w:right="0" w:hanging="421"/>
        <w:jc w:val="left"/>
        <w:rPr>
          <w:sz w:val="28"/>
        </w:rPr>
      </w:pPr>
      <w:r>
        <w:rPr>
          <w:sz w:val="28"/>
        </w:rPr>
        <w:t>Инфильтрация параметриев:</w:t>
      </w:r>
      <w:r>
        <w:rPr>
          <w:spacing w:val="62"/>
          <w:sz w:val="28"/>
        </w:rPr>
        <w:t> </w:t>
      </w:r>
      <w:r>
        <w:rPr>
          <w:sz w:val="28"/>
        </w:rPr>
        <w:t>1  -</w:t>
        <w:tab/>
        <w:t>нет;</w:t>
      </w:r>
    </w:p>
    <w:p>
      <w:pPr>
        <w:pStyle w:val="BodyText"/>
        <w:spacing w:before="5"/>
        <w:rPr>
          <w:sz w:val="31"/>
        </w:rPr>
      </w:pPr>
    </w:p>
    <w:p>
      <w:pPr>
        <w:pStyle w:val="BodyText"/>
        <w:tabs>
          <w:tab w:pos="583" w:val="left" w:leader="none"/>
        </w:tabs>
        <w:ind w:right="380"/>
        <w:jc w:val="center"/>
      </w:pPr>
      <w:r>
        <w:rPr/>
        <w:t>2  -</w:t>
        <w:tab/>
        <w:t>да</w:t>
      </w:r>
    </w:p>
    <w:p>
      <w:pPr>
        <w:spacing w:after="0"/>
        <w:jc w:val="center"/>
        <w:sectPr>
          <w:pgSz w:w="11900" w:h="16850"/>
          <w:pgMar w:header="712" w:footer="0" w:top="1020" w:bottom="280" w:left="1600" w:right="1020"/>
        </w:sectPr>
      </w:pPr>
    </w:p>
    <w:p>
      <w:pPr>
        <w:pStyle w:val="BodyText"/>
        <w:rPr>
          <w:sz w:val="20"/>
        </w:rPr>
      </w:pPr>
    </w:p>
    <w:p>
      <w:pPr>
        <w:pStyle w:val="BodyText"/>
        <w:rPr>
          <w:sz w:val="20"/>
        </w:rPr>
      </w:pPr>
    </w:p>
    <w:p>
      <w:pPr>
        <w:pStyle w:val="ListParagraph"/>
        <w:numPr>
          <w:ilvl w:val="0"/>
          <w:numId w:val="39"/>
        </w:numPr>
        <w:tabs>
          <w:tab w:pos="524" w:val="left" w:leader="none"/>
          <w:tab w:pos="2708" w:val="left" w:leader="none"/>
        </w:tabs>
        <w:spacing w:line="240" w:lineRule="auto" w:before="224" w:after="0"/>
        <w:ind w:left="523" w:right="0" w:hanging="421"/>
        <w:jc w:val="left"/>
        <w:rPr>
          <w:sz w:val="28"/>
        </w:rPr>
      </w:pPr>
      <w:r>
        <w:rPr>
          <w:sz w:val="28"/>
        </w:rPr>
        <w:t>Размер</w:t>
      </w:r>
      <w:r>
        <w:rPr>
          <w:spacing w:val="-4"/>
          <w:sz w:val="28"/>
        </w:rPr>
        <w:t> </w:t>
      </w:r>
      <w:r>
        <w:rPr>
          <w:sz w:val="28"/>
        </w:rPr>
        <w:t>опухоли:</w:t>
        <w:tab/>
        <w:t>1  -  до 7,0мм;</w:t>
      </w:r>
    </w:p>
    <w:p>
      <w:pPr>
        <w:pStyle w:val="BodyText"/>
        <w:spacing w:before="3"/>
        <w:rPr>
          <w:sz w:val="31"/>
        </w:rPr>
      </w:pPr>
    </w:p>
    <w:p>
      <w:pPr>
        <w:pStyle w:val="BodyText"/>
        <w:spacing w:line="508" w:lineRule="auto"/>
        <w:ind w:left="2692" w:right="3906"/>
      </w:pPr>
      <w:r>
        <w:rPr/>
        <w:t>2 - от 7,0мм до 4,0см; 3  - более 4,0см</w:t>
      </w:r>
    </w:p>
    <w:p>
      <w:pPr>
        <w:pStyle w:val="ListParagraph"/>
        <w:numPr>
          <w:ilvl w:val="0"/>
          <w:numId w:val="39"/>
        </w:numPr>
        <w:tabs>
          <w:tab w:pos="522" w:val="left" w:leader="none"/>
          <w:tab w:pos="3816" w:val="left" w:leader="none"/>
        </w:tabs>
        <w:spacing w:line="240" w:lineRule="auto" w:before="12" w:after="0"/>
        <w:ind w:left="521" w:right="0" w:hanging="419"/>
        <w:jc w:val="left"/>
        <w:rPr>
          <w:sz w:val="28"/>
        </w:rPr>
      </w:pPr>
      <w:r>
        <w:rPr>
          <w:sz w:val="28"/>
        </w:rPr>
        <w:t>Глубина</w:t>
      </w:r>
      <w:r>
        <w:rPr>
          <w:spacing w:val="-2"/>
          <w:sz w:val="28"/>
        </w:rPr>
        <w:t> </w:t>
      </w:r>
      <w:r>
        <w:rPr>
          <w:sz w:val="28"/>
        </w:rPr>
        <w:t>инвазии</w:t>
      </w:r>
      <w:r>
        <w:rPr>
          <w:spacing w:val="-2"/>
          <w:sz w:val="28"/>
        </w:rPr>
        <w:t> </w:t>
      </w:r>
      <w:r>
        <w:rPr>
          <w:sz w:val="28"/>
        </w:rPr>
        <w:t>стромы:</w:t>
        <w:tab/>
        <w:t>1  -  до</w:t>
      </w:r>
      <w:r>
        <w:rPr>
          <w:spacing w:val="-1"/>
          <w:sz w:val="28"/>
        </w:rPr>
        <w:t> </w:t>
      </w:r>
      <w:r>
        <w:rPr>
          <w:sz w:val="28"/>
        </w:rPr>
        <w:t>3,0мм;</w:t>
      </w:r>
    </w:p>
    <w:p>
      <w:pPr>
        <w:pStyle w:val="BodyText"/>
        <w:spacing w:before="5"/>
        <w:rPr>
          <w:sz w:val="31"/>
        </w:rPr>
      </w:pPr>
    </w:p>
    <w:p>
      <w:pPr>
        <w:pStyle w:val="BodyText"/>
        <w:ind w:left="544" w:right="380"/>
        <w:jc w:val="center"/>
      </w:pPr>
      <w:r>
        <w:rPr/>
        <w:t>2  -  более 3,0мм</w:t>
      </w:r>
    </w:p>
    <w:p>
      <w:pPr>
        <w:pStyle w:val="BodyText"/>
        <w:spacing w:before="5"/>
        <w:rPr>
          <w:sz w:val="31"/>
        </w:rPr>
      </w:pPr>
    </w:p>
    <w:p>
      <w:pPr>
        <w:pStyle w:val="ListParagraph"/>
        <w:numPr>
          <w:ilvl w:val="0"/>
          <w:numId w:val="39"/>
        </w:numPr>
        <w:tabs>
          <w:tab w:pos="686" w:val="left" w:leader="none"/>
          <w:tab w:pos="687" w:val="left" w:leader="none"/>
          <w:tab w:pos="2986" w:val="left" w:leader="none"/>
          <w:tab w:pos="3640" w:val="left" w:leader="none"/>
          <w:tab w:pos="5644" w:val="left" w:leader="none"/>
          <w:tab w:pos="6258" w:val="left" w:leader="none"/>
          <w:tab w:pos="7053" w:val="left" w:leader="none"/>
        </w:tabs>
        <w:spacing w:line="360" w:lineRule="auto" w:before="0" w:after="0"/>
        <w:ind w:left="102" w:right="101" w:firstLine="0"/>
        <w:jc w:val="left"/>
        <w:rPr>
          <w:sz w:val="28"/>
        </w:rPr>
      </w:pPr>
      <w:r>
        <w:rPr>
          <w:sz w:val="28"/>
        </w:rPr>
        <w:t>Гистологический</w:t>
        <w:tab/>
        <w:t>тип</w:t>
        <w:tab/>
        <w:t>опухоли:</w:t>
        <w:tab/>
        <w:t>1</w:t>
        <w:tab/>
        <w:t>-</w:t>
        <w:tab/>
      </w:r>
      <w:r>
        <w:rPr>
          <w:spacing w:val="-1"/>
          <w:sz w:val="28"/>
        </w:rPr>
        <w:t>плоскоклеточный </w:t>
      </w:r>
      <w:r>
        <w:rPr>
          <w:sz w:val="28"/>
        </w:rPr>
        <w:t>ороговевающий</w:t>
      </w:r>
      <w:r>
        <w:rPr>
          <w:spacing w:val="-7"/>
          <w:sz w:val="28"/>
        </w:rPr>
        <w:t> </w:t>
      </w:r>
      <w:r>
        <w:rPr>
          <w:sz w:val="28"/>
        </w:rPr>
        <w:t>рак</w:t>
      </w:r>
    </w:p>
    <w:p>
      <w:pPr>
        <w:pStyle w:val="BodyText"/>
        <w:rPr>
          <w:sz w:val="10"/>
        </w:rPr>
      </w:pPr>
    </w:p>
    <w:p>
      <w:pPr>
        <w:pStyle w:val="ListParagraph"/>
        <w:numPr>
          <w:ilvl w:val="0"/>
          <w:numId w:val="43"/>
        </w:numPr>
        <w:tabs>
          <w:tab w:pos="5493" w:val="left" w:leader="none"/>
          <w:tab w:pos="5494" w:val="left" w:leader="none"/>
          <w:tab w:pos="7055" w:val="left" w:leader="none"/>
        </w:tabs>
        <w:spacing w:line="240" w:lineRule="auto" w:before="89" w:after="0"/>
        <w:ind w:left="5493" w:right="0" w:hanging="1124"/>
        <w:jc w:val="left"/>
        <w:rPr>
          <w:sz w:val="28"/>
        </w:rPr>
      </w:pPr>
      <w:r>
        <w:rPr>
          <w:sz w:val="28"/>
        </w:rPr>
        <w:t>-</w:t>
        <w:tab/>
        <w:t>плоскоклеточный</w:t>
      </w:r>
    </w:p>
    <w:p>
      <w:pPr>
        <w:pStyle w:val="BodyText"/>
        <w:spacing w:before="163"/>
        <w:ind w:left="102"/>
      </w:pPr>
      <w:r>
        <w:rPr/>
        <w:t>неороговевающий рак</w:t>
      </w:r>
    </w:p>
    <w:p>
      <w:pPr>
        <w:pStyle w:val="BodyText"/>
        <w:spacing w:before="6"/>
        <w:rPr>
          <w:sz w:val="23"/>
        </w:rPr>
      </w:pPr>
    </w:p>
    <w:p>
      <w:pPr>
        <w:pStyle w:val="ListParagraph"/>
        <w:numPr>
          <w:ilvl w:val="0"/>
          <w:numId w:val="43"/>
        </w:numPr>
        <w:tabs>
          <w:tab w:pos="4651" w:val="left" w:leader="none"/>
          <w:tab w:pos="4955" w:val="left" w:leader="none"/>
        </w:tabs>
        <w:spacing w:line="240" w:lineRule="auto" w:before="89" w:after="0"/>
        <w:ind w:left="4650" w:right="0" w:hanging="281"/>
        <w:jc w:val="left"/>
        <w:rPr>
          <w:sz w:val="28"/>
        </w:rPr>
      </w:pPr>
      <w:r>
        <w:rPr>
          <w:sz w:val="28"/>
        </w:rPr>
        <w:t>-</w:t>
        <w:tab/>
        <w:t>аденокарцинома</w:t>
      </w:r>
    </w:p>
    <w:p>
      <w:pPr>
        <w:pStyle w:val="BodyText"/>
        <w:spacing w:before="5"/>
        <w:rPr>
          <w:sz w:val="31"/>
        </w:rPr>
      </w:pPr>
    </w:p>
    <w:p>
      <w:pPr>
        <w:pStyle w:val="ListParagraph"/>
        <w:numPr>
          <w:ilvl w:val="0"/>
          <w:numId w:val="43"/>
        </w:numPr>
        <w:tabs>
          <w:tab w:pos="4651" w:val="left" w:leader="none"/>
          <w:tab w:pos="4955" w:val="left" w:leader="none"/>
        </w:tabs>
        <w:spacing w:line="240" w:lineRule="auto" w:before="0" w:after="0"/>
        <w:ind w:left="4650" w:right="0" w:hanging="281"/>
        <w:jc w:val="left"/>
        <w:rPr>
          <w:sz w:val="28"/>
        </w:rPr>
      </w:pPr>
      <w:r>
        <w:rPr>
          <w:sz w:val="28"/>
        </w:rPr>
        <w:t>-</w:t>
        <w:tab/>
        <w:t>низкодифференцированный</w:t>
      </w:r>
    </w:p>
    <w:p>
      <w:pPr>
        <w:pStyle w:val="BodyText"/>
        <w:spacing w:before="2"/>
        <w:rPr>
          <w:sz w:val="31"/>
        </w:rPr>
      </w:pPr>
    </w:p>
    <w:p>
      <w:pPr>
        <w:pStyle w:val="ListParagraph"/>
        <w:numPr>
          <w:ilvl w:val="0"/>
          <w:numId w:val="43"/>
        </w:numPr>
        <w:tabs>
          <w:tab w:pos="4651" w:val="left" w:leader="none"/>
          <w:tab w:pos="4955" w:val="left" w:leader="none"/>
        </w:tabs>
        <w:spacing w:line="240" w:lineRule="auto" w:before="0" w:after="0"/>
        <w:ind w:left="4650" w:right="0" w:hanging="281"/>
        <w:jc w:val="left"/>
        <w:rPr>
          <w:sz w:val="28"/>
        </w:rPr>
      </w:pPr>
      <w:r>
        <w:rPr>
          <w:sz w:val="28"/>
        </w:rPr>
        <w:t>-</w:t>
        <w:tab/>
        <w:t>железисто-плоскоклеточный</w:t>
      </w:r>
    </w:p>
    <w:p>
      <w:pPr>
        <w:pStyle w:val="BodyText"/>
        <w:spacing w:before="5"/>
        <w:rPr>
          <w:sz w:val="31"/>
        </w:rPr>
      </w:pPr>
    </w:p>
    <w:p>
      <w:pPr>
        <w:pStyle w:val="ListParagraph"/>
        <w:numPr>
          <w:ilvl w:val="0"/>
          <w:numId w:val="43"/>
        </w:numPr>
        <w:tabs>
          <w:tab w:pos="4651" w:val="left" w:leader="none"/>
          <w:tab w:pos="4955" w:val="left" w:leader="none"/>
        </w:tabs>
        <w:spacing w:line="240" w:lineRule="auto" w:before="0" w:after="0"/>
        <w:ind w:left="4650" w:right="0" w:hanging="281"/>
        <w:jc w:val="left"/>
        <w:rPr>
          <w:sz w:val="28"/>
        </w:rPr>
      </w:pPr>
      <w:r>
        <w:rPr>
          <w:sz w:val="28"/>
        </w:rPr>
        <w:t>-</w:t>
        <w:tab/>
        <w:t>мезонефроидный</w:t>
      </w:r>
    </w:p>
    <w:p>
      <w:pPr>
        <w:pStyle w:val="BodyText"/>
        <w:spacing w:before="3"/>
        <w:rPr>
          <w:sz w:val="31"/>
        </w:rPr>
      </w:pPr>
    </w:p>
    <w:p>
      <w:pPr>
        <w:pStyle w:val="ListParagraph"/>
        <w:numPr>
          <w:ilvl w:val="0"/>
          <w:numId w:val="43"/>
        </w:numPr>
        <w:tabs>
          <w:tab w:pos="4651" w:val="left" w:leader="none"/>
          <w:tab w:pos="4955" w:val="left" w:leader="none"/>
        </w:tabs>
        <w:spacing w:line="240" w:lineRule="auto" w:before="0" w:after="0"/>
        <w:ind w:left="4650" w:right="0" w:hanging="281"/>
        <w:jc w:val="left"/>
        <w:rPr>
          <w:sz w:val="28"/>
        </w:rPr>
      </w:pPr>
      <w:r>
        <w:rPr>
          <w:sz w:val="28"/>
        </w:rPr>
        <w:t>-</w:t>
        <w:tab/>
        <w:t>аденоакантома</w:t>
      </w:r>
    </w:p>
    <w:p>
      <w:pPr>
        <w:pStyle w:val="BodyText"/>
        <w:spacing w:before="5"/>
        <w:rPr>
          <w:sz w:val="31"/>
        </w:rPr>
      </w:pPr>
    </w:p>
    <w:p>
      <w:pPr>
        <w:pStyle w:val="ListParagraph"/>
        <w:numPr>
          <w:ilvl w:val="0"/>
          <w:numId w:val="43"/>
        </w:numPr>
        <w:tabs>
          <w:tab w:pos="4651" w:val="left" w:leader="none"/>
          <w:tab w:pos="4955" w:val="left" w:leader="none"/>
        </w:tabs>
        <w:spacing w:line="240" w:lineRule="auto" w:before="0" w:after="0"/>
        <w:ind w:left="4650" w:right="0" w:hanging="281"/>
        <w:jc w:val="left"/>
        <w:rPr>
          <w:sz w:val="28"/>
        </w:rPr>
      </w:pPr>
      <w:r>
        <w:rPr>
          <w:sz w:val="28"/>
        </w:rPr>
        <w:t>-</w:t>
        <w:tab/>
        <w:t>лейомиосаркома</w:t>
      </w:r>
    </w:p>
    <w:p>
      <w:pPr>
        <w:pStyle w:val="BodyText"/>
        <w:spacing w:before="8"/>
        <w:rPr>
          <w:sz w:val="23"/>
        </w:rPr>
      </w:pPr>
    </w:p>
    <w:p>
      <w:pPr>
        <w:pStyle w:val="ListParagraph"/>
        <w:numPr>
          <w:ilvl w:val="0"/>
          <w:numId w:val="39"/>
        </w:numPr>
        <w:tabs>
          <w:tab w:pos="525" w:val="left" w:leader="none"/>
        </w:tabs>
        <w:spacing w:line="240" w:lineRule="auto" w:before="89" w:after="0"/>
        <w:ind w:left="524" w:right="0" w:hanging="422"/>
        <w:jc w:val="left"/>
        <w:rPr>
          <w:sz w:val="28"/>
        </w:rPr>
      </w:pPr>
      <w:r>
        <w:rPr>
          <w:sz w:val="28"/>
        </w:rPr>
        <w:t>FIGO:</w:t>
      </w:r>
    </w:p>
    <w:p>
      <w:pPr>
        <w:pStyle w:val="BodyText"/>
        <w:spacing w:before="2"/>
        <w:rPr>
          <w:sz w:val="31"/>
        </w:rPr>
      </w:pPr>
    </w:p>
    <w:p>
      <w:pPr>
        <w:pStyle w:val="ListParagraph"/>
        <w:numPr>
          <w:ilvl w:val="0"/>
          <w:numId w:val="39"/>
        </w:numPr>
        <w:tabs>
          <w:tab w:pos="525" w:val="left" w:leader="none"/>
        </w:tabs>
        <w:spacing w:line="240" w:lineRule="auto" w:before="0" w:after="0"/>
        <w:ind w:left="524" w:right="0" w:hanging="422"/>
        <w:jc w:val="left"/>
        <w:rPr>
          <w:sz w:val="28"/>
        </w:rPr>
      </w:pPr>
      <w:r>
        <w:rPr>
          <w:w w:val="100"/>
          <w:sz w:val="28"/>
        </w:rPr>
        <w:t>T</w:t>
      </w:r>
    </w:p>
    <w:p>
      <w:pPr>
        <w:pStyle w:val="BodyText"/>
        <w:spacing w:before="5"/>
        <w:rPr>
          <w:sz w:val="31"/>
        </w:rPr>
      </w:pPr>
    </w:p>
    <w:p>
      <w:pPr>
        <w:pStyle w:val="ListParagraph"/>
        <w:numPr>
          <w:ilvl w:val="0"/>
          <w:numId w:val="39"/>
        </w:numPr>
        <w:tabs>
          <w:tab w:pos="525" w:val="left" w:leader="none"/>
        </w:tabs>
        <w:spacing w:line="240" w:lineRule="auto" w:before="0" w:after="0"/>
        <w:ind w:left="524" w:right="0" w:hanging="422"/>
        <w:jc w:val="left"/>
        <w:rPr>
          <w:sz w:val="28"/>
        </w:rPr>
      </w:pPr>
      <w:r>
        <w:rPr>
          <w:w w:val="100"/>
          <w:sz w:val="28"/>
        </w:rPr>
        <w:t>N</w:t>
      </w:r>
    </w:p>
    <w:p>
      <w:pPr>
        <w:pStyle w:val="BodyText"/>
        <w:spacing w:before="3"/>
        <w:rPr>
          <w:sz w:val="31"/>
        </w:rPr>
      </w:pPr>
    </w:p>
    <w:p>
      <w:pPr>
        <w:pStyle w:val="ListParagraph"/>
        <w:numPr>
          <w:ilvl w:val="0"/>
          <w:numId w:val="39"/>
        </w:numPr>
        <w:tabs>
          <w:tab w:pos="525" w:val="left" w:leader="none"/>
        </w:tabs>
        <w:spacing w:line="240" w:lineRule="auto" w:before="0" w:after="0"/>
        <w:ind w:left="524" w:right="0" w:hanging="422"/>
        <w:jc w:val="left"/>
        <w:rPr>
          <w:sz w:val="28"/>
        </w:rPr>
      </w:pPr>
      <w:r>
        <w:rPr>
          <w:w w:val="100"/>
          <w:sz w:val="28"/>
        </w:rPr>
        <w:t>M</w:t>
      </w:r>
    </w:p>
    <w:p>
      <w:pPr>
        <w:pStyle w:val="BodyText"/>
        <w:spacing w:before="5"/>
        <w:rPr>
          <w:sz w:val="31"/>
        </w:rPr>
      </w:pPr>
    </w:p>
    <w:p>
      <w:pPr>
        <w:pStyle w:val="ListParagraph"/>
        <w:numPr>
          <w:ilvl w:val="0"/>
          <w:numId w:val="39"/>
        </w:numPr>
        <w:tabs>
          <w:tab w:pos="524" w:val="left" w:leader="none"/>
        </w:tabs>
        <w:spacing w:line="240" w:lineRule="auto" w:before="0" w:after="0"/>
        <w:ind w:left="523" w:right="0" w:hanging="421"/>
        <w:jc w:val="left"/>
        <w:rPr>
          <w:sz w:val="28"/>
        </w:rPr>
      </w:pPr>
      <w:r>
        <w:rPr>
          <w:sz w:val="28"/>
        </w:rPr>
        <w:t>Вид комбинированного</w:t>
      </w:r>
      <w:r>
        <w:rPr>
          <w:spacing w:val="-17"/>
          <w:sz w:val="28"/>
        </w:rPr>
        <w:t> </w:t>
      </w:r>
      <w:r>
        <w:rPr>
          <w:sz w:val="28"/>
        </w:rPr>
        <w:t>лечения:</w:t>
      </w:r>
    </w:p>
    <w:p>
      <w:pPr>
        <w:spacing w:after="0" w:line="240" w:lineRule="auto"/>
        <w:jc w:val="left"/>
        <w:rPr>
          <w:sz w:val="28"/>
        </w:rPr>
        <w:sectPr>
          <w:pgSz w:w="11900" w:h="16850"/>
          <w:pgMar w:header="712" w:footer="0" w:top="1020" w:bottom="280" w:left="1600" w:right="1020"/>
        </w:sectPr>
      </w:pPr>
    </w:p>
    <w:p>
      <w:pPr>
        <w:pStyle w:val="BodyText"/>
        <w:rPr>
          <w:sz w:val="20"/>
        </w:rPr>
      </w:pPr>
    </w:p>
    <w:p>
      <w:pPr>
        <w:pStyle w:val="BodyText"/>
        <w:rPr>
          <w:sz w:val="20"/>
        </w:rPr>
      </w:pPr>
    </w:p>
    <w:p>
      <w:pPr>
        <w:pStyle w:val="ListParagraph"/>
        <w:numPr>
          <w:ilvl w:val="0"/>
          <w:numId w:val="44"/>
        </w:numPr>
        <w:tabs>
          <w:tab w:pos="1502" w:val="left" w:leader="none"/>
        </w:tabs>
        <w:spacing w:line="360" w:lineRule="auto" w:before="224" w:after="0"/>
        <w:ind w:left="102" w:right="101" w:firstLine="1118"/>
        <w:jc w:val="left"/>
        <w:rPr>
          <w:sz w:val="28"/>
        </w:rPr>
      </w:pPr>
      <w:r>
        <w:rPr>
          <w:sz w:val="28"/>
        </w:rPr>
        <w:t>– неоадьювантное химиолучевое лечение + хирургическое + адьювантное дистанционное облучение малого</w:t>
      </w:r>
      <w:r>
        <w:rPr>
          <w:spacing w:val="-16"/>
          <w:sz w:val="28"/>
        </w:rPr>
        <w:t> </w:t>
      </w:r>
      <w:r>
        <w:rPr>
          <w:sz w:val="28"/>
        </w:rPr>
        <w:t>таза</w:t>
      </w:r>
    </w:p>
    <w:p>
      <w:pPr>
        <w:pStyle w:val="ListParagraph"/>
        <w:numPr>
          <w:ilvl w:val="0"/>
          <w:numId w:val="44"/>
        </w:numPr>
        <w:tabs>
          <w:tab w:pos="1502" w:val="left" w:leader="none"/>
        </w:tabs>
        <w:spacing w:line="240" w:lineRule="auto" w:before="207" w:after="0"/>
        <w:ind w:left="1501" w:right="0" w:hanging="211"/>
        <w:jc w:val="left"/>
        <w:rPr>
          <w:sz w:val="28"/>
        </w:rPr>
      </w:pPr>
      <w:r>
        <w:rPr>
          <w:sz w:val="28"/>
        </w:rPr>
        <w:t>- неоадьювантное химиолучевое лечение +</w:t>
      </w:r>
      <w:r>
        <w:rPr>
          <w:spacing w:val="-13"/>
          <w:sz w:val="28"/>
        </w:rPr>
        <w:t> </w:t>
      </w:r>
      <w:r>
        <w:rPr>
          <w:sz w:val="28"/>
        </w:rPr>
        <w:t>СЛТ</w:t>
      </w:r>
    </w:p>
    <w:p>
      <w:pPr>
        <w:pStyle w:val="BodyText"/>
        <w:spacing w:before="3"/>
        <w:rPr>
          <w:sz w:val="31"/>
        </w:rPr>
      </w:pPr>
    </w:p>
    <w:p>
      <w:pPr>
        <w:pStyle w:val="ListParagraph"/>
        <w:numPr>
          <w:ilvl w:val="0"/>
          <w:numId w:val="39"/>
        </w:numPr>
        <w:tabs>
          <w:tab w:pos="524" w:val="left" w:leader="none"/>
          <w:tab w:pos="7384" w:val="left" w:leader="none"/>
        </w:tabs>
        <w:spacing w:line="240" w:lineRule="auto" w:before="0" w:after="0"/>
        <w:ind w:left="523" w:right="0" w:hanging="421"/>
        <w:jc w:val="left"/>
        <w:rPr>
          <w:sz w:val="28"/>
        </w:rPr>
      </w:pPr>
      <w:r>
        <w:rPr>
          <w:sz w:val="28"/>
        </w:rPr>
        <w:t>Лапароскопическая</w:t>
      </w:r>
      <w:r>
        <w:rPr>
          <w:spacing w:val="-5"/>
          <w:sz w:val="28"/>
        </w:rPr>
        <w:t> </w:t>
      </w:r>
      <w:r>
        <w:rPr>
          <w:sz w:val="28"/>
        </w:rPr>
        <w:t>парааортальная</w:t>
      </w:r>
      <w:r>
        <w:rPr>
          <w:spacing w:val="-8"/>
          <w:sz w:val="28"/>
        </w:rPr>
        <w:t> </w:t>
      </w:r>
      <w:r>
        <w:rPr>
          <w:sz w:val="28"/>
        </w:rPr>
        <w:t>лимфаденэктомия:</w:t>
        <w:tab/>
        <w:t>1  - </w:t>
      </w:r>
      <w:r>
        <w:rPr>
          <w:spacing w:val="7"/>
          <w:sz w:val="28"/>
        </w:rPr>
        <w:t> </w:t>
      </w:r>
      <w:r>
        <w:rPr>
          <w:sz w:val="28"/>
        </w:rPr>
        <w:t>нет;</w:t>
      </w:r>
    </w:p>
    <w:p>
      <w:pPr>
        <w:pStyle w:val="BodyText"/>
        <w:spacing w:before="5"/>
        <w:rPr>
          <w:sz w:val="31"/>
        </w:rPr>
      </w:pPr>
    </w:p>
    <w:p>
      <w:pPr>
        <w:pStyle w:val="BodyText"/>
        <w:ind w:right="1319"/>
        <w:jc w:val="right"/>
      </w:pPr>
      <w:r>
        <w:rPr/>
        <w:t>2  - да</w:t>
      </w:r>
    </w:p>
    <w:p>
      <w:pPr>
        <w:pStyle w:val="BodyText"/>
        <w:spacing w:before="3"/>
        <w:rPr>
          <w:sz w:val="31"/>
        </w:rPr>
      </w:pPr>
    </w:p>
    <w:p>
      <w:pPr>
        <w:pStyle w:val="ListParagraph"/>
        <w:numPr>
          <w:ilvl w:val="0"/>
          <w:numId w:val="39"/>
        </w:numPr>
        <w:tabs>
          <w:tab w:pos="962" w:val="left" w:leader="none"/>
          <w:tab w:pos="963" w:val="left" w:leader="none"/>
          <w:tab w:pos="2207" w:val="left" w:leader="none"/>
          <w:tab w:pos="3941" w:val="left" w:leader="none"/>
          <w:tab w:pos="5890" w:val="left" w:leader="none"/>
          <w:tab w:pos="6838" w:val="left" w:leader="none"/>
        </w:tabs>
        <w:spacing w:line="360" w:lineRule="auto" w:before="0" w:after="0"/>
        <w:ind w:left="102" w:right="105" w:firstLine="0"/>
        <w:jc w:val="left"/>
        <w:rPr>
          <w:sz w:val="28"/>
        </w:rPr>
      </w:pPr>
      <w:r>
        <w:rPr>
          <w:sz w:val="28"/>
        </w:rPr>
        <w:t>Интраоперационные</w:t>
        <w:tab/>
        <w:t>осложнения</w:t>
        <w:tab/>
        <w:t>при</w:t>
        <w:tab/>
      </w:r>
      <w:r>
        <w:rPr>
          <w:spacing w:val="-1"/>
          <w:sz w:val="28"/>
        </w:rPr>
        <w:t>лапароскопической </w:t>
      </w:r>
      <w:r>
        <w:rPr>
          <w:sz w:val="28"/>
        </w:rPr>
        <w:t>парааортальной</w:t>
        <w:tab/>
        <w:t>лимфаденэктомии:</w:t>
      </w:r>
    </w:p>
    <w:p>
      <w:pPr>
        <w:pStyle w:val="ListParagraph"/>
        <w:numPr>
          <w:ilvl w:val="0"/>
          <w:numId w:val="45"/>
        </w:numPr>
        <w:tabs>
          <w:tab w:pos="3533" w:val="left" w:leader="none"/>
        </w:tabs>
        <w:spacing w:line="240" w:lineRule="auto" w:before="206" w:after="0"/>
        <w:ind w:left="3390" w:right="1180" w:hanging="69"/>
        <w:jc w:val="left"/>
        <w:rPr>
          <w:sz w:val="28"/>
        </w:rPr>
      </w:pPr>
      <w:r>
        <w:rPr>
          <w:sz w:val="28"/>
        </w:rPr>
        <w:t>– не</w:t>
      </w:r>
      <w:r>
        <w:rPr>
          <w:spacing w:val="-2"/>
          <w:sz w:val="28"/>
        </w:rPr>
        <w:t> </w:t>
      </w:r>
      <w:r>
        <w:rPr>
          <w:sz w:val="28"/>
        </w:rPr>
        <w:t>было;</w:t>
      </w:r>
    </w:p>
    <w:p>
      <w:pPr>
        <w:pStyle w:val="BodyText"/>
        <w:spacing w:before="4"/>
        <w:rPr>
          <w:sz w:val="31"/>
        </w:rPr>
      </w:pPr>
    </w:p>
    <w:p>
      <w:pPr>
        <w:pStyle w:val="ListParagraph"/>
        <w:numPr>
          <w:ilvl w:val="0"/>
          <w:numId w:val="45"/>
        </w:numPr>
        <w:tabs>
          <w:tab w:pos="3602" w:val="left" w:leader="none"/>
        </w:tabs>
        <w:spacing w:line="240" w:lineRule="auto" w:before="1" w:after="0"/>
        <w:ind w:left="3601" w:right="371" w:hanging="211"/>
        <w:jc w:val="left"/>
        <w:rPr>
          <w:sz w:val="28"/>
        </w:rPr>
      </w:pPr>
      <w:r>
        <w:rPr>
          <w:sz w:val="28"/>
        </w:rPr>
        <w:t>–</w:t>
      </w:r>
      <w:r>
        <w:rPr>
          <w:spacing w:val="-2"/>
          <w:sz w:val="28"/>
        </w:rPr>
        <w:t> </w:t>
      </w:r>
      <w:r>
        <w:rPr>
          <w:sz w:val="28"/>
        </w:rPr>
        <w:t>кровотечение;</w:t>
      </w:r>
    </w:p>
    <w:p>
      <w:pPr>
        <w:pStyle w:val="BodyText"/>
        <w:spacing w:before="3"/>
        <w:rPr>
          <w:sz w:val="31"/>
        </w:rPr>
      </w:pPr>
    </w:p>
    <w:p>
      <w:pPr>
        <w:pStyle w:val="ListParagraph"/>
        <w:numPr>
          <w:ilvl w:val="0"/>
          <w:numId w:val="45"/>
        </w:numPr>
        <w:tabs>
          <w:tab w:pos="3602" w:val="left" w:leader="none"/>
        </w:tabs>
        <w:spacing w:line="511" w:lineRule="auto" w:before="0" w:after="0"/>
        <w:ind w:left="3390" w:right="1660" w:firstLine="0"/>
        <w:jc w:val="left"/>
        <w:rPr>
          <w:sz w:val="28"/>
        </w:rPr>
      </w:pPr>
      <w:r>
        <w:rPr>
          <w:sz w:val="28"/>
        </w:rPr>
        <w:t>– травма магистральных сосудов; 4 – кишечная</w:t>
      </w:r>
      <w:r>
        <w:rPr>
          <w:spacing w:val="-4"/>
          <w:sz w:val="28"/>
        </w:rPr>
        <w:t> </w:t>
      </w:r>
      <w:r>
        <w:rPr>
          <w:sz w:val="28"/>
        </w:rPr>
        <w:t>травма;</w:t>
      </w:r>
    </w:p>
    <w:p>
      <w:pPr>
        <w:pStyle w:val="BodyText"/>
        <w:spacing w:before="9"/>
        <w:ind w:left="3390"/>
      </w:pPr>
      <w:r>
        <w:rPr/>
        <w:t>5 – травма мочеточников</w:t>
      </w:r>
    </w:p>
    <w:p>
      <w:pPr>
        <w:pStyle w:val="BodyText"/>
        <w:spacing w:before="5"/>
        <w:rPr>
          <w:sz w:val="31"/>
        </w:rPr>
      </w:pPr>
    </w:p>
    <w:p>
      <w:pPr>
        <w:pStyle w:val="ListParagraph"/>
        <w:numPr>
          <w:ilvl w:val="0"/>
          <w:numId w:val="39"/>
        </w:numPr>
        <w:tabs>
          <w:tab w:pos="878" w:val="left" w:leader="none"/>
          <w:tab w:pos="879" w:val="left" w:leader="none"/>
          <w:tab w:pos="3763" w:val="left" w:leader="none"/>
          <w:tab w:pos="5628" w:val="left" w:leader="none"/>
          <w:tab w:pos="6731" w:val="left" w:leader="none"/>
        </w:tabs>
        <w:spacing w:line="360" w:lineRule="auto" w:before="0" w:after="0"/>
        <w:ind w:left="102" w:right="109" w:firstLine="0"/>
        <w:jc w:val="left"/>
        <w:rPr>
          <w:sz w:val="28"/>
        </w:rPr>
      </w:pPr>
      <w:r>
        <w:rPr>
          <w:sz w:val="28"/>
        </w:rPr>
        <w:t>Послеоперационные</w:t>
        <w:tab/>
        <w:t>осложнения</w:t>
        <w:tab/>
        <w:t>после</w:t>
        <w:tab/>
      </w:r>
      <w:r>
        <w:rPr>
          <w:spacing w:val="-1"/>
          <w:sz w:val="28"/>
        </w:rPr>
        <w:t>лапароскопического </w:t>
      </w:r>
      <w:r>
        <w:rPr>
          <w:sz w:val="28"/>
        </w:rPr>
        <w:t>хирургического</w:t>
      </w:r>
      <w:r>
        <w:rPr>
          <w:spacing w:val="-12"/>
          <w:sz w:val="28"/>
        </w:rPr>
        <w:t> </w:t>
      </w:r>
      <w:r>
        <w:rPr>
          <w:sz w:val="28"/>
        </w:rPr>
        <w:t>стадирования:</w:t>
      </w:r>
    </w:p>
    <w:p>
      <w:pPr>
        <w:pStyle w:val="ListParagraph"/>
        <w:numPr>
          <w:ilvl w:val="0"/>
          <w:numId w:val="46"/>
        </w:numPr>
        <w:tabs>
          <w:tab w:pos="2623" w:val="left" w:leader="none"/>
        </w:tabs>
        <w:spacing w:line="240" w:lineRule="auto" w:before="206" w:after="0"/>
        <w:ind w:left="2622" w:right="0" w:hanging="211"/>
        <w:jc w:val="left"/>
        <w:rPr>
          <w:sz w:val="28"/>
        </w:rPr>
      </w:pPr>
      <w:r>
        <w:rPr>
          <w:sz w:val="28"/>
        </w:rPr>
        <w:t>– не</w:t>
      </w:r>
      <w:r>
        <w:rPr>
          <w:spacing w:val="-4"/>
          <w:sz w:val="28"/>
        </w:rPr>
        <w:t> </w:t>
      </w:r>
      <w:r>
        <w:rPr>
          <w:sz w:val="28"/>
        </w:rPr>
        <w:t>было;</w:t>
      </w:r>
    </w:p>
    <w:p>
      <w:pPr>
        <w:pStyle w:val="BodyText"/>
        <w:spacing w:before="3"/>
        <w:rPr>
          <w:sz w:val="31"/>
        </w:rPr>
      </w:pPr>
    </w:p>
    <w:p>
      <w:pPr>
        <w:pStyle w:val="ListParagraph"/>
        <w:numPr>
          <w:ilvl w:val="0"/>
          <w:numId w:val="46"/>
        </w:numPr>
        <w:tabs>
          <w:tab w:pos="2695" w:val="left" w:leader="none"/>
          <w:tab w:pos="6034" w:val="left" w:leader="none"/>
        </w:tabs>
        <w:spacing w:line="240" w:lineRule="auto" w:before="0" w:after="0"/>
        <w:ind w:left="2694" w:right="0" w:hanging="211"/>
        <w:jc w:val="left"/>
        <w:rPr>
          <w:sz w:val="28"/>
        </w:rPr>
      </w:pPr>
      <w:r>
        <w:rPr>
          <w:sz w:val="28"/>
        </w:rPr>
        <w:t>–</w:t>
      </w:r>
      <w:r>
        <w:rPr>
          <w:spacing w:val="-1"/>
          <w:sz w:val="28"/>
        </w:rPr>
        <w:t> </w:t>
      </w:r>
      <w:r>
        <w:rPr>
          <w:sz w:val="28"/>
        </w:rPr>
        <w:t>лимфокиста;</w:t>
        <w:tab/>
        <w:t>4 – анемия;</w:t>
      </w:r>
    </w:p>
    <w:p>
      <w:pPr>
        <w:pStyle w:val="BodyText"/>
        <w:spacing w:before="5"/>
        <w:rPr>
          <w:sz w:val="31"/>
        </w:rPr>
      </w:pPr>
    </w:p>
    <w:p>
      <w:pPr>
        <w:pStyle w:val="ListParagraph"/>
        <w:numPr>
          <w:ilvl w:val="0"/>
          <w:numId w:val="46"/>
        </w:numPr>
        <w:tabs>
          <w:tab w:pos="2695" w:val="left" w:leader="none"/>
          <w:tab w:pos="3498" w:val="left" w:leader="none"/>
        </w:tabs>
        <w:spacing w:line="240" w:lineRule="auto" w:before="0" w:after="0"/>
        <w:ind w:left="2694" w:right="1338" w:hanging="211"/>
        <w:jc w:val="right"/>
        <w:rPr>
          <w:sz w:val="28"/>
        </w:rPr>
      </w:pPr>
      <w:r>
        <w:rPr>
          <w:sz w:val="28"/>
        </w:rPr>
        <w:t>–</w:t>
      </w:r>
      <w:r>
        <w:rPr>
          <w:spacing w:val="-3"/>
          <w:sz w:val="28"/>
        </w:rPr>
        <w:t> </w:t>
      </w:r>
      <w:r>
        <w:rPr>
          <w:sz w:val="28"/>
        </w:rPr>
        <w:t>лимфорея;</w:t>
        <w:tab/>
        <w:t>5 –</w:t>
      </w:r>
      <w:r>
        <w:rPr>
          <w:spacing w:val="-4"/>
          <w:sz w:val="28"/>
        </w:rPr>
        <w:t> </w:t>
      </w:r>
      <w:r>
        <w:rPr>
          <w:sz w:val="28"/>
        </w:rPr>
        <w:t>гидронефроз</w:t>
      </w:r>
    </w:p>
    <w:p>
      <w:pPr>
        <w:pStyle w:val="BodyText"/>
        <w:rPr>
          <w:sz w:val="30"/>
        </w:rPr>
      </w:pPr>
    </w:p>
    <w:p>
      <w:pPr>
        <w:pStyle w:val="BodyText"/>
        <w:rPr>
          <w:sz w:val="30"/>
        </w:rPr>
      </w:pPr>
    </w:p>
    <w:p>
      <w:pPr>
        <w:pStyle w:val="BodyText"/>
        <w:spacing w:before="8"/>
        <w:rPr>
          <w:sz w:val="30"/>
        </w:rPr>
      </w:pPr>
    </w:p>
    <w:p>
      <w:pPr>
        <w:pStyle w:val="ListParagraph"/>
        <w:numPr>
          <w:ilvl w:val="0"/>
          <w:numId w:val="39"/>
        </w:numPr>
        <w:tabs>
          <w:tab w:pos="525" w:val="left" w:leader="none"/>
        </w:tabs>
        <w:spacing w:line="240" w:lineRule="auto" w:before="0" w:after="0"/>
        <w:ind w:left="524" w:right="0" w:hanging="422"/>
        <w:jc w:val="left"/>
        <w:rPr>
          <w:sz w:val="28"/>
        </w:rPr>
      </w:pPr>
      <w:r>
        <w:rPr>
          <w:sz w:val="28"/>
        </w:rPr>
        <w:t>Лимфорея: 1 – не</w:t>
      </w:r>
      <w:r>
        <w:rPr>
          <w:spacing w:val="-7"/>
          <w:sz w:val="28"/>
        </w:rPr>
        <w:t> </w:t>
      </w:r>
      <w:r>
        <w:rPr>
          <w:sz w:val="28"/>
        </w:rPr>
        <w:t>было;</w:t>
      </w:r>
    </w:p>
    <w:p>
      <w:pPr>
        <w:pStyle w:val="BodyText"/>
        <w:spacing w:before="2"/>
        <w:rPr>
          <w:sz w:val="31"/>
        </w:rPr>
      </w:pPr>
    </w:p>
    <w:p>
      <w:pPr>
        <w:pStyle w:val="BodyText"/>
        <w:tabs>
          <w:tab w:pos="2692" w:val="left" w:leader="none"/>
        </w:tabs>
        <w:ind w:right="1377"/>
        <w:jc w:val="center"/>
      </w:pPr>
      <w:r>
        <w:rPr/>
        <w:t>2 – 1-2 дня;</w:t>
        <w:tab/>
        <w:t>4 – 5-7</w:t>
      </w:r>
      <w:r>
        <w:rPr>
          <w:spacing w:val="-4"/>
        </w:rPr>
        <w:t> </w:t>
      </w:r>
      <w:r>
        <w:rPr/>
        <w:t>дней;</w:t>
      </w:r>
    </w:p>
    <w:p>
      <w:pPr>
        <w:pStyle w:val="BodyText"/>
        <w:spacing w:before="5"/>
        <w:rPr>
          <w:sz w:val="31"/>
        </w:rPr>
      </w:pPr>
    </w:p>
    <w:p>
      <w:pPr>
        <w:pStyle w:val="BodyText"/>
        <w:tabs>
          <w:tab w:pos="4546" w:val="left" w:leader="none"/>
        </w:tabs>
        <w:ind w:left="1849"/>
      </w:pPr>
      <w:r>
        <w:rPr/>
        <w:t>3 – 2-5 дней;</w:t>
        <w:tab/>
        <w:t>5 – более 7</w:t>
      </w:r>
      <w:r>
        <w:rPr>
          <w:spacing w:val="-2"/>
        </w:rPr>
        <w:t> </w:t>
      </w:r>
      <w:r>
        <w:rPr/>
        <w:t>дней</w:t>
      </w:r>
    </w:p>
    <w:p>
      <w:pPr>
        <w:spacing w:after="0"/>
        <w:sectPr>
          <w:pgSz w:w="11900" w:h="16850"/>
          <w:pgMar w:header="712" w:footer="0" w:top="1020" w:bottom="280" w:left="1600" w:right="1020"/>
        </w:sectPr>
      </w:pPr>
    </w:p>
    <w:p>
      <w:pPr>
        <w:pStyle w:val="BodyText"/>
        <w:rPr>
          <w:sz w:val="20"/>
        </w:rPr>
      </w:pPr>
    </w:p>
    <w:p>
      <w:pPr>
        <w:pStyle w:val="BodyText"/>
        <w:rPr>
          <w:sz w:val="20"/>
        </w:rPr>
      </w:pPr>
    </w:p>
    <w:p>
      <w:pPr>
        <w:pStyle w:val="ListParagraph"/>
        <w:numPr>
          <w:ilvl w:val="0"/>
          <w:numId w:val="39"/>
        </w:numPr>
        <w:tabs>
          <w:tab w:pos="893" w:val="left" w:leader="none"/>
          <w:tab w:pos="894" w:val="left" w:leader="none"/>
          <w:tab w:pos="2202" w:val="left" w:leader="none"/>
          <w:tab w:pos="4732" w:val="left" w:leader="none"/>
          <w:tab w:pos="7100" w:val="left" w:leader="none"/>
          <w:tab w:pos="8497" w:val="left" w:leader="none"/>
        </w:tabs>
        <w:spacing w:line="360" w:lineRule="auto" w:before="224" w:after="0"/>
        <w:ind w:left="102" w:right="100" w:firstLine="0"/>
        <w:jc w:val="left"/>
        <w:rPr>
          <w:sz w:val="28"/>
        </w:rPr>
      </w:pPr>
      <w:r>
        <w:rPr>
          <w:sz w:val="28"/>
        </w:rPr>
        <w:t>Начало</w:t>
        <w:tab/>
        <w:t>неоадьювантного</w:t>
        <w:tab/>
        <w:t>химио-лучевого</w:t>
        <w:tab/>
        <w:t>лечения</w:t>
        <w:tab/>
        <w:t>после хирургического</w:t>
      </w:r>
      <w:r>
        <w:rPr>
          <w:spacing w:val="-12"/>
          <w:sz w:val="28"/>
        </w:rPr>
        <w:t> </w:t>
      </w:r>
      <w:r>
        <w:rPr>
          <w:sz w:val="28"/>
        </w:rPr>
        <w:t>стадирования:</w:t>
      </w:r>
    </w:p>
    <w:p>
      <w:pPr>
        <w:pStyle w:val="BodyText"/>
        <w:tabs>
          <w:tab w:pos="3273" w:val="left" w:leader="none"/>
        </w:tabs>
        <w:spacing w:before="207"/>
        <w:ind w:left="171"/>
      </w:pPr>
      <w:r>
        <w:rPr/>
        <w:t>1 – через</w:t>
      </w:r>
      <w:r>
        <w:rPr>
          <w:spacing w:val="-5"/>
        </w:rPr>
        <w:t> </w:t>
      </w:r>
      <w:r>
        <w:rPr/>
        <w:t>7 дней;</w:t>
        <w:tab/>
        <w:t>2 – 10</w:t>
      </w:r>
      <w:r>
        <w:rPr>
          <w:spacing w:val="-2"/>
        </w:rPr>
        <w:t> </w:t>
      </w:r>
      <w:r>
        <w:rPr/>
        <w:t>дней;</w:t>
      </w:r>
    </w:p>
    <w:p>
      <w:pPr>
        <w:pStyle w:val="BodyText"/>
        <w:rPr>
          <w:sz w:val="30"/>
        </w:rPr>
      </w:pPr>
    </w:p>
    <w:p>
      <w:pPr>
        <w:pStyle w:val="BodyText"/>
        <w:rPr>
          <w:sz w:val="30"/>
        </w:rPr>
      </w:pPr>
    </w:p>
    <w:p>
      <w:pPr>
        <w:pStyle w:val="BodyText"/>
        <w:spacing w:before="8"/>
        <w:rPr>
          <w:sz w:val="30"/>
        </w:rPr>
      </w:pPr>
    </w:p>
    <w:p>
      <w:pPr>
        <w:pStyle w:val="BodyText"/>
        <w:tabs>
          <w:tab w:pos="3264" w:val="left" w:leader="none"/>
        </w:tabs>
        <w:ind w:left="171"/>
      </w:pPr>
      <w:r>
        <w:rPr/>
        <w:t>3 –</w:t>
      </w:r>
      <w:r>
        <w:rPr>
          <w:spacing w:val="-2"/>
        </w:rPr>
        <w:t> </w:t>
      </w:r>
      <w:r>
        <w:rPr/>
        <w:t>14</w:t>
      </w:r>
      <w:r>
        <w:rPr>
          <w:spacing w:val="-4"/>
        </w:rPr>
        <w:t> </w:t>
      </w:r>
      <w:r>
        <w:rPr/>
        <w:t>дней;</w:t>
        <w:tab/>
        <w:t>4 – более 14 дней</w:t>
      </w:r>
    </w:p>
    <w:p>
      <w:pPr>
        <w:pStyle w:val="BodyText"/>
        <w:rPr>
          <w:sz w:val="30"/>
        </w:rPr>
      </w:pPr>
    </w:p>
    <w:p>
      <w:pPr>
        <w:pStyle w:val="BodyText"/>
        <w:rPr>
          <w:sz w:val="30"/>
        </w:rPr>
      </w:pPr>
    </w:p>
    <w:p>
      <w:pPr>
        <w:pStyle w:val="BodyText"/>
        <w:spacing w:before="8"/>
        <w:rPr>
          <w:sz w:val="30"/>
        </w:rPr>
      </w:pPr>
    </w:p>
    <w:p>
      <w:pPr>
        <w:pStyle w:val="ListParagraph"/>
        <w:numPr>
          <w:ilvl w:val="0"/>
          <w:numId w:val="39"/>
        </w:numPr>
        <w:tabs>
          <w:tab w:pos="524" w:val="left" w:leader="none"/>
        </w:tabs>
        <w:spacing w:line="508" w:lineRule="auto" w:before="0" w:after="0"/>
        <w:ind w:left="1779" w:right="3011" w:hanging="1677"/>
        <w:jc w:val="left"/>
        <w:rPr>
          <w:sz w:val="28"/>
        </w:rPr>
      </w:pPr>
      <w:r>
        <w:rPr>
          <w:sz w:val="28"/>
        </w:rPr>
        <w:t>Метастазы в регионарные лимфатические</w:t>
      </w:r>
      <w:r>
        <w:rPr>
          <w:spacing w:val="-18"/>
          <w:sz w:val="28"/>
        </w:rPr>
        <w:t> </w:t>
      </w:r>
      <w:r>
        <w:rPr>
          <w:sz w:val="28"/>
        </w:rPr>
        <w:t>узлы: 0 –</w:t>
      </w:r>
      <w:r>
        <w:rPr>
          <w:spacing w:val="-1"/>
          <w:sz w:val="28"/>
        </w:rPr>
        <w:t> </w:t>
      </w:r>
      <w:r>
        <w:rPr>
          <w:sz w:val="28"/>
        </w:rPr>
        <w:t>нет;</w:t>
      </w:r>
    </w:p>
    <w:p>
      <w:pPr>
        <w:pStyle w:val="ListParagraph"/>
        <w:numPr>
          <w:ilvl w:val="0"/>
          <w:numId w:val="47"/>
        </w:numPr>
        <w:tabs>
          <w:tab w:pos="1991" w:val="left" w:leader="none"/>
        </w:tabs>
        <w:spacing w:line="240" w:lineRule="auto" w:before="14" w:after="0"/>
        <w:ind w:left="1779" w:right="0" w:firstLine="0"/>
        <w:jc w:val="left"/>
        <w:rPr>
          <w:sz w:val="28"/>
        </w:rPr>
      </w:pPr>
      <w:r>
        <w:rPr>
          <w:sz w:val="28"/>
        </w:rPr>
        <w:t>– общие</w:t>
      </w:r>
      <w:r>
        <w:rPr>
          <w:spacing w:val="-8"/>
          <w:sz w:val="28"/>
        </w:rPr>
        <w:t> </w:t>
      </w:r>
      <w:r>
        <w:rPr>
          <w:sz w:val="28"/>
        </w:rPr>
        <w:t>подвздошные;</w:t>
      </w:r>
    </w:p>
    <w:p>
      <w:pPr>
        <w:pStyle w:val="BodyText"/>
        <w:spacing w:before="3"/>
        <w:rPr>
          <w:sz w:val="31"/>
        </w:rPr>
      </w:pPr>
    </w:p>
    <w:p>
      <w:pPr>
        <w:pStyle w:val="ListParagraph"/>
        <w:numPr>
          <w:ilvl w:val="0"/>
          <w:numId w:val="47"/>
        </w:numPr>
        <w:tabs>
          <w:tab w:pos="1991" w:val="left" w:leader="none"/>
        </w:tabs>
        <w:spacing w:line="511" w:lineRule="auto" w:before="0" w:after="0"/>
        <w:ind w:left="1779" w:right="3908" w:firstLine="0"/>
        <w:jc w:val="left"/>
        <w:rPr>
          <w:sz w:val="28"/>
        </w:rPr>
      </w:pPr>
      <w:r>
        <w:rPr>
          <w:sz w:val="28"/>
        </w:rPr>
        <w:t>– наружные подвздошные; 3 – внутренние подвздошные; 4 – запирательные</w:t>
      </w:r>
    </w:p>
    <w:p>
      <w:pPr>
        <w:pStyle w:val="ListParagraph"/>
        <w:numPr>
          <w:ilvl w:val="0"/>
          <w:numId w:val="39"/>
        </w:numPr>
        <w:tabs>
          <w:tab w:pos="524" w:val="left" w:leader="none"/>
          <w:tab w:pos="6056" w:val="left" w:leader="none"/>
        </w:tabs>
        <w:spacing w:line="240" w:lineRule="auto" w:before="9" w:after="0"/>
        <w:ind w:left="523" w:right="0" w:hanging="421"/>
        <w:jc w:val="left"/>
        <w:rPr>
          <w:sz w:val="28"/>
        </w:rPr>
      </w:pPr>
      <w:r>
        <w:rPr>
          <w:sz w:val="28"/>
        </w:rPr>
        <w:t>Поражение тазовых</w:t>
      </w:r>
      <w:r>
        <w:rPr>
          <w:spacing w:val="-5"/>
          <w:sz w:val="28"/>
        </w:rPr>
        <w:t> </w:t>
      </w:r>
      <w:r>
        <w:rPr>
          <w:sz w:val="28"/>
        </w:rPr>
        <w:t>лимфатических</w:t>
      </w:r>
      <w:r>
        <w:rPr>
          <w:spacing w:val="-3"/>
          <w:sz w:val="28"/>
        </w:rPr>
        <w:t> </w:t>
      </w:r>
      <w:r>
        <w:rPr>
          <w:sz w:val="28"/>
        </w:rPr>
        <w:t>узлов:</w:t>
        <w:tab/>
        <w:t>1 –</w:t>
      </w:r>
      <w:r>
        <w:rPr>
          <w:spacing w:val="-7"/>
          <w:sz w:val="28"/>
        </w:rPr>
        <w:t> </w:t>
      </w:r>
      <w:r>
        <w:rPr>
          <w:sz w:val="28"/>
        </w:rPr>
        <w:t>одностороннее</w:t>
      </w:r>
    </w:p>
    <w:p>
      <w:pPr>
        <w:pStyle w:val="BodyText"/>
        <w:spacing w:before="5"/>
        <w:rPr>
          <w:sz w:val="31"/>
        </w:rPr>
      </w:pPr>
    </w:p>
    <w:p>
      <w:pPr>
        <w:pStyle w:val="BodyText"/>
        <w:ind w:left="6122"/>
      </w:pPr>
      <w:r>
        <w:rPr/>
        <w:t>2 – двустороннее</w:t>
      </w:r>
    </w:p>
    <w:p>
      <w:pPr>
        <w:pStyle w:val="BodyText"/>
        <w:spacing w:before="2"/>
        <w:rPr>
          <w:sz w:val="31"/>
        </w:rPr>
      </w:pPr>
    </w:p>
    <w:p>
      <w:pPr>
        <w:pStyle w:val="ListParagraph"/>
        <w:numPr>
          <w:ilvl w:val="0"/>
          <w:numId w:val="39"/>
        </w:numPr>
        <w:tabs>
          <w:tab w:pos="538" w:val="left" w:leader="none"/>
        </w:tabs>
        <w:spacing w:line="362" w:lineRule="auto" w:before="0" w:after="0"/>
        <w:ind w:left="102" w:right="102" w:firstLine="0"/>
        <w:jc w:val="left"/>
        <w:rPr>
          <w:sz w:val="28"/>
        </w:rPr>
      </w:pPr>
      <w:r>
        <w:rPr>
          <w:sz w:val="28"/>
        </w:rPr>
        <w:t>Количество метастатически изменённых тазовых лимфатических узлов по результатам клинического</w:t>
      </w:r>
      <w:r>
        <w:rPr>
          <w:spacing w:val="-11"/>
          <w:sz w:val="28"/>
        </w:rPr>
        <w:t> </w:t>
      </w:r>
      <w:r>
        <w:rPr>
          <w:sz w:val="28"/>
        </w:rPr>
        <w:t>стадирования:</w:t>
      </w:r>
    </w:p>
    <w:p>
      <w:pPr>
        <w:pStyle w:val="BodyText"/>
        <w:spacing w:before="200"/>
        <w:ind w:left="2483"/>
      </w:pPr>
      <w:r>
        <w:rPr/>
        <w:t>1;  2;  3;</w:t>
      </w:r>
      <w:r>
        <w:rPr>
          <w:spacing w:val="67"/>
        </w:rPr>
        <w:t> </w:t>
      </w:r>
      <w:r>
        <w:rPr/>
        <w:t>более</w:t>
      </w:r>
    </w:p>
    <w:p>
      <w:pPr>
        <w:pStyle w:val="BodyText"/>
        <w:spacing w:before="4"/>
        <w:rPr>
          <w:sz w:val="31"/>
        </w:rPr>
      </w:pPr>
    </w:p>
    <w:p>
      <w:pPr>
        <w:pStyle w:val="ListParagraph"/>
        <w:numPr>
          <w:ilvl w:val="0"/>
          <w:numId w:val="39"/>
        </w:numPr>
        <w:tabs>
          <w:tab w:pos="538" w:val="left" w:leader="none"/>
        </w:tabs>
        <w:spacing w:line="360" w:lineRule="auto" w:before="0" w:after="0"/>
        <w:ind w:left="102" w:right="109" w:firstLine="0"/>
        <w:jc w:val="left"/>
        <w:rPr>
          <w:sz w:val="28"/>
        </w:rPr>
      </w:pPr>
      <w:r>
        <w:rPr>
          <w:sz w:val="28"/>
        </w:rPr>
        <w:t>Количество метастатически изменённых тазовых лимфатических узлов по результатам  хирургического</w:t>
      </w:r>
      <w:r>
        <w:rPr>
          <w:spacing w:val="-15"/>
          <w:sz w:val="28"/>
        </w:rPr>
        <w:t> </w:t>
      </w:r>
      <w:r>
        <w:rPr>
          <w:sz w:val="28"/>
        </w:rPr>
        <w:t>стадирования:</w:t>
      </w:r>
    </w:p>
    <w:p>
      <w:pPr>
        <w:pStyle w:val="BodyText"/>
        <w:spacing w:before="203"/>
        <w:ind w:left="2483"/>
      </w:pPr>
      <w:r>
        <w:rPr/>
        <w:t>1; 2; 3; более</w:t>
      </w:r>
    </w:p>
    <w:p>
      <w:pPr>
        <w:pStyle w:val="BodyText"/>
        <w:spacing w:before="5"/>
        <w:rPr>
          <w:sz w:val="31"/>
        </w:rPr>
      </w:pPr>
    </w:p>
    <w:p>
      <w:pPr>
        <w:pStyle w:val="ListParagraph"/>
        <w:numPr>
          <w:ilvl w:val="0"/>
          <w:numId w:val="39"/>
        </w:numPr>
        <w:tabs>
          <w:tab w:pos="524" w:val="left" w:leader="none"/>
        </w:tabs>
        <w:spacing w:line="240" w:lineRule="auto" w:before="0" w:after="0"/>
        <w:ind w:left="523" w:right="0" w:hanging="421"/>
        <w:jc w:val="left"/>
        <w:rPr>
          <w:sz w:val="28"/>
        </w:rPr>
      </w:pPr>
      <w:r>
        <w:rPr>
          <w:sz w:val="28"/>
        </w:rPr>
        <w:t>Метастазы в парааортальном лимфатическом коллекторе по</w:t>
      </w:r>
      <w:r>
        <w:rPr>
          <w:spacing w:val="-19"/>
          <w:sz w:val="28"/>
        </w:rPr>
        <w:t> </w:t>
      </w:r>
      <w:r>
        <w:rPr>
          <w:sz w:val="28"/>
        </w:rPr>
        <w:t>УЗИ:</w:t>
      </w:r>
    </w:p>
    <w:p>
      <w:pPr>
        <w:spacing w:after="0" w:line="240" w:lineRule="auto"/>
        <w:jc w:val="left"/>
        <w:rPr>
          <w:sz w:val="28"/>
        </w:rPr>
        <w:sectPr>
          <w:pgSz w:w="11900" w:h="16850"/>
          <w:pgMar w:header="712" w:footer="0" w:top="1020" w:bottom="280" w:left="1600" w:right="1020"/>
        </w:sectPr>
      </w:pPr>
    </w:p>
    <w:p>
      <w:pPr>
        <w:pStyle w:val="ListParagraph"/>
        <w:numPr>
          <w:ilvl w:val="0"/>
          <w:numId w:val="48"/>
        </w:numPr>
        <w:tabs>
          <w:tab w:pos="2904" w:val="left" w:leader="none"/>
        </w:tabs>
        <w:spacing w:line="321" w:lineRule="exact" w:before="0" w:after="0"/>
        <w:ind w:left="2903" w:right="0" w:hanging="281"/>
        <w:jc w:val="left"/>
        <w:rPr>
          <w:sz w:val="28"/>
        </w:rPr>
      </w:pPr>
      <w:r>
        <w:rPr>
          <w:sz w:val="28"/>
        </w:rPr>
        <w:t>-  нет</w:t>
      </w:r>
    </w:p>
    <w:p>
      <w:pPr>
        <w:pStyle w:val="BodyText"/>
        <w:spacing w:before="5"/>
        <w:rPr>
          <w:sz w:val="31"/>
        </w:rPr>
      </w:pPr>
    </w:p>
    <w:p>
      <w:pPr>
        <w:pStyle w:val="ListParagraph"/>
        <w:numPr>
          <w:ilvl w:val="0"/>
          <w:numId w:val="48"/>
        </w:numPr>
        <w:tabs>
          <w:tab w:pos="2904" w:val="left" w:leader="none"/>
        </w:tabs>
        <w:spacing w:line="240" w:lineRule="auto" w:before="1" w:after="0"/>
        <w:ind w:left="2903" w:right="0" w:hanging="211"/>
        <w:jc w:val="left"/>
        <w:rPr>
          <w:sz w:val="28"/>
        </w:rPr>
      </w:pPr>
      <w:r>
        <w:rPr>
          <w:sz w:val="28"/>
        </w:rPr>
        <w:t>-  да</w:t>
      </w:r>
    </w:p>
    <w:p>
      <w:pPr>
        <w:pStyle w:val="BodyText"/>
        <w:spacing w:before="3"/>
        <w:rPr>
          <w:sz w:val="31"/>
        </w:rPr>
      </w:pPr>
    </w:p>
    <w:p>
      <w:pPr>
        <w:pStyle w:val="ListParagraph"/>
        <w:numPr>
          <w:ilvl w:val="0"/>
          <w:numId w:val="39"/>
        </w:numPr>
        <w:tabs>
          <w:tab w:pos="524" w:val="left" w:leader="none"/>
        </w:tabs>
        <w:spacing w:line="240" w:lineRule="auto" w:before="0" w:after="0"/>
        <w:ind w:left="523" w:right="0" w:hanging="421"/>
        <w:jc w:val="both"/>
        <w:rPr>
          <w:sz w:val="28"/>
        </w:rPr>
      </w:pPr>
      <w:r>
        <w:rPr>
          <w:sz w:val="28"/>
        </w:rPr>
        <w:t>Метастазы в парааортальном лимфатическом коллекторе по</w:t>
      </w:r>
      <w:r>
        <w:rPr>
          <w:spacing w:val="-19"/>
          <w:sz w:val="28"/>
        </w:rPr>
        <w:t> </w:t>
      </w:r>
      <w:r>
        <w:rPr>
          <w:sz w:val="28"/>
        </w:rPr>
        <w:t>МРТ:</w:t>
      </w:r>
    </w:p>
    <w:p>
      <w:pPr>
        <w:pStyle w:val="BodyText"/>
        <w:spacing w:before="5"/>
        <w:rPr>
          <w:sz w:val="31"/>
        </w:rPr>
      </w:pPr>
    </w:p>
    <w:p>
      <w:pPr>
        <w:pStyle w:val="BodyText"/>
        <w:ind w:left="2692"/>
      </w:pPr>
      <w:r>
        <w:rPr/>
        <w:t>1  -  нет</w:t>
      </w:r>
    </w:p>
    <w:p>
      <w:pPr>
        <w:pStyle w:val="BodyText"/>
        <w:rPr>
          <w:sz w:val="30"/>
        </w:rPr>
      </w:pPr>
    </w:p>
    <w:p>
      <w:pPr>
        <w:pStyle w:val="BodyText"/>
        <w:rPr>
          <w:sz w:val="30"/>
        </w:rPr>
      </w:pPr>
    </w:p>
    <w:p>
      <w:pPr>
        <w:pStyle w:val="BodyText"/>
        <w:spacing w:before="8"/>
        <w:rPr>
          <w:sz w:val="30"/>
        </w:rPr>
      </w:pPr>
    </w:p>
    <w:p>
      <w:pPr>
        <w:pStyle w:val="BodyText"/>
        <w:ind w:left="413" w:right="380"/>
        <w:jc w:val="center"/>
      </w:pPr>
      <w:r>
        <w:rPr/>
        <w:t>2 -  да</w:t>
      </w:r>
    </w:p>
    <w:p>
      <w:pPr>
        <w:pStyle w:val="BodyText"/>
        <w:spacing w:before="5"/>
        <w:rPr>
          <w:sz w:val="31"/>
        </w:rPr>
      </w:pPr>
    </w:p>
    <w:p>
      <w:pPr>
        <w:pStyle w:val="BodyText"/>
        <w:spacing w:line="360" w:lineRule="auto"/>
        <w:ind w:left="102" w:right="102"/>
        <w:jc w:val="both"/>
      </w:pPr>
      <w:r>
        <w:rPr/>
        <w:t>36.Метастазы в парааортальном лимфатическом коллекторе по результату хирургического стадирования:</w:t>
      </w:r>
    </w:p>
    <w:p>
      <w:pPr>
        <w:pStyle w:val="ListParagraph"/>
        <w:numPr>
          <w:ilvl w:val="0"/>
          <w:numId w:val="49"/>
        </w:numPr>
        <w:tabs>
          <w:tab w:pos="2623" w:val="left" w:leader="none"/>
        </w:tabs>
        <w:spacing w:line="240" w:lineRule="auto" w:before="203" w:after="0"/>
        <w:ind w:left="2622" w:right="0" w:hanging="283"/>
        <w:jc w:val="left"/>
        <w:rPr>
          <w:sz w:val="28"/>
        </w:rPr>
      </w:pPr>
      <w:r>
        <w:rPr>
          <w:sz w:val="28"/>
        </w:rPr>
        <w:t>-  нет</w:t>
      </w:r>
    </w:p>
    <w:p>
      <w:pPr>
        <w:pStyle w:val="BodyText"/>
        <w:spacing w:before="4"/>
        <w:rPr>
          <w:sz w:val="31"/>
        </w:rPr>
      </w:pPr>
    </w:p>
    <w:p>
      <w:pPr>
        <w:pStyle w:val="ListParagraph"/>
        <w:numPr>
          <w:ilvl w:val="0"/>
          <w:numId w:val="49"/>
        </w:numPr>
        <w:tabs>
          <w:tab w:pos="2623" w:val="left" w:leader="none"/>
        </w:tabs>
        <w:spacing w:line="240" w:lineRule="auto" w:before="0" w:after="0"/>
        <w:ind w:left="2622" w:right="0" w:hanging="283"/>
        <w:jc w:val="left"/>
        <w:rPr>
          <w:sz w:val="28"/>
        </w:rPr>
      </w:pPr>
      <w:r>
        <w:rPr>
          <w:sz w:val="28"/>
        </w:rPr>
        <w:t>-  да</w:t>
      </w:r>
    </w:p>
    <w:p>
      <w:pPr>
        <w:pStyle w:val="BodyText"/>
        <w:spacing w:before="2"/>
        <w:rPr>
          <w:sz w:val="31"/>
        </w:rPr>
      </w:pPr>
    </w:p>
    <w:p>
      <w:pPr>
        <w:pStyle w:val="ListParagraph"/>
        <w:numPr>
          <w:ilvl w:val="0"/>
          <w:numId w:val="50"/>
        </w:numPr>
        <w:tabs>
          <w:tab w:pos="968" w:val="left" w:leader="none"/>
        </w:tabs>
        <w:spacing w:line="362" w:lineRule="auto" w:before="0" w:after="0"/>
        <w:ind w:left="102" w:right="104" w:firstLine="0"/>
        <w:jc w:val="both"/>
        <w:rPr>
          <w:sz w:val="28"/>
        </w:rPr>
      </w:pPr>
      <w:r>
        <w:rPr>
          <w:sz w:val="28"/>
        </w:rPr>
        <w:t>Количество метастатически изменённых парааортальных лимфатических узлов по данным клинического</w:t>
      </w:r>
      <w:r>
        <w:rPr>
          <w:spacing w:val="-18"/>
          <w:sz w:val="28"/>
        </w:rPr>
        <w:t> </w:t>
      </w:r>
      <w:r>
        <w:rPr>
          <w:sz w:val="28"/>
        </w:rPr>
        <w:t>стадирования:</w:t>
      </w:r>
    </w:p>
    <w:p>
      <w:pPr>
        <w:pStyle w:val="BodyText"/>
        <w:spacing w:before="201"/>
        <w:ind w:left="1372" w:right="289"/>
        <w:jc w:val="center"/>
      </w:pPr>
      <w:r>
        <w:rPr/>
        <w:t>1 – 1;</w:t>
      </w:r>
    </w:p>
    <w:p>
      <w:pPr>
        <w:pStyle w:val="BodyText"/>
        <w:spacing w:before="5"/>
        <w:rPr>
          <w:sz w:val="31"/>
        </w:rPr>
      </w:pPr>
    </w:p>
    <w:p>
      <w:pPr>
        <w:pStyle w:val="BodyText"/>
        <w:ind w:left="1372" w:right="142"/>
        <w:jc w:val="center"/>
      </w:pPr>
      <w:r>
        <w:rPr/>
        <w:t>2 – 2;</w:t>
      </w:r>
    </w:p>
    <w:p>
      <w:pPr>
        <w:pStyle w:val="BodyText"/>
        <w:spacing w:before="2"/>
        <w:rPr>
          <w:sz w:val="31"/>
        </w:rPr>
      </w:pPr>
    </w:p>
    <w:p>
      <w:pPr>
        <w:pStyle w:val="ListParagraph"/>
        <w:numPr>
          <w:ilvl w:val="0"/>
          <w:numId w:val="49"/>
        </w:numPr>
        <w:tabs>
          <w:tab w:pos="5146" w:val="left" w:leader="none"/>
        </w:tabs>
        <w:spacing w:line="240" w:lineRule="auto" w:before="0" w:after="0"/>
        <w:ind w:left="5145" w:right="0" w:hanging="211"/>
        <w:jc w:val="left"/>
        <w:rPr>
          <w:sz w:val="28"/>
        </w:rPr>
      </w:pPr>
      <w:r>
        <w:rPr>
          <w:sz w:val="28"/>
        </w:rPr>
        <w:t>– 3 и</w:t>
      </w:r>
      <w:r>
        <w:rPr>
          <w:spacing w:val="-5"/>
          <w:sz w:val="28"/>
        </w:rPr>
        <w:t> </w:t>
      </w:r>
      <w:r>
        <w:rPr>
          <w:sz w:val="28"/>
        </w:rPr>
        <w:t>более;</w:t>
      </w:r>
    </w:p>
    <w:p>
      <w:pPr>
        <w:pStyle w:val="BodyText"/>
        <w:spacing w:before="4"/>
        <w:rPr>
          <w:sz w:val="31"/>
        </w:rPr>
      </w:pPr>
    </w:p>
    <w:p>
      <w:pPr>
        <w:pStyle w:val="ListParagraph"/>
        <w:numPr>
          <w:ilvl w:val="0"/>
          <w:numId w:val="49"/>
        </w:numPr>
        <w:tabs>
          <w:tab w:pos="5146" w:val="left" w:leader="none"/>
        </w:tabs>
        <w:spacing w:line="240" w:lineRule="auto" w:before="1" w:after="0"/>
        <w:ind w:left="5145" w:right="0" w:hanging="211"/>
        <w:jc w:val="left"/>
        <w:rPr>
          <w:sz w:val="28"/>
        </w:rPr>
      </w:pPr>
      <w:r>
        <w:rPr>
          <w:sz w:val="28"/>
        </w:rPr>
        <w:t>–</w:t>
      </w:r>
      <w:r>
        <w:rPr>
          <w:spacing w:val="-4"/>
          <w:sz w:val="28"/>
        </w:rPr>
        <w:t> </w:t>
      </w:r>
      <w:r>
        <w:rPr>
          <w:sz w:val="28"/>
        </w:rPr>
        <w:t>конгломерат</w:t>
      </w:r>
    </w:p>
    <w:p>
      <w:pPr>
        <w:pStyle w:val="BodyText"/>
        <w:spacing w:before="6"/>
        <w:rPr>
          <w:sz w:val="31"/>
        </w:rPr>
      </w:pPr>
    </w:p>
    <w:p>
      <w:pPr>
        <w:pStyle w:val="ListParagraph"/>
        <w:numPr>
          <w:ilvl w:val="0"/>
          <w:numId w:val="50"/>
        </w:numPr>
        <w:tabs>
          <w:tab w:pos="932" w:val="left" w:leader="none"/>
        </w:tabs>
        <w:spacing w:line="360" w:lineRule="auto" w:before="0" w:after="0"/>
        <w:ind w:left="102" w:right="104" w:firstLine="0"/>
        <w:jc w:val="both"/>
        <w:rPr>
          <w:sz w:val="28"/>
        </w:rPr>
      </w:pPr>
      <w:r>
        <w:rPr>
          <w:sz w:val="28"/>
        </w:rPr>
        <w:t>Локализация метастатически изменённых парааортальных лимфатических узлов по данным лапароскопического хирургического стадирования:</w:t>
      </w:r>
    </w:p>
    <w:p>
      <w:pPr>
        <w:pStyle w:val="BodyText"/>
        <w:rPr>
          <w:sz w:val="30"/>
        </w:rPr>
      </w:pPr>
    </w:p>
    <w:p>
      <w:pPr>
        <w:pStyle w:val="BodyText"/>
        <w:rPr>
          <w:sz w:val="30"/>
        </w:rPr>
      </w:pPr>
    </w:p>
    <w:p>
      <w:pPr>
        <w:pStyle w:val="ListParagraph"/>
        <w:numPr>
          <w:ilvl w:val="1"/>
          <w:numId w:val="50"/>
        </w:numPr>
        <w:tabs>
          <w:tab w:pos="1082" w:val="left" w:leader="none"/>
          <w:tab w:pos="4658" w:val="left" w:leader="none"/>
        </w:tabs>
        <w:spacing w:line="240" w:lineRule="auto" w:before="198" w:after="0"/>
        <w:ind w:left="1081" w:right="0" w:hanging="211"/>
        <w:jc w:val="left"/>
        <w:rPr>
          <w:sz w:val="28"/>
        </w:rPr>
      </w:pPr>
      <w:r>
        <w:rPr>
          <w:sz w:val="28"/>
        </w:rPr>
        <w:t>–</w:t>
      </w:r>
      <w:r>
        <w:rPr>
          <w:spacing w:val="-2"/>
          <w:sz w:val="28"/>
        </w:rPr>
        <w:t> </w:t>
      </w:r>
      <w:r>
        <w:rPr>
          <w:sz w:val="28"/>
        </w:rPr>
        <w:t>паракавально;</w:t>
        <w:tab/>
        <w:t>3 –</w:t>
      </w:r>
      <w:r>
        <w:rPr>
          <w:spacing w:val="-2"/>
          <w:sz w:val="28"/>
        </w:rPr>
        <w:t> </w:t>
      </w:r>
      <w:r>
        <w:rPr>
          <w:sz w:val="28"/>
        </w:rPr>
        <w:t>инфраренально;</w:t>
      </w:r>
    </w:p>
    <w:p>
      <w:pPr>
        <w:pStyle w:val="BodyText"/>
        <w:spacing w:before="5"/>
        <w:rPr>
          <w:sz w:val="31"/>
        </w:rPr>
      </w:pPr>
    </w:p>
    <w:p>
      <w:pPr>
        <w:pStyle w:val="ListParagraph"/>
        <w:numPr>
          <w:ilvl w:val="1"/>
          <w:numId w:val="50"/>
        </w:numPr>
        <w:tabs>
          <w:tab w:pos="1082" w:val="left" w:leader="none"/>
          <w:tab w:pos="4650" w:val="left" w:leader="none"/>
        </w:tabs>
        <w:spacing w:line="240" w:lineRule="auto" w:before="0" w:after="0"/>
        <w:ind w:left="1081" w:right="0" w:hanging="211"/>
        <w:jc w:val="left"/>
        <w:rPr>
          <w:sz w:val="28"/>
        </w:rPr>
      </w:pPr>
      <w:r>
        <w:rPr>
          <w:sz w:val="28"/>
        </w:rPr>
        <w:t>–</w:t>
      </w:r>
      <w:r>
        <w:rPr>
          <w:spacing w:val="-3"/>
          <w:sz w:val="28"/>
        </w:rPr>
        <w:t> </w:t>
      </w:r>
      <w:r>
        <w:rPr>
          <w:sz w:val="28"/>
        </w:rPr>
        <w:t>парааортально;</w:t>
        <w:tab/>
        <w:t>4 –</w:t>
      </w:r>
      <w:r>
        <w:rPr>
          <w:spacing w:val="-2"/>
          <w:sz w:val="28"/>
        </w:rPr>
        <w:t> </w:t>
      </w:r>
      <w:r>
        <w:rPr>
          <w:sz w:val="28"/>
        </w:rPr>
        <w:t>бифуркационно;</w:t>
      </w:r>
    </w:p>
    <w:p>
      <w:pPr>
        <w:pStyle w:val="BodyText"/>
        <w:spacing w:before="3"/>
        <w:rPr>
          <w:sz w:val="31"/>
        </w:rPr>
      </w:pPr>
    </w:p>
    <w:p>
      <w:pPr>
        <w:pStyle w:val="BodyText"/>
        <w:ind w:left="870"/>
      </w:pPr>
      <w:r>
        <w:rPr/>
        <w:t>5 – мезентериально</w:t>
      </w:r>
    </w:p>
    <w:p>
      <w:pPr>
        <w:spacing w:after="0"/>
        <w:sectPr>
          <w:pgSz w:w="11900" w:h="16850"/>
          <w:pgMar w:header="712" w:footer="0" w:top="1020" w:bottom="280" w:left="1600" w:right="1020"/>
        </w:sectPr>
      </w:pPr>
    </w:p>
    <w:p>
      <w:pPr>
        <w:pStyle w:val="BodyText"/>
        <w:rPr>
          <w:sz w:val="20"/>
        </w:rPr>
      </w:pPr>
    </w:p>
    <w:p>
      <w:pPr>
        <w:pStyle w:val="BodyText"/>
        <w:rPr>
          <w:sz w:val="20"/>
        </w:rPr>
      </w:pPr>
    </w:p>
    <w:p>
      <w:pPr>
        <w:pStyle w:val="ListParagraph"/>
        <w:numPr>
          <w:ilvl w:val="0"/>
          <w:numId w:val="50"/>
        </w:numPr>
        <w:tabs>
          <w:tab w:pos="524" w:val="left" w:leader="none"/>
        </w:tabs>
        <w:spacing w:line="240" w:lineRule="auto" w:before="224" w:after="0"/>
        <w:ind w:left="523" w:right="0" w:hanging="421"/>
        <w:jc w:val="left"/>
        <w:rPr>
          <w:sz w:val="28"/>
        </w:rPr>
      </w:pPr>
      <w:r>
        <w:rPr>
          <w:sz w:val="28"/>
        </w:rPr>
        <w:t>Процедив:  1 –</w:t>
      </w:r>
      <w:r>
        <w:rPr>
          <w:spacing w:val="-7"/>
          <w:sz w:val="28"/>
        </w:rPr>
        <w:t> </w:t>
      </w:r>
      <w:r>
        <w:rPr>
          <w:sz w:val="28"/>
        </w:rPr>
        <w:t>нет;</w:t>
      </w:r>
    </w:p>
    <w:p>
      <w:pPr>
        <w:pStyle w:val="BodyText"/>
        <w:spacing w:before="3"/>
        <w:rPr>
          <w:sz w:val="31"/>
        </w:rPr>
      </w:pPr>
    </w:p>
    <w:p>
      <w:pPr>
        <w:pStyle w:val="BodyText"/>
        <w:ind w:left="1918"/>
      </w:pPr>
      <w:r>
        <w:rPr/>
        <w:t>2 – да</w:t>
      </w:r>
    </w:p>
    <w:p>
      <w:pPr>
        <w:pStyle w:val="BodyText"/>
        <w:spacing w:before="5"/>
        <w:rPr>
          <w:sz w:val="31"/>
        </w:rPr>
      </w:pPr>
    </w:p>
    <w:p>
      <w:pPr>
        <w:pStyle w:val="ListParagraph"/>
        <w:numPr>
          <w:ilvl w:val="0"/>
          <w:numId w:val="50"/>
        </w:numPr>
        <w:tabs>
          <w:tab w:pos="524" w:val="left" w:leader="none"/>
        </w:tabs>
        <w:spacing w:line="240" w:lineRule="auto" w:before="0" w:after="0"/>
        <w:ind w:left="523" w:right="0" w:hanging="421"/>
        <w:jc w:val="left"/>
        <w:rPr>
          <w:sz w:val="28"/>
        </w:rPr>
      </w:pPr>
      <w:r>
        <w:rPr>
          <w:sz w:val="28"/>
        </w:rPr>
        <w:t>Локализация процедива: 1 –</w:t>
      </w:r>
      <w:r>
        <w:rPr>
          <w:spacing w:val="-12"/>
          <w:sz w:val="28"/>
        </w:rPr>
        <w:t> </w:t>
      </w:r>
      <w:r>
        <w:rPr>
          <w:sz w:val="28"/>
        </w:rPr>
        <w:t>местный;</w:t>
      </w:r>
    </w:p>
    <w:p>
      <w:pPr>
        <w:pStyle w:val="BodyText"/>
        <w:spacing w:before="2"/>
        <w:rPr>
          <w:sz w:val="31"/>
        </w:rPr>
      </w:pPr>
    </w:p>
    <w:p>
      <w:pPr>
        <w:pStyle w:val="BodyText"/>
        <w:spacing w:before="1"/>
        <w:ind w:left="1694" w:right="1586"/>
        <w:jc w:val="center"/>
      </w:pPr>
      <w:r>
        <w:rPr/>
        <w:t>2 - отдалённый</w:t>
      </w:r>
    </w:p>
    <w:p>
      <w:pPr>
        <w:pStyle w:val="BodyText"/>
        <w:rPr>
          <w:sz w:val="30"/>
        </w:rPr>
      </w:pPr>
    </w:p>
    <w:p>
      <w:pPr>
        <w:pStyle w:val="BodyText"/>
        <w:rPr>
          <w:sz w:val="30"/>
        </w:rPr>
      </w:pPr>
    </w:p>
    <w:p>
      <w:pPr>
        <w:pStyle w:val="BodyText"/>
        <w:rPr>
          <w:sz w:val="31"/>
        </w:rPr>
      </w:pPr>
    </w:p>
    <w:p>
      <w:pPr>
        <w:pStyle w:val="ListParagraph"/>
        <w:numPr>
          <w:ilvl w:val="0"/>
          <w:numId w:val="50"/>
        </w:numPr>
        <w:tabs>
          <w:tab w:pos="524" w:val="left" w:leader="none"/>
        </w:tabs>
        <w:spacing w:line="240" w:lineRule="auto" w:before="0" w:after="0"/>
        <w:ind w:left="523" w:right="0" w:hanging="421"/>
        <w:jc w:val="left"/>
        <w:rPr>
          <w:sz w:val="28"/>
        </w:rPr>
      </w:pPr>
      <w:r>
        <w:rPr>
          <w:sz w:val="28"/>
        </w:rPr>
        <w:t>Время возникновения процедива: 1 – до 3-х</w:t>
      </w:r>
      <w:r>
        <w:rPr>
          <w:spacing w:val="-14"/>
          <w:sz w:val="28"/>
        </w:rPr>
        <w:t> </w:t>
      </w:r>
      <w:r>
        <w:rPr>
          <w:sz w:val="28"/>
        </w:rPr>
        <w:t>месяцев;</w:t>
      </w:r>
    </w:p>
    <w:p>
      <w:pPr>
        <w:pStyle w:val="BodyText"/>
        <w:spacing w:before="2"/>
        <w:rPr>
          <w:sz w:val="31"/>
        </w:rPr>
      </w:pPr>
    </w:p>
    <w:p>
      <w:pPr>
        <w:pStyle w:val="BodyText"/>
        <w:spacing w:before="1"/>
        <w:ind w:left="4511"/>
      </w:pPr>
      <w:r>
        <w:rPr/>
        <w:t>2 – до 6 месяцев</w:t>
      </w:r>
    </w:p>
    <w:p>
      <w:pPr>
        <w:pStyle w:val="BodyText"/>
        <w:spacing w:before="5"/>
        <w:rPr>
          <w:sz w:val="31"/>
        </w:rPr>
      </w:pPr>
    </w:p>
    <w:p>
      <w:pPr>
        <w:pStyle w:val="ListParagraph"/>
        <w:numPr>
          <w:ilvl w:val="0"/>
          <w:numId w:val="50"/>
        </w:numPr>
        <w:tabs>
          <w:tab w:pos="524" w:val="left" w:leader="none"/>
        </w:tabs>
        <w:spacing w:line="240" w:lineRule="auto" w:before="0" w:after="0"/>
        <w:ind w:left="523" w:right="0" w:hanging="421"/>
        <w:jc w:val="left"/>
        <w:rPr>
          <w:sz w:val="28"/>
        </w:rPr>
      </w:pPr>
      <w:r>
        <w:rPr>
          <w:sz w:val="28"/>
        </w:rPr>
        <w:t>Рецидив:  1 –</w:t>
      </w:r>
      <w:r>
        <w:rPr>
          <w:spacing w:val="-8"/>
          <w:sz w:val="28"/>
        </w:rPr>
        <w:t> </w:t>
      </w:r>
      <w:r>
        <w:rPr>
          <w:sz w:val="28"/>
        </w:rPr>
        <w:t>нет;</w:t>
      </w:r>
    </w:p>
    <w:p>
      <w:pPr>
        <w:pStyle w:val="BodyText"/>
        <w:spacing w:before="2"/>
        <w:rPr>
          <w:sz w:val="31"/>
        </w:rPr>
      </w:pPr>
    </w:p>
    <w:p>
      <w:pPr>
        <w:pStyle w:val="BodyText"/>
        <w:ind w:left="1396" w:right="5901"/>
        <w:jc w:val="center"/>
      </w:pPr>
      <w:r>
        <w:rPr/>
        <w:t>2 – да</w:t>
      </w:r>
    </w:p>
    <w:p>
      <w:pPr>
        <w:pStyle w:val="BodyText"/>
        <w:spacing w:before="5"/>
        <w:rPr>
          <w:sz w:val="31"/>
        </w:rPr>
      </w:pPr>
    </w:p>
    <w:p>
      <w:pPr>
        <w:pStyle w:val="ListParagraph"/>
        <w:numPr>
          <w:ilvl w:val="0"/>
          <w:numId w:val="50"/>
        </w:numPr>
        <w:tabs>
          <w:tab w:pos="524" w:val="left" w:leader="none"/>
        </w:tabs>
        <w:spacing w:line="240" w:lineRule="auto" w:before="0" w:after="0"/>
        <w:ind w:left="523" w:right="0" w:hanging="421"/>
        <w:jc w:val="left"/>
        <w:rPr>
          <w:sz w:val="28"/>
        </w:rPr>
      </w:pPr>
      <w:r>
        <w:rPr>
          <w:sz w:val="28"/>
        </w:rPr>
        <w:t>Локализация рецидива: 1 –</w:t>
      </w:r>
      <w:r>
        <w:rPr>
          <w:spacing w:val="-11"/>
          <w:sz w:val="28"/>
        </w:rPr>
        <w:t> </w:t>
      </w:r>
      <w:r>
        <w:rPr>
          <w:sz w:val="28"/>
        </w:rPr>
        <w:t>местный;</w:t>
      </w:r>
    </w:p>
    <w:p>
      <w:pPr>
        <w:pStyle w:val="BodyText"/>
        <w:spacing w:before="3"/>
        <w:rPr>
          <w:sz w:val="31"/>
        </w:rPr>
      </w:pPr>
    </w:p>
    <w:p>
      <w:pPr>
        <w:pStyle w:val="BodyText"/>
        <w:ind w:left="1694" w:right="1863"/>
        <w:jc w:val="center"/>
      </w:pPr>
      <w:r>
        <w:rPr/>
        <w:t>2 - отдалённый</w:t>
      </w:r>
    </w:p>
    <w:p>
      <w:pPr>
        <w:pStyle w:val="BodyText"/>
        <w:spacing w:before="5"/>
        <w:rPr>
          <w:sz w:val="31"/>
        </w:rPr>
      </w:pPr>
    </w:p>
    <w:p>
      <w:pPr>
        <w:pStyle w:val="ListParagraph"/>
        <w:numPr>
          <w:ilvl w:val="0"/>
          <w:numId w:val="50"/>
        </w:numPr>
        <w:tabs>
          <w:tab w:pos="524" w:val="left" w:leader="none"/>
        </w:tabs>
        <w:spacing w:line="240" w:lineRule="auto" w:before="0" w:after="0"/>
        <w:ind w:left="523" w:right="0" w:hanging="421"/>
        <w:jc w:val="left"/>
        <w:rPr>
          <w:sz w:val="28"/>
        </w:rPr>
      </w:pPr>
      <w:r>
        <w:rPr>
          <w:sz w:val="28"/>
        </w:rPr>
        <w:t>Время возникновения рецидива: 1 – 6 месяцев и</w:t>
      </w:r>
      <w:r>
        <w:rPr>
          <w:spacing w:val="-16"/>
          <w:sz w:val="28"/>
        </w:rPr>
        <w:t> </w:t>
      </w:r>
      <w:r>
        <w:rPr>
          <w:sz w:val="28"/>
        </w:rPr>
        <w:t>более;</w:t>
      </w:r>
    </w:p>
    <w:p>
      <w:pPr>
        <w:pStyle w:val="BodyText"/>
        <w:spacing w:before="5"/>
        <w:rPr>
          <w:sz w:val="31"/>
        </w:rPr>
      </w:pPr>
    </w:p>
    <w:p>
      <w:pPr>
        <w:pStyle w:val="ListParagraph"/>
        <w:numPr>
          <w:ilvl w:val="0"/>
          <w:numId w:val="51"/>
        </w:numPr>
        <w:tabs>
          <w:tab w:pos="4512" w:val="left" w:leader="none"/>
        </w:tabs>
        <w:spacing w:line="240" w:lineRule="auto" w:before="0" w:after="0"/>
        <w:ind w:left="4511" w:right="0" w:hanging="211"/>
        <w:jc w:val="left"/>
        <w:rPr>
          <w:sz w:val="28"/>
        </w:rPr>
      </w:pPr>
      <w:r>
        <w:rPr>
          <w:sz w:val="28"/>
        </w:rPr>
        <w:t>–  9 месяцев и</w:t>
      </w:r>
      <w:r>
        <w:rPr>
          <w:spacing w:val="-2"/>
          <w:sz w:val="28"/>
        </w:rPr>
        <w:t> </w:t>
      </w:r>
      <w:r>
        <w:rPr>
          <w:sz w:val="28"/>
        </w:rPr>
        <w:t>более;</w:t>
      </w:r>
    </w:p>
    <w:p>
      <w:pPr>
        <w:pStyle w:val="BodyText"/>
        <w:spacing w:before="2"/>
        <w:rPr>
          <w:sz w:val="31"/>
        </w:rPr>
      </w:pPr>
    </w:p>
    <w:p>
      <w:pPr>
        <w:pStyle w:val="ListParagraph"/>
        <w:numPr>
          <w:ilvl w:val="0"/>
          <w:numId w:val="51"/>
        </w:numPr>
        <w:tabs>
          <w:tab w:pos="4512" w:val="left" w:leader="none"/>
        </w:tabs>
        <w:spacing w:line="240" w:lineRule="auto" w:before="0" w:after="0"/>
        <w:ind w:left="4511" w:right="0" w:hanging="211"/>
        <w:jc w:val="left"/>
        <w:rPr>
          <w:sz w:val="28"/>
        </w:rPr>
      </w:pPr>
      <w:r>
        <w:rPr>
          <w:sz w:val="28"/>
        </w:rPr>
        <w:t>-  12 месяцев и</w:t>
      </w:r>
      <w:r>
        <w:rPr>
          <w:spacing w:val="-4"/>
          <w:sz w:val="28"/>
        </w:rPr>
        <w:t> </w:t>
      </w:r>
      <w:r>
        <w:rPr>
          <w:sz w:val="28"/>
        </w:rPr>
        <w:t>более</w:t>
      </w:r>
    </w:p>
    <w:p>
      <w:pPr>
        <w:pStyle w:val="BodyText"/>
        <w:spacing w:before="4"/>
        <w:rPr>
          <w:sz w:val="31"/>
        </w:rPr>
      </w:pPr>
    </w:p>
    <w:p>
      <w:pPr>
        <w:pStyle w:val="ListParagraph"/>
        <w:numPr>
          <w:ilvl w:val="0"/>
          <w:numId w:val="50"/>
        </w:numPr>
        <w:tabs>
          <w:tab w:pos="524" w:val="left" w:leader="none"/>
          <w:tab w:pos="5347" w:val="left" w:leader="none"/>
        </w:tabs>
        <w:spacing w:line="240" w:lineRule="auto" w:before="1" w:after="0"/>
        <w:ind w:left="523" w:right="0" w:hanging="421"/>
        <w:jc w:val="left"/>
        <w:rPr>
          <w:sz w:val="28"/>
        </w:rPr>
      </w:pPr>
      <w:r>
        <w:rPr>
          <w:sz w:val="28"/>
        </w:rPr>
        <w:t>Диагностика процедива</w:t>
      </w:r>
      <w:r>
        <w:rPr>
          <w:spacing w:val="-8"/>
          <w:sz w:val="28"/>
        </w:rPr>
        <w:t> </w:t>
      </w:r>
      <w:r>
        <w:rPr>
          <w:sz w:val="28"/>
        </w:rPr>
        <w:t>или</w:t>
      </w:r>
      <w:r>
        <w:rPr>
          <w:spacing w:val="-4"/>
          <w:sz w:val="28"/>
        </w:rPr>
        <w:t> </w:t>
      </w:r>
      <w:r>
        <w:rPr>
          <w:sz w:val="28"/>
        </w:rPr>
        <w:t>рецидива:</w:t>
        <w:tab/>
        <w:t>1 – Рентген;</w:t>
      </w:r>
    </w:p>
    <w:p>
      <w:pPr>
        <w:pStyle w:val="BodyText"/>
        <w:spacing w:before="3"/>
        <w:rPr>
          <w:sz w:val="31"/>
        </w:rPr>
      </w:pPr>
    </w:p>
    <w:p>
      <w:pPr>
        <w:pStyle w:val="ListParagraph"/>
        <w:numPr>
          <w:ilvl w:val="1"/>
          <w:numId w:val="51"/>
        </w:numPr>
        <w:tabs>
          <w:tab w:pos="5424" w:val="left" w:leader="none"/>
        </w:tabs>
        <w:spacing w:line="240" w:lineRule="auto" w:before="1" w:after="0"/>
        <w:ind w:left="5423" w:right="0" w:hanging="211"/>
        <w:jc w:val="left"/>
        <w:rPr>
          <w:sz w:val="28"/>
        </w:rPr>
      </w:pPr>
      <w:r>
        <w:rPr>
          <w:sz w:val="28"/>
        </w:rPr>
        <w:t>–</w:t>
      </w:r>
      <w:r>
        <w:rPr>
          <w:spacing w:val="-1"/>
          <w:sz w:val="28"/>
        </w:rPr>
        <w:t> </w:t>
      </w:r>
      <w:r>
        <w:rPr>
          <w:sz w:val="28"/>
        </w:rPr>
        <w:t>УЗИ;</w:t>
      </w:r>
    </w:p>
    <w:p>
      <w:pPr>
        <w:pStyle w:val="BodyText"/>
        <w:spacing w:before="5"/>
        <w:rPr>
          <w:sz w:val="31"/>
        </w:rPr>
      </w:pPr>
    </w:p>
    <w:p>
      <w:pPr>
        <w:pStyle w:val="ListParagraph"/>
        <w:numPr>
          <w:ilvl w:val="1"/>
          <w:numId w:val="51"/>
        </w:numPr>
        <w:tabs>
          <w:tab w:pos="5424" w:val="left" w:leader="none"/>
        </w:tabs>
        <w:spacing w:line="240" w:lineRule="auto" w:before="0" w:after="0"/>
        <w:ind w:left="5423" w:right="0" w:hanging="211"/>
        <w:jc w:val="left"/>
        <w:rPr>
          <w:sz w:val="28"/>
        </w:rPr>
      </w:pPr>
      <w:r>
        <w:rPr>
          <w:sz w:val="28"/>
        </w:rPr>
        <w:t>-</w:t>
      </w:r>
      <w:r>
        <w:rPr>
          <w:spacing w:val="-2"/>
          <w:sz w:val="28"/>
        </w:rPr>
        <w:t> </w:t>
      </w:r>
      <w:r>
        <w:rPr>
          <w:sz w:val="28"/>
        </w:rPr>
        <w:t>КТ;</w:t>
      </w:r>
    </w:p>
    <w:p>
      <w:pPr>
        <w:pStyle w:val="BodyText"/>
        <w:spacing w:before="2"/>
        <w:rPr>
          <w:sz w:val="31"/>
        </w:rPr>
      </w:pPr>
    </w:p>
    <w:p>
      <w:pPr>
        <w:pStyle w:val="ListParagraph"/>
        <w:numPr>
          <w:ilvl w:val="1"/>
          <w:numId w:val="51"/>
        </w:numPr>
        <w:tabs>
          <w:tab w:pos="5424" w:val="left" w:leader="none"/>
        </w:tabs>
        <w:spacing w:line="240" w:lineRule="auto" w:before="0" w:after="0"/>
        <w:ind w:left="5423" w:right="0" w:hanging="211"/>
        <w:jc w:val="left"/>
        <w:rPr>
          <w:sz w:val="28"/>
        </w:rPr>
      </w:pPr>
      <w:r>
        <w:rPr>
          <w:sz w:val="28"/>
        </w:rPr>
        <w:t>- МРТ</w:t>
      </w:r>
    </w:p>
    <w:p>
      <w:pPr>
        <w:pStyle w:val="BodyText"/>
        <w:spacing w:before="5"/>
        <w:rPr>
          <w:sz w:val="31"/>
        </w:rPr>
      </w:pPr>
    </w:p>
    <w:p>
      <w:pPr>
        <w:pStyle w:val="ListParagraph"/>
        <w:numPr>
          <w:ilvl w:val="0"/>
          <w:numId w:val="50"/>
        </w:numPr>
        <w:tabs>
          <w:tab w:pos="524" w:val="left" w:leader="none"/>
        </w:tabs>
        <w:spacing w:line="240" w:lineRule="auto" w:before="0" w:after="0"/>
        <w:ind w:left="523" w:right="0" w:hanging="421"/>
        <w:jc w:val="left"/>
        <w:rPr>
          <w:sz w:val="28"/>
        </w:rPr>
      </w:pPr>
      <w:r>
        <w:rPr>
          <w:sz w:val="28"/>
        </w:rPr>
        <w:t>Исход: 1 –</w:t>
      </w:r>
      <w:r>
        <w:rPr>
          <w:spacing w:val="-7"/>
          <w:sz w:val="28"/>
        </w:rPr>
        <w:t> </w:t>
      </w:r>
      <w:r>
        <w:rPr>
          <w:sz w:val="28"/>
        </w:rPr>
        <w:t>жива;</w:t>
      </w:r>
    </w:p>
    <w:p>
      <w:pPr>
        <w:pStyle w:val="BodyText"/>
        <w:spacing w:before="3"/>
        <w:rPr>
          <w:sz w:val="31"/>
        </w:rPr>
      </w:pPr>
    </w:p>
    <w:p>
      <w:pPr>
        <w:pStyle w:val="BodyText"/>
        <w:ind w:left="1412" w:right="5901"/>
        <w:jc w:val="center"/>
      </w:pPr>
      <w:r>
        <w:rPr/>
        <w:t>2 – умерла</w:t>
      </w:r>
    </w:p>
    <w:p>
      <w:pPr>
        <w:pStyle w:val="BodyText"/>
        <w:spacing w:before="5"/>
        <w:rPr>
          <w:sz w:val="31"/>
        </w:rPr>
      </w:pPr>
    </w:p>
    <w:p>
      <w:pPr>
        <w:pStyle w:val="ListParagraph"/>
        <w:numPr>
          <w:ilvl w:val="0"/>
          <w:numId w:val="50"/>
        </w:numPr>
        <w:tabs>
          <w:tab w:pos="524" w:val="left" w:leader="none"/>
        </w:tabs>
        <w:spacing w:line="240" w:lineRule="auto" w:before="0" w:after="0"/>
        <w:ind w:left="523" w:right="0" w:hanging="421"/>
        <w:jc w:val="left"/>
        <w:rPr>
          <w:sz w:val="28"/>
        </w:rPr>
      </w:pPr>
      <w:r>
        <w:rPr>
          <w:sz w:val="28"/>
        </w:rPr>
        <w:t>Период</w:t>
      </w:r>
      <w:r>
        <w:rPr>
          <w:spacing w:val="-9"/>
          <w:sz w:val="28"/>
        </w:rPr>
        <w:t> </w:t>
      </w:r>
      <w:r>
        <w:rPr>
          <w:sz w:val="28"/>
        </w:rPr>
        <w:t>наблюдения.</w:t>
      </w:r>
    </w:p>
    <w:p>
      <w:pPr>
        <w:spacing w:after="0" w:line="240" w:lineRule="auto"/>
        <w:jc w:val="left"/>
        <w:rPr>
          <w:sz w:val="28"/>
        </w:rPr>
        <w:sectPr>
          <w:pgSz w:w="11900" w:h="16850"/>
          <w:pgMar w:header="712" w:footer="0" w:top="1020" w:bottom="280" w:left="1600" w:right="1680"/>
        </w:sectPr>
      </w:pPr>
    </w:p>
    <w:p>
      <w:pPr>
        <w:pStyle w:val="BodyText"/>
        <w:rPr>
          <w:sz w:val="20"/>
        </w:rPr>
      </w:pPr>
    </w:p>
    <w:p>
      <w:pPr>
        <w:pStyle w:val="BodyText"/>
        <w:rPr>
          <w:sz w:val="20"/>
        </w:rPr>
      </w:pPr>
    </w:p>
    <w:p>
      <w:pPr>
        <w:pStyle w:val="BodyText"/>
        <w:spacing w:before="224"/>
        <w:ind w:left="1297"/>
      </w:pPr>
      <w:r>
        <w:rPr/>
        <w:t>Анкета для сбора сведений о больных раком яичников</w:t>
      </w:r>
    </w:p>
    <w:p>
      <w:pPr>
        <w:pStyle w:val="BodyText"/>
        <w:rPr>
          <w:sz w:val="20"/>
        </w:rPr>
      </w:pPr>
    </w:p>
    <w:p>
      <w:pPr>
        <w:pStyle w:val="BodyText"/>
        <w:rPr>
          <w:sz w:val="20"/>
        </w:rPr>
      </w:pPr>
    </w:p>
    <w:p>
      <w:pPr>
        <w:pStyle w:val="BodyText"/>
        <w:rPr>
          <w:sz w:val="20"/>
        </w:rPr>
      </w:pPr>
    </w:p>
    <w:p>
      <w:pPr>
        <w:pStyle w:val="BodyText"/>
        <w:rPr>
          <w:sz w:val="23"/>
        </w:rPr>
      </w:pPr>
    </w:p>
    <w:p>
      <w:pPr>
        <w:pStyle w:val="BodyText"/>
        <w:spacing w:before="89"/>
        <w:ind w:left="102"/>
      </w:pPr>
      <w:r>
        <w:rPr/>
        <w:t>Ф.И.О.</w:t>
      </w:r>
    </w:p>
    <w:p>
      <w:pPr>
        <w:pStyle w:val="BodyText"/>
        <w:spacing w:before="2"/>
        <w:rPr>
          <w:sz w:val="31"/>
        </w:rPr>
      </w:pPr>
    </w:p>
    <w:p>
      <w:pPr>
        <w:pStyle w:val="BodyText"/>
        <w:spacing w:before="1"/>
        <w:ind w:left="102"/>
      </w:pPr>
      <w:r>
        <w:rPr/>
        <w:t>Год обследования (пребывание в стационаре).</w:t>
      </w:r>
    </w:p>
    <w:p>
      <w:pPr>
        <w:pStyle w:val="BodyText"/>
        <w:spacing w:before="5"/>
        <w:rPr>
          <w:sz w:val="31"/>
        </w:rPr>
      </w:pPr>
    </w:p>
    <w:p>
      <w:pPr>
        <w:pStyle w:val="BodyText"/>
        <w:ind w:left="102"/>
      </w:pPr>
      <w:r>
        <w:rPr/>
        <w:t>1.  Группа: 1. Диагностика. 2. Iст. 3. МР РЯ.</w:t>
      </w:r>
    </w:p>
    <w:p>
      <w:pPr>
        <w:pStyle w:val="BodyText"/>
        <w:spacing w:before="160"/>
        <w:ind w:left="102"/>
      </w:pPr>
      <w:r>
        <w:rPr/>
        <w:t>2.  Возраст:  1. До 30, 2. 30-39, 3. 40-49, 4. 50-59, 5. 60-69, 6. 70-</w:t>
      </w:r>
    </w:p>
    <w:p>
      <w:pPr>
        <w:pStyle w:val="BodyText"/>
        <w:tabs>
          <w:tab w:pos="1597" w:val="left" w:leader="none"/>
        </w:tabs>
        <w:spacing w:before="160"/>
        <w:ind w:left="102"/>
      </w:pPr>
      <w:r>
        <w:rPr/>
        <w:t>3. </w:t>
      </w:r>
      <w:r>
        <w:rPr>
          <w:spacing w:val="9"/>
        </w:rPr>
        <w:t> </w:t>
      </w:r>
      <w:r>
        <w:rPr/>
        <w:t>Стадия</w:t>
        <w:tab/>
        <w:t>0.-нет данных, 1.-0; 2.-1; 3.-II; 4.-III;</w:t>
      </w:r>
      <w:r>
        <w:rPr>
          <w:spacing w:val="-11"/>
        </w:rPr>
        <w:t> </w:t>
      </w:r>
      <w:r>
        <w:rPr/>
        <w:t>5.-IV.</w:t>
      </w:r>
    </w:p>
    <w:p>
      <w:pPr>
        <w:pStyle w:val="BodyText"/>
        <w:spacing w:line="360" w:lineRule="auto" w:before="162"/>
        <w:ind w:left="589" w:right="586" w:hanging="488"/>
      </w:pPr>
      <w:r>
        <w:rPr/>
        <w:t>4. Гистологический тип: 0.-нет данных, 1.-СЦАК, 2.ЭЦАК, 3.МЦАК 4.- -мезонефроидная аденокарцинома</w:t>
      </w:r>
    </w:p>
    <w:p>
      <w:pPr>
        <w:pStyle w:val="ListParagraph"/>
        <w:numPr>
          <w:ilvl w:val="0"/>
          <w:numId w:val="52"/>
        </w:numPr>
        <w:tabs>
          <w:tab w:pos="462" w:val="left" w:leader="none"/>
        </w:tabs>
        <w:spacing w:line="240" w:lineRule="auto" w:before="204" w:after="0"/>
        <w:ind w:left="462" w:right="0" w:hanging="360"/>
        <w:jc w:val="left"/>
        <w:rPr>
          <w:sz w:val="28"/>
        </w:rPr>
      </w:pPr>
      <w:r>
        <w:rPr>
          <w:sz w:val="28"/>
        </w:rPr>
        <w:t>Дифференцировка: 0.-нет данных, 1.-G1,  2.-G2,</w:t>
      </w:r>
      <w:r>
        <w:rPr>
          <w:spacing w:val="54"/>
          <w:sz w:val="28"/>
        </w:rPr>
        <w:t> </w:t>
      </w:r>
      <w:r>
        <w:rPr>
          <w:sz w:val="28"/>
        </w:rPr>
        <w:t>3.-G3.</w:t>
      </w:r>
    </w:p>
    <w:p>
      <w:pPr>
        <w:pStyle w:val="ListParagraph"/>
        <w:numPr>
          <w:ilvl w:val="0"/>
          <w:numId w:val="52"/>
        </w:numPr>
        <w:tabs>
          <w:tab w:pos="462" w:val="left" w:leader="none"/>
        </w:tabs>
        <w:spacing w:line="240" w:lineRule="auto" w:before="163" w:after="0"/>
        <w:ind w:left="462" w:right="0" w:hanging="360"/>
        <w:jc w:val="left"/>
        <w:rPr>
          <w:sz w:val="28"/>
        </w:rPr>
      </w:pPr>
      <w:r>
        <w:rPr>
          <w:sz w:val="28"/>
        </w:rPr>
        <w:t>Наследственность: 1-есть,</w:t>
      </w:r>
      <w:r>
        <w:rPr>
          <w:spacing w:val="-2"/>
          <w:sz w:val="28"/>
        </w:rPr>
        <w:t> </w:t>
      </w:r>
      <w:r>
        <w:rPr>
          <w:sz w:val="28"/>
        </w:rPr>
        <w:t>2-нет</w:t>
      </w:r>
    </w:p>
    <w:p>
      <w:pPr>
        <w:pStyle w:val="ListParagraph"/>
        <w:numPr>
          <w:ilvl w:val="0"/>
          <w:numId w:val="52"/>
        </w:numPr>
        <w:tabs>
          <w:tab w:pos="531" w:val="left" w:leader="none"/>
          <w:tab w:pos="532" w:val="left" w:leader="none"/>
        </w:tabs>
        <w:spacing w:line="240" w:lineRule="auto" w:before="161" w:after="0"/>
        <w:ind w:left="531" w:right="0" w:hanging="429"/>
        <w:jc w:val="left"/>
        <w:rPr>
          <w:sz w:val="28"/>
        </w:rPr>
      </w:pPr>
      <w:r>
        <w:rPr>
          <w:sz w:val="28"/>
        </w:rPr>
        <w:t>Ожирение:  0.-нет данных, 1.-есть,</w:t>
      </w:r>
      <w:r>
        <w:rPr>
          <w:spacing w:val="-13"/>
          <w:sz w:val="28"/>
        </w:rPr>
        <w:t> </w:t>
      </w:r>
      <w:r>
        <w:rPr>
          <w:sz w:val="28"/>
        </w:rPr>
        <w:t>2.-нет.</w:t>
      </w:r>
    </w:p>
    <w:p>
      <w:pPr>
        <w:pStyle w:val="ListParagraph"/>
        <w:numPr>
          <w:ilvl w:val="0"/>
          <w:numId w:val="52"/>
        </w:numPr>
        <w:tabs>
          <w:tab w:pos="462" w:val="left" w:leader="none"/>
          <w:tab w:pos="3821" w:val="left" w:leader="none"/>
        </w:tabs>
        <w:spacing w:line="240" w:lineRule="auto" w:before="160" w:after="0"/>
        <w:ind w:left="462" w:right="0" w:hanging="360"/>
        <w:jc w:val="left"/>
        <w:rPr>
          <w:sz w:val="28"/>
        </w:rPr>
      </w:pPr>
      <w:r>
        <w:rPr>
          <w:sz w:val="28"/>
        </w:rPr>
        <w:t>Гипертоническая</w:t>
      </w:r>
      <w:r>
        <w:rPr>
          <w:spacing w:val="-3"/>
          <w:sz w:val="28"/>
        </w:rPr>
        <w:t> </w:t>
      </w:r>
      <w:r>
        <w:rPr>
          <w:sz w:val="28"/>
        </w:rPr>
        <w:t>болезнь:</w:t>
        <w:tab/>
        <w:t>0.-нет данных, 1.-есть,</w:t>
      </w:r>
      <w:r>
        <w:rPr>
          <w:spacing w:val="-7"/>
          <w:sz w:val="28"/>
        </w:rPr>
        <w:t> </w:t>
      </w:r>
      <w:r>
        <w:rPr>
          <w:sz w:val="28"/>
        </w:rPr>
        <w:t>2.-нет.</w:t>
      </w:r>
    </w:p>
    <w:p>
      <w:pPr>
        <w:pStyle w:val="ListParagraph"/>
        <w:numPr>
          <w:ilvl w:val="0"/>
          <w:numId w:val="52"/>
        </w:numPr>
        <w:tabs>
          <w:tab w:pos="462" w:val="left" w:leader="none"/>
          <w:tab w:pos="2826" w:val="left" w:leader="none"/>
        </w:tabs>
        <w:spacing w:line="240" w:lineRule="auto" w:before="160" w:after="0"/>
        <w:ind w:left="462" w:right="0" w:hanging="360"/>
        <w:jc w:val="left"/>
        <w:rPr>
          <w:sz w:val="28"/>
        </w:rPr>
      </w:pPr>
      <w:r>
        <w:rPr>
          <w:sz w:val="28"/>
        </w:rPr>
        <w:t>Сахарный</w:t>
      </w:r>
      <w:r>
        <w:rPr>
          <w:spacing w:val="-2"/>
          <w:sz w:val="28"/>
        </w:rPr>
        <w:t> </w:t>
      </w:r>
      <w:r>
        <w:rPr>
          <w:sz w:val="28"/>
        </w:rPr>
        <w:t>диабет:</w:t>
        <w:tab/>
        <w:t>0.-нет данных,  1.-есть,</w:t>
      </w:r>
      <w:r>
        <w:rPr>
          <w:spacing w:val="-7"/>
          <w:sz w:val="28"/>
        </w:rPr>
        <w:t> </w:t>
      </w:r>
      <w:r>
        <w:rPr>
          <w:sz w:val="28"/>
        </w:rPr>
        <w:t>2.-нет.</w:t>
      </w:r>
    </w:p>
    <w:p>
      <w:pPr>
        <w:pStyle w:val="ListParagraph"/>
        <w:numPr>
          <w:ilvl w:val="0"/>
          <w:numId w:val="52"/>
        </w:numPr>
        <w:tabs>
          <w:tab w:pos="462" w:val="left" w:leader="none"/>
          <w:tab w:pos="2004" w:val="left" w:leader="none"/>
        </w:tabs>
        <w:spacing w:line="240" w:lineRule="auto" w:before="163" w:after="0"/>
        <w:ind w:left="462" w:right="0" w:hanging="360"/>
        <w:jc w:val="left"/>
        <w:rPr>
          <w:sz w:val="28"/>
        </w:rPr>
      </w:pPr>
      <w:r>
        <w:rPr>
          <w:sz w:val="28"/>
        </w:rPr>
        <w:t>Бесплодие:</w:t>
        <w:tab/>
        <w:t>0.-нет данных,  1.-есть,</w:t>
      </w:r>
      <w:r>
        <w:rPr>
          <w:spacing w:val="-8"/>
          <w:sz w:val="28"/>
        </w:rPr>
        <w:t> </w:t>
      </w:r>
      <w:r>
        <w:rPr>
          <w:sz w:val="28"/>
        </w:rPr>
        <w:t>2.-нет.</w:t>
      </w:r>
    </w:p>
    <w:p>
      <w:pPr>
        <w:pStyle w:val="ListParagraph"/>
        <w:numPr>
          <w:ilvl w:val="0"/>
          <w:numId w:val="52"/>
        </w:numPr>
        <w:tabs>
          <w:tab w:pos="462" w:val="left" w:leader="none"/>
          <w:tab w:pos="3759" w:val="left" w:leader="none"/>
        </w:tabs>
        <w:spacing w:line="360" w:lineRule="auto" w:before="160" w:after="0"/>
        <w:ind w:left="462" w:right="118" w:hanging="360"/>
        <w:jc w:val="left"/>
        <w:rPr>
          <w:sz w:val="28"/>
        </w:rPr>
      </w:pPr>
      <w:r>
        <w:rPr>
          <w:sz w:val="28"/>
        </w:rPr>
        <w:t>Менструальная</w:t>
      </w:r>
      <w:r>
        <w:rPr>
          <w:spacing w:val="40"/>
          <w:sz w:val="28"/>
        </w:rPr>
        <w:t> </w:t>
      </w:r>
      <w:r>
        <w:rPr>
          <w:sz w:val="28"/>
        </w:rPr>
        <w:t>функция:</w:t>
        <w:tab/>
        <w:t>0.-нет  данных,</w:t>
      </w:r>
      <w:r>
        <w:rPr>
          <w:spacing w:val="6"/>
          <w:sz w:val="28"/>
        </w:rPr>
        <w:t> </w:t>
      </w:r>
      <w:r>
        <w:rPr>
          <w:sz w:val="28"/>
        </w:rPr>
        <w:t>1.-репродуктивный</w:t>
      </w:r>
      <w:r>
        <w:rPr>
          <w:spacing w:val="40"/>
          <w:sz w:val="28"/>
        </w:rPr>
        <w:t> </w:t>
      </w:r>
      <w:r>
        <w:rPr>
          <w:sz w:val="28"/>
        </w:rPr>
        <w:t>возраст,</w:t>
      </w:r>
      <w:r>
        <w:rPr>
          <w:w w:val="100"/>
          <w:sz w:val="28"/>
        </w:rPr>
        <w:t> </w:t>
      </w:r>
      <w:r>
        <w:rPr>
          <w:sz w:val="28"/>
        </w:rPr>
        <w:t>2.-пременопауза,</w:t>
      </w:r>
      <w:r>
        <w:rPr>
          <w:spacing w:val="-12"/>
          <w:sz w:val="28"/>
        </w:rPr>
        <w:t> </w:t>
      </w:r>
      <w:r>
        <w:rPr>
          <w:sz w:val="28"/>
        </w:rPr>
        <w:t>3-постменопауза.</w:t>
      </w:r>
    </w:p>
    <w:p>
      <w:pPr>
        <w:pStyle w:val="ListParagraph"/>
        <w:numPr>
          <w:ilvl w:val="0"/>
          <w:numId w:val="52"/>
        </w:numPr>
        <w:tabs>
          <w:tab w:pos="462" w:val="left" w:leader="none"/>
        </w:tabs>
        <w:spacing w:line="240" w:lineRule="auto" w:before="5" w:after="0"/>
        <w:ind w:left="462" w:right="0" w:hanging="360"/>
        <w:jc w:val="left"/>
        <w:rPr>
          <w:sz w:val="28"/>
        </w:rPr>
      </w:pPr>
      <w:r>
        <w:rPr>
          <w:sz w:val="28"/>
        </w:rPr>
        <w:t>Операция:  0.-нет данных, 1.оптимальная (&lt;2см),</w:t>
      </w:r>
      <w:r>
        <w:rPr>
          <w:spacing w:val="-20"/>
          <w:sz w:val="28"/>
        </w:rPr>
        <w:t> </w:t>
      </w:r>
      <w:r>
        <w:rPr>
          <w:sz w:val="28"/>
        </w:rPr>
        <w:t>2.субоптимальная</w:t>
      </w:r>
    </w:p>
    <w:p>
      <w:pPr>
        <w:pStyle w:val="ListParagraph"/>
        <w:numPr>
          <w:ilvl w:val="0"/>
          <w:numId w:val="52"/>
        </w:numPr>
        <w:tabs>
          <w:tab w:pos="531" w:val="left" w:leader="none"/>
          <w:tab w:pos="532" w:val="left" w:leader="none"/>
        </w:tabs>
        <w:spacing w:line="360" w:lineRule="auto" w:before="163" w:after="0"/>
        <w:ind w:left="102" w:right="2555" w:firstLine="0"/>
        <w:jc w:val="left"/>
        <w:rPr>
          <w:sz w:val="28"/>
        </w:rPr>
      </w:pPr>
      <w:r>
        <w:rPr>
          <w:sz w:val="28"/>
        </w:rPr>
        <w:t>Повторная операция  1-да, 2-нет 10.Безрецидивный период 1. до 6мес, 2. больше 6 мес 11.Количество линий х.т.  1, 2,</w:t>
      </w:r>
      <w:r>
        <w:rPr>
          <w:spacing w:val="1"/>
          <w:sz w:val="28"/>
        </w:rPr>
        <w:t> </w:t>
      </w:r>
      <w:r>
        <w:rPr>
          <w:sz w:val="28"/>
        </w:rPr>
        <w:t>3,….</w:t>
      </w:r>
    </w:p>
    <w:p>
      <w:pPr>
        <w:pStyle w:val="ListParagraph"/>
        <w:numPr>
          <w:ilvl w:val="0"/>
          <w:numId w:val="53"/>
        </w:numPr>
        <w:tabs>
          <w:tab w:pos="532" w:val="left" w:leader="none"/>
        </w:tabs>
        <w:spacing w:line="360" w:lineRule="auto" w:before="5" w:after="0"/>
        <w:ind w:left="462" w:right="116" w:hanging="360"/>
        <w:jc w:val="both"/>
        <w:rPr>
          <w:sz w:val="28"/>
        </w:rPr>
      </w:pPr>
      <w:r>
        <w:rPr>
          <w:sz w:val="28"/>
        </w:rPr>
        <w:t>Отдаленные результаты лечения: 0.-нет данных; 1.-жива; 2.-жива с рецидивом и метастазом; 3.-умерла от рака; 4.-умерла от интеркуррентного заболевания; 5.-исчезла из-под</w:t>
      </w:r>
      <w:r>
        <w:rPr>
          <w:spacing w:val="-19"/>
          <w:sz w:val="28"/>
        </w:rPr>
        <w:t> </w:t>
      </w:r>
      <w:r>
        <w:rPr>
          <w:sz w:val="28"/>
        </w:rPr>
        <w:t>наблюдения.</w:t>
      </w:r>
    </w:p>
    <w:p>
      <w:pPr>
        <w:pStyle w:val="ListParagraph"/>
        <w:numPr>
          <w:ilvl w:val="0"/>
          <w:numId w:val="53"/>
        </w:numPr>
        <w:tabs>
          <w:tab w:pos="532" w:val="left" w:leader="none"/>
        </w:tabs>
        <w:spacing w:line="360" w:lineRule="auto" w:before="5" w:after="0"/>
        <w:ind w:left="462" w:right="113" w:hanging="360"/>
        <w:jc w:val="left"/>
        <w:rPr>
          <w:sz w:val="28"/>
        </w:rPr>
      </w:pPr>
      <w:r>
        <w:rPr>
          <w:sz w:val="28"/>
        </w:rPr>
        <w:t>Сроки наблюдения: 0.-нет данных; 1.-до 1 года; 2.-1-2г.; 3.-2-3г.; 4.-3- 4г.; 5.-4-5г.;  6.-5 и более</w:t>
      </w:r>
      <w:r>
        <w:rPr>
          <w:spacing w:val="-9"/>
          <w:sz w:val="28"/>
        </w:rPr>
        <w:t> </w:t>
      </w:r>
      <w:r>
        <w:rPr>
          <w:sz w:val="28"/>
        </w:rPr>
        <w:t>лет.</w:t>
      </w:r>
    </w:p>
    <w:p>
      <w:pPr>
        <w:pStyle w:val="ListParagraph"/>
        <w:numPr>
          <w:ilvl w:val="0"/>
          <w:numId w:val="53"/>
        </w:numPr>
        <w:tabs>
          <w:tab w:pos="532" w:val="left" w:leader="none"/>
        </w:tabs>
        <w:spacing w:line="240" w:lineRule="auto" w:before="5" w:after="0"/>
        <w:ind w:left="531" w:right="0" w:hanging="429"/>
        <w:jc w:val="left"/>
        <w:rPr>
          <w:sz w:val="28"/>
        </w:rPr>
      </w:pPr>
      <w:r>
        <w:rPr>
          <w:sz w:val="28"/>
        </w:rPr>
        <w:t>Состояние эндометрия: 0.-нет данных; 1.-атрофия; 2.-гиперплазия; </w:t>
      </w:r>
      <w:r>
        <w:rPr>
          <w:spacing w:val="46"/>
          <w:sz w:val="28"/>
        </w:rPr>
        <w:t> </w:t>
      </w:r>
      <w:r>
        <w:rPr>
          <w:sz w:val="28"/>
        </w:rPr>
        <w:t>3.-</w:t>
      </w:r>
    </w:p>
    <w:p>
      <w:pPr>
        <w:spacing w:after="0" w:line="240" w:lineRule="auto"/>
        <w:jc w:val="left"/>
        <w:rPr>
          <w:sz w:val="28"/>
        </w:rPr>
        <w:sectPr>
          <w:pgSz w:w="11900" w:h="16850"/>
          <w:pgMar w:header="712" w:footer="0" w:top="1020" w:bottom="280" w:left="1600" w:right="1140"/>
        </w:sectPr>
      </w:pPr>
    </w:p>
    <w:p>
      <w:pPr>
        <w:pStyle w:val="BodyText"/>
        <w:tabs>
          <w:tab w:pos="2586" w:val="left" w:leader="none"/>
          <w:tab w:pos="4847" w:val="left" w:leader="none"/>
        </w:tabs>
        <w:spacing w:line="321" w:lineRule="exact"/>
        <w:ind w:left="461"/>
      </w:pPr>
      <w:r>
        <w:rPr/>
        <w:t>первично</w:t>
        <w:tab/>
        <w:t>множественная</w:t>
        <w:tab/>
        <w:t>опухоль.</w:t>
      </w:r>
    </w:p>
    <w:p>
      <w:pPr>
        <w:pStyle w:val="BodyText"/>
        <w:spacing w:line="362" w:lineRule="auto" w:before="161"/>
        <w:ind w:left="461" w:right="320" w:hanging="360"/>
      </w:pPr>
      <w:r>
        <w:rPr/>
        <w:t>15.Состояние молочных желез: 0-нд, 1- норма, 2-гиперпл. процессы, 3- рак</w:t>
      </w:r>
    </w:p>
    <w:p>
      <w:pPr>
        <w:pStyle w:val="BodyText"/>
        <w:spacing w:before="2"/>
        <w:ind w:left="102"/>
      </w:pPr>
      <w:r>
        <w:rPr/>
        <w:t>16.Доступ 1-лапаротомия, 2-лапароскопия.</w:t>
      </w:r>
    </w:p>
    <w:p>
      <w:pPr>
        <w:pStyle w:val="ListParagraph"/>
        <w:numPr>
          <w:ilvl w:val="0"/>
          <w:numId w:val="54"/>
        </w:numPr>
        <w:tabs>
          <w:tab w:pos="524" w:val="left" w:leader="none"/>
        </w:tabs>
        <w:spacing w:line="240" w:lineRule="auto" w:before="160" w:after="0"/>
        <w:ind w:left="523" w:right="0" w:hanging="421"/>
        <w:jc w:val="left"/>
        <w:rPr>
          <w:sz w:val="28"/>
        </w:rPr>
      </w:pPr>
      <w:r>
        <w:rPr>
          <w:sz w:val="28"/>
        </w:rPr>
        <w:t>Интраоперационные</w:t>
      </w:r>
      <w:r>
        <w:rPr>
          <w:spacing w:val="-18"/>
          <w:sz w:val="28"/>
        </w:rPr>
        <w:t> </w:t>
      </w:r>
      <w:r>
        <w:rPr>
          <w:sz w:val="28"/>
        </w:rPr>
        <w:t>осложнения</w:t>
      </w:r>
    </w:p>
    <w:p>
      <w:pPr>
        <w:pStyle w:val="BodyText"/>
        <w:spacing w:before="5"/>
        <w:rPr>
          <w:sz w:val="31"/>
        </w:rPr>
      </w:pPr>
    </w:p>
    <w:p>
      <w:pPr>
        <w:pStyle w:val="ListParagraph"/>
        <w:numPr>
          <w:ilvl w:val="1"/>
          <w:numId w:val="54"/>
        </w:numPr>
        <w:tabs>
          <w:tab w:pos="3953" w:val="left" w:leader="none"/>
        </w:tabs>
        <w:spacing w:line="240" w:lineRule="auto" w:before="0" w:after="0"/>
        <w:ind w:left="3952" w:right="340" w:hanging="211"/>
        <w:jc w:val="left"/>
        <w:rPr>
          <w:sz w:val="28"/>
        </w:rPr>
      </w:pPr>
      <w:r>
        <w:rPr>
          <w:sz w:val="28"/>
        </w:rPr>
        <w:t>– не</w:t>
      </w:r>
      <w:r>
        <w:rPr>
          <w:spacing w:val="-3"/>
          <w:sz w:val="28"/>
        </w:rPr>
        <w:t> </w:t>
      </w:r>
      <w:r>
        <w:rPr>
          <w:sz w:val="28"/>
        </w:rPr>
        <w:t>было;</w:t>
      </w:r>
    </w:p>
    <w:p>
      <w:pPr>
        <w:pStyle w:val="BodyText"/>
        <w:spacing w:before="2"/>
        <w:rPr>
          <w:sz w:val="31"/>
        </w:rPr>
      </w:pPr>
    </w:p>
    <w:p>
      <w:pPr>
        <w:pStyle w:val="ListParagraph"/>
        <w:numPr>
          <w:ilvl w:val="1"/>
          <w:numId w:val="54"/>
        </w:numPr>
        <w:tabs>
          <w:tab w:pos="3962" w:val="left" w:leader="none"/>
        </w:tabs>
        <w:spacing w:line="240" w:lineRule="auto" w:before="0" w:after="0"/>
        <w:ind w:left="3961" w:right="0" w:hanging="211"/>
        <w:jc w:val="left"/>
        <w:rPr>
          <w:sz w:val="28"/>
        </w:rPr>
      </w:pPr>
      <w:r>
        <w:rPr>
          <w:sz w:val="28"/>
        </w:rPr>
        <w:t>–</w:t>
      </w:r>
      <w:r>
        <w:rPr>
          <w:spacing w:val="-2"/>
          <w:sz w:val="28"/>
        </w:rPr>
        <w:t> </w:t>
      </w:r>
      <w:r>
        <w:rPr>
          <w:sz w:val="28"/>
        </w:rPr>
        <w:t>кровотечение;</w:t>
      </w:r>
    </w:p>
    <w:p>
      <w:pPr>
        <w:pStyle w:val="ListParagraph"/>
        <w:numPr>
          <w:ilvl w:val="1"/>
          <w:numId w:val="54"/>
        </w:numPr>
        <w:tabs>
          <w:tab w:pos="4022" w:val="left" w:leader="none"/>
        </w:tabs>
        <w:spacing w:line="240" w:lineRule="auto" w:before="160" w:after="0"/>
        <w:ind w:left="4021" w:right="0" w:hanging="211"/>
        <w:jc w:val="left"/>
        <w:rPr>
          <w:sz w:val="28"/>
        </w:rPr>
      </w:pPr>
      <w:r>
        <w:rPr>
          <w:sz w:val="28"/>
        </w:rPr>
        <w:t>– травма магистральных</w:t>
      </w:r>
      <w:r>
        <w:rPr>
          <w:spacing w:val="-6"/>
          <w:sz w:val="28"/>
        </w:rPr>
        <w:t> </w:t>
      </w:r>
      <w:r>
        <w:rPr>
          <w:sz w:val="28"/>
        </w:rPr>
        <w:t>сосудов;</w:t>
      </w:r>
    </w:p>
    <w:p>
      <w:pPr>
        <w:pStyle w:val="BodyText"/>
        <w:spacing w:before="5"/>
        <w:rPr>
          <w:sz w:val="31"/>
        </w:rPr>
      </w:pPr>
    </w:p>
    <w:p>
      <w:pPr>
        <w:pStyle w:val="ListParagraph"/>
        <w:numPr>
          <w:ilvl w:val="1"/>
          <w:numId w:val="54"/>
        </w:numPr>
        <w:tabs>
          <w:tab w:pos="3962" w:val="left" w:leader="none"/>
        </w:tabs>
        <w:spacing w:line="240" w:lineRule="auto" w:before="0" w:after="0"/>
        <w:ind w:left="3961" w:right="0" w:hanging="211"/>
        <w:jc w:val="left"/>
        <w:rPr>
          <w:sz w:val="28"/>
        </w:rPr>
      </w:pPr>
      <w:r>
        <w:rPr>
          <w:sz w:val="28"/>
        </w:rPr>
        <w:t>– кишечная</w:t>
      </w:r>
      <w:r>
        <w:rPr>
          <w:spacing w:val="-4"/>
          <w:sz w:val="28"/>
        </w:rPr>
        <w:t> </w:t>
      </w:r>
      <w:r>
        <w:rPr>
          <w:sz w:val="28"/>
        </w:rPr>
        <w:t>травма;</w:t>
      </w:r>
    </w:p>
    <w:p>
      <w:pPr>
        <w:pStyle w:val="ListParagraph"/>
        <w:numPr>
          <w:ilvl w:val="1"/>
          <w:numId w:val="54"/>
        </w:numPr>
        <w:tabs>
          <w:tab w:pos="3962" w:val="left" w:leader="none"/>
        </w:tabs>
        <w:spacing w:line="240" w:lineRule="auto" w:before="160" w:after="0"/>
        <w:ind w:left="3961" w:right="0" w:hanging="211"/>
        <w:jc w:val="left"/>
        <w:rPr>
          <w:sz w:val="28"/>
        </w:rPr>
      </w:pPr>
      <w:r>
        <w:rPr>
          <w:sz w:val="28"/>
        </w:rPr>
        <w:t>– травма</w:t>
      </w:r>
      <w:r>
        <w:rPr>
          <w:spacing w:val="-3"/>
          <w:sz w:val="28"/>
        </w:rPr>
        <w:t> </w:t>
      </w:r>
      <w:r>
        <w:rPr>
          <w:sz w:val="28"/>
        </w:rPr>
        <w:t>мочеточников</w:t>
      </w:r>
    </w:p>
    <w:p>
      <w:pPr>
        <w:pStyle w:val="ListParagraph"/>
        <w:numPr>
          <w:ilvl w:val="0"/>
          <w:numId w:val="54"/>
        </w:numPr>
        <w:tabs>
          <w:tab w:pos="595" w:val="left" w:leader="none"/>
          <w:tab w:pos="4978" w:val="left" w:leader="none"/>
        </w:tabs>
        <w:spacing w:line="240" w:lineRule="auto" w:before="160" w:after="0"/>
        <w:ind w:left="594" w:right="0" w:hanging="492"/>
        <w:jc w:val="left"/>
        <w:rPr>
          <w:sz w:val="28"/>
        </w:rPr>
      </w:pPr>
      <w:r>
        <w:rPr>
          <w:sz w:val="28"/>
        </w:rPr>
        <w:t>Послеоперационные</w:t>
      </w:r>
      <w:r>
        <w:rPr>
          <w:spacing w:val="-6"/>
          <w:sz w:val="28"/>
        </w:rPr>
        <w:t> </w:t>
      </w:r>
      <w:r>
        <w:rPr>
          <w:sz w:val="28"/>
        </w:rPr>
        <w:t>осложнения</w:t>
        <w:tab/>
        <w:t>1 – не</w:t>
      </w:r>
      <w:r>
        <w:rPr>
          <w:spacing w:val="-2"/>
          <w:sz w:val="28"/>
        </w:rPr>
        <w:t> </w:t>
      </w:r>
      <w:r>
        <w:rPr>
          <w:sz w:val="28"/>
        </w:rPr>
        <w:t>было;</w:t>
      </w:r>
    </w:p>
    <w:p>
      <w:pPr>
        <w:pStyle w:val="BodyText"/>
        <w:spacing w:before="5"/>
        <w:rPr>
          <w:sz w:val="31"/>
        </w:rPr>
      </w:pPr>
    </w:p>
    <w:p>
      <w:pPr>
        <w:pStyle w:val="BodyText"/>
        <w:tabs>
          <w:tab w:pos="4145" w:val="left" w:leader="none"/>
        </w:tabs>
        <w:ind w:left="594"/>
        <w:jc w:val="center"/>
      </w:pPr>
      <w:r>
        <w:rPr/>
        <w:t>2</w:t>
      </w:r>
      <w:r>
        <w:rPr>
          <w:spacing w:val="-1"/>
        </w:rPr>
        <w:t> </w:t>
      </w:r>
      <w:r>
        <w:rPr/>
        <w:t>–</w:t>
      </w:r>
      <w:r>
        <w:rPr>
          <w:spacing w:val="-1"/>
        </w:rPr>
        <w:t> </w:t>
      </w:r>
      <w:r>
        <w:rPr/>
        <w:t>лимфокиста;</w:t>
        <w:tab/>
        <w:t>4 – анемия;</w:t>
      </w:r>
    </w:p>
    <w:p>
      <w:pPr>
        <w:pStyle w:val="BodyText"/>
        <w:spacing w:before="5"/>
        <w:rPr>
          <w:sz w:val="31"/>
        </w:rPr>
      </w:pPr>
    </w:p>
    <w:p>
      <w:pPr>
        <w:pStyle w:val="BodyText"/>
        <w:tabs>
          <w:tab w:pos="6342" w:val="left" w:leader="none"/>
        </w:tabs>
        <w:ind w:left="2843"/>
      </w:pPr>
      <w:r>
        <w:rPr/>
        <w:t>3</w:t>
      </w:r>
      <w:r>
        <w:rPr>
          <w:spacing w:val="-2"/>
        </w:rPr>
        <w:t> </w:t>
      </w:r>
      <w:r>
        <w:rPr/>
        <w:t>–</w:t>
      </w:r>
      <w:r>
        <w:rPr>
          <w:spacing w:val="-2"/>
        </w:rPr>
        <w:t> </w:t>
      </w:r>
      <w:r>
        <w:rPr/>
        <w:t>лимфорея;</w:t>
        <w:tab/>
        <w:t>5 –</w:t>
      </w:r>
      <w:r>
        <w:rPr>
          <w:spacing w:val="-4"/>
        </w:rPr>
        <w:t> </w:t>
      </w:r>
      <w:r>
        <w:rPr/>
        <w:t>гидронефроз</w:t>
      </w:r>
    </w:p>
    <w:p>
      <w:pPr>
        <w:pStyle w:val="BodyText"/>
        <w:rPr>
          <w:sz w:val="30"/>
        </w:rPr>
      </w:pPr>
    </w:p>
    <w:p>
      <w:pPr>
        <w:pStyle w:val="BodyText"/>
        <w:rPr>
          <w:sz w:val="30"/>
        </w:rPr>
      </w:pPr>
    </w:p>
    <w:p>
      <w:pPr>
        <w:pStyle w:val="BodyText"/>
        <w:spacing w:before="10"/>
        <w:rPr>
          <w:sz w:val="37"/>
        </w:rPr>
      </w:pPr>
    </w:p>
    <w:p>
      <w:pPr>
        <w:pStyle w:val="ListParagraph"/>
        <w:numPr>
          <w:ilvl w:val="0"/>
          <w:numId w:val="54"/>
        </w:numPr>
        <w:tabs>
          <w:tab w:pos="524" w:val="left" w:leader="none"/>
          <w:tab w:pos="3805" w:val="left" w:leader="none"/>
        </w:tabs>
        <w:spacing w:line="240" w:lineRule="auto" w:before="0" w:after="0"/>
        <w:ind w:left="523" w:right="0" w:hanging="421"/>
        <w:jc w:val="left"/>
        <w:rPr>
          <w:sz w:val="28"/>
        </w:rPr>
      </w:pPr>
      <w:r>
        <w:rPr>
          <w:sz w:val="28"/>
        </w:rPr>
        <w:t>Длительность</w:t>
      </w:r>
      <w:r>
        <w:rPr>
          <w:spacing w:val="64"/>
          <w:sz w:val="28"/>
        </w:rPr>
        <w:t> </w:t>
      </w:r>
      <w:r>
        <w:rPr>
          <w:sz w:val="28"/>
        </w:rPr>
        <w:t>операции:</w:t>
        <w:tab/>
        <w:t>1 – 60 мин,  2 – 90,  3-120,  4 – 150 и</w:t>
      </w:r>
      <w:r>
        <w:rPr>
          <w:spacing w:val="-12"/>
          <w:sz w:val="28"/>
        </w:rPr>
        <w:t> </w:t>
      </w:r>
      <w:r>
        <w:rPr>
          <w:sz w:val="28"/>
        </w:rPr>
        <w:t>более</w:t>
      </w:r>
    </w:p>
    <w:p>
      <w:pPr>
        <w:pStyle w:val="BodyText"/>
        <w:spacing w:before="5"/>
        <w:rPr>
          <w:sz w:val="31"/>
        </w:rPr>
      </w:pPr>
    </w:p>
    <w:p>
      <w:pPr>
        <w:pStyle w:val="BodyText"/>
        <w:ind w:left="102"/>
      </w:pPr>
      <w:r>
        <w:rPr/>
        <w:t>20. Объем кровопотери:  0 – нд, 1 -  до 30 мл,  2 - 30-60мл,  3 – 60-100мл,</w:t>
      </w:r>
      <w:r>
        <w:rPr>
          <w:spacing w:val="51"/>
        </w:rPr>
        <w:t> </w:t>
      </w:r>
      <w:r>
        <w:rPr/>
        <w:t>4-</w:t>
      </w:r>
    </w:p>
    <w:p>
      <w:pPr>
        <w:pStyle w:val="ListParagraph"/>
        <w:numPr>
          <w:ilvl w:val="1"/>
          <w:numId w:val="55"/>
        </w:numPr>
        <w:tabs>
          <w:tab w:pos="1108" w:val="left" w:leader="none"/>
        </w:tabs>
        <w:spacing w:line="240" w:lineRule="auto" w:before="160" w:after="0"/>
        <w:ind w:left="1107" w:right="0" w:hanging="1005"/>
        <w:jc w:val="left"/>
        <w:rPr>
          <w:sz w:val="28"/>
        </w:rPr>
      </w:pPr>
      <w:r>
        <w:rPr>
          <w:sz w:val="28"/>
        </w:rPr>
        <w:t>мл,</w:t>
      </w:r>
      <w:r>
        <w:rPr>
          <w:spacing w:val="-2"/>
          <w:sz w:val="28"/>
        </w:rPr>
        <w:t> </w:t>
      </w:r>
      <w:r>
        <w:rPr>
          <w:sz w:val="28"/>
        </w:rPr>
        <w:t>5</w:t>
      </w:r>
    </w:p>
    <w:p>
      <w:pPr>
        <w:pStyle w:val="BodyText"/>
        <w:spacing w:before="5"/>
        <w:rPr>
          <w:sz w:val="31"/>
        </w:rPr>
      </w:pPr>
    </w:p>
    <w:p>
      <w:pPr>
        <w:pStyle w:val="BodyText"/>
        <w:ind w:left="519"/>
      </w:pPr>
      <w:r>
        <w:rPr/>
        <w:t>150 – 200 мл, 6 – более 200мл.</w:t>
      </w:r>
    </w:p>
    <w:p>
      <w:pPr>
        <w:spacing w:after="0"/>
        <w:sectPr>
          <w:pgSz w:w="11900" w:h="16850"/>
          <w:pgMar w:header="712" w:footer="0" w:top="1020" w:bottom="280" w:left="1600" w:right="1020"/>
        </w:sectPr>
      </w:pPr>
    </w:p>
    <w:p>
      <w:pPr>
        <w:pStyle w:val="BodyText"/>
        <w:rPr>
          <w:sz w:val="20"/>
        </w:rPr>
      </w:pPr>
    </w:p>
    <w:p>
      <w:pPr>
        <w:pStyle w:val="BodyText"/>
        <w:rPr>
          <w:sz w:val="20"/>
        </w:rPr>
      </w:pPr>
    </w:p>
    <w:p>
      <w:pPr>
        <w:pStyle w:val="BodyText"/>
        <w:rPr>
          <w:sz w:val="20"/>
        </w:rPr>
      </w:pPr>
    </w:p>
    <w:p>
      <w:pPr>
        <w:pStyle w:val="BodyText"/>
        <w:spacing w:before="11"/>
        <w:rPr>
          <w:sz w:val="15"/>
        </w:rPr>
      </w:pPr>
    </w:p>
    <w:p>
      <w:pPr>
        <w:pStyle w:val="BodyText"/>
        <w:spacing w:line="720" w:lineRule="auto" w:before="89"/>
        <w:ind w:left="400" w:right="3482" w:firstLine="2239"/>
      </w:pPr>
      <w:r>
        <w:rPr/>
        <w:t>Опросник оценки качества жизни FACT-G (Version 4)</w:t>
      </w:r>
    </w:p>
    <w:p>
      <w:pPr>
        <w:pStyle w:val="BodyText"/>
        <w:spacing w:line="360" w:lineRule="auto" w:before="222"/>
        <w:ind w:left="122" w:right="1523"/>
        <w:jc w:val="both"/>
      </w:pPr>
      <w:r>
        <w:rPr/>
        <w:t>Обводя кружком одну цифру в каждой строке, пожалуйста, укажите, насколько каждое из нижеприведённых утверждений отражает Вашу ситуацию:</w:t>
      </w:r>
    </w:p>
    <w:p>
      <w:pPr>
        <w:pStyle w:val="BodyText"/>
        <w:spacing w:before="204"/>
        <w:ind w:left="122"/>
        <w:jc w:val="both"/>
      </w:pPr>
      <w:r>
        <w:rPr/>
        <w:t>до хирургического лечения,</w:t>
      </w:r>
    </w:p>
    <w:p>
      <w:pPr>
        <w:pStyle w:val="BodyText"/>
        <w:spacing w:before="6"/>
        <w:rPr>
          <w:sz w:val="24"/>
        </w:rPr>
      </w:pPr>
    </w:p>
    <w:p>
      <w:pPr>
        <w:pStyle w:val="BodyText"/>
        <w:spacing w:line="448" w:lineRule="auto"/>
        <w:ind w:left="122" w:right="4414"/>
        <w:jc w:val="both"/>
      </w:pPr>
      <w:r>
        <w:rPr/>
        <w:pict>
          <v:group style="position:absolute;margin-left:84.613998pt;margin-top:162.720291pt;width:24.4pt;height:233.95pt;mso-position-horizontal-relative:page;mso-position-vertical-relative:paragraph;z-index:-335200" coordorigin="1692,3254" coordsize="488,4679">
            <v:shape style="position:absolute;left:1707;top:3264;width:456;height:2331" coordorigin="1707,3264" coordsize="456,2331" path="m1810,3264l1707,3264,1707,5595,1810,5595,1810,3264m2163,3264l2060,3264,2060,3264,1810,3264,1810,3946,1810,4428,1810,4913,2060,4913,2060,4913,1810,4913,1810,5595,2060,5595,2060,5595,2163,5595,2163,3264e" filled="true" fillcolor="#f1f1f1" stroked="false">
              <v:path arrowok="t"/>
              <v:fill type="solid"/>
            </v:shape>
            <v:line style="position:absolute" from="1697,3259" to="1707,3259" stroked="true" strokeweight=".48001pt" strokecolor="#000000">
              <v:stroke dashstyle="solid"/>
            </v:line>
            <v:line style="position:absolute" from="1697,3259" to="1707,3259" stroked="true" strokeweight=".48001pt" strokecolor="#000000">
              <v:stroke dashstyle="solid"/>
            </v:line>
            <v:line style="position:absolute" from="1707,3259" to="1716,3259" stroked="true" strokeweight=".48001pt" strokecolor="#000000">
              <v:stroke dashstyle="solid"/>
            </v:line>
            <v:line style="position:absolute" from="1716,3259" to="2165,3259" stroked="true" strokeweight=".48001pt" strokecolor="#000000">
              <v:stroke dashstyle="solid"/>
            </v:line>
            <v:line style="position:absolute" from="2165,3259" to="2175,3259" stroked="true" strokeweight=".48001pt" strokecolor="#000000">
              <v:stroke dashstyle="solid"/>
            </v:line>
            <v:line style="position:absolute" from="2165,3259" to="2175,3259" stroked="true" strokeweight=".48001pt" strokecolor="#000000">
              <v:stroke dashstyle="solid"/>
            </v:line>
            <v:line style="position:absolute" from="1702,3264" to="1702,5595" stroked="true" strokeweight=".48pt" strokecolor="#000000">
              <v:stroke dashstyle="solid"/>
            </v:line>
            <v:line style="position:absolute" from="2170,3264" to="2170,5595" stroked="true" strokeweight=".48pt" strokecolor="#000000">
              <v:stroke dashstyle="solid"/>
            </v:line>
            <v:shape style="position:absolute;left:1707;top:5595;width:456;height:2333" coordorigin="1707,5595" coordsize="456,2333" path="m1810,5595l1707,5595,1707,7928,1810,7928,1810,5595m2163,5595l2060,5595,2060,5595,1810,5595,1810,6279,1810,6762,1810,7244,1810,7928,2060,7928,2060,7928,2163,7928,2163,5595e" filled="true" fillcolor="#f1f1f1" stroked="false">
              <v:path arrowok="t"/>
              <v:fill type="solid"/>
            </v:shape>
            <v:line style="position:absolute" from="1702,5595" to="1702,7928" stroked="true" strokeweight=".48pt" strokecolor="#000000">
              <v:stroke dashstyle="solid"/>
            </v:line>
            <v:line style="position:absolute" from="2170,5595" to="2170,7928" stroked="true" strokeweight=".48pt" strokecolor="#000000">
              <v:stroke dashstyle="solid"/>
            </v:line>
            <w10:wrap type="none"/>
          </v:group>
        </w:pict>
      </w:r>
      <w:r>
        <w:rPr/>
        <w:t>через 1 неделю после хирургического лечения, через 2 недели после хирургического лечения, через 6 недель после хирургического лечения</w:t>
      </w:r>
    </w:p>
    <w:p>
      <w:pPr>
        <w:pStyle w:val="BodyText"/>
        <w:rPr>
          <w:sz w:val="20"/>
        </w:rPr>
      </w:pPr>
    </w:p>
    <w:p>
      <w:pPr>
        <w:pStyle w:val="BodyText"/>
        <w:rPr>
          <w:sz w:val="20"/>
        </w:rPr>
      </w:pPr>
    </w:p>
    <w:p>
      <w:pPr>
        <w:pStyle w:val="BodyText"/>
        <w:spacing w:before="9"/>
        <w:rPr>
          <w:sz w:val="21"/>
        </w:rPr>
      </w:pPr>
    </w:p>
    <w:tbl>
      <w:tblPr>
        <w:tblW w:w="0" w:type="auto"/>
        <w:jc w:val="left"/>
        <w:tblInd w:w="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7"/>
        <w:gridCol w:w="5490"/>
        <w:gridCol w:w="778"/>
        <w:gridCol w:w="797"/>
        <w:gridCol w:w="750"/>
        <w:gridCol w:w="845"/>
        <w:gridCol w:w="794"/>
      </w:tblGrid>
      <w:tr>
        <w:trPr>
          <w:trHeight w:val="808" w:hRule="exact"/>
        </w:trPr>
        <w:tc>
          <w:tcPr>
            <w:tcW w:w="467" w:type="dxa"/>
          </w:tcPr>
          <w:p>
            <w:pPr/>
          </w:p>
        </w:tc>
        <w:tc>
          <w:tcPr>
            <w:tcW w:w="5490" w:type="dxa"/>
          </w:tcPr>
          <w:p>
            <w:pPr>
              <w:pStyle w:val="TableParagraph"/>
              <w:spacing w:before="10"/>
              <w:rPr>
                <w:sz w:val="40"/>
              </w:rPr>
            </w:pPr>
          </w:p>
          <w:p>
            <w:pPr>
              <w:pStyle w:val="TableParagraph"/>
              <w:spacing w:before="1"/>
              <w:ind w:left="430"/>
              <w:rPr>
                <w:rFonts w:ascii="Calibri" w:hAnsi="Calibri"/>
                <w:b/>
                <w:i/>
                <w:sz w:val="28"/>
              </w:rPr>
            </w:pPr>
            <w:r>
              <w:rPr>
                <w:rFonts w:ascii="Calibri" w:hAnsi="Calibri"/>
                <w:b/>
                <w:i/>
                <w:color w:val="365F91"/>
                <w:sz w:val="28"/>
              </w:rPr>
              <w:t>ФИЗИЧЕСКОЕ СОСТОЯНИЕ</w:t>
            </w:r>
          </w:p>
        </w:tc>
        <w:tc>
          <w:tcPr>
            <w:tcW w:w="778" w:type="dxa"/>
          </w:tcPr>
          <w:p>
            <w:pPr>
              <w:pStyle w:val="TableParagraph"/>
              <w:spacing w:line="311" w:lineRule="exact"/>
              <w:ind w:right="106"/>
              <w:jc w:val="center"/>
              <w:rPr>
                <w:b/>
                <w:sz w:val="28"/>
              </w:rPr>
            </w:pPr>
            <w:r>
              <w:rPr>
                <w:b/>
                <w:sz w:val="28"/>
              </w:rPr>
              <w:t>совсе</w:t>
            </w:r>
          </w:p>
          <w:p>
            <w:pPr>
              <w:pStyle w:val="TableParagraph"/>
              <w:spacing w:before="160"/>
              <w:ind w:right="106"/>
              <w:jc w:val="center"/>
              <w:rPr>
                <w:b/>
                <w:sz w:val="28"/>
              </w:rPr>
            </w:pPr>
            <w:r>
              <w:rPr>
                <w:b/>
                <w:w w:val="100"/>
                <w:sz w:val="28"/>
              </w:rPr>
              <w:t>м</w:t>
            </w:r>
          </w:p>
        </w:tc>
        <w:tc>
          <w:tcPr>
            <w:tcW w:w="797" w:type="dxa"/>
          </w:tcPr>
          <w:p>
            <w:pPr>
              <w:pStyle w:val="TableParagraph"/>
              <w:spacing w:line="311" w:lineRule="exact"/>
              <w:ind w:left="109" w:firstLine="48"/>
              <w:rPr>
                <w:b/>
                <w:sz w:val="28"/>
              </w:rPr>
            </w:pPr>
            <w:r>
              <w:rPr>
                <w:b/>
                <w:sz w:val="28"/>
              </w:rPr>
              <w:t>нем</w:t>
            </w:r>
          </w:p>
          <w:p>
            <w:pPr>
              <w:pStyle w:val="TableParagraph"/>
              <w:spacing w:before="160"/>
              <w:ind w:left="109"/>
              <w:rPr>
                <w:b/>
                <w:sz w:val="28"/>
              </w:rPr>
            </w:pPr>
            <w:r>
              <w:rPr>
                <w:b/>
                <w:sz w:val="28"/>
              </w:rPr>
              <w:t>ного</w:t>
            </w:r>
          </w:p>
        </w:tc>
        <w:tc>
          <w:tcPr>
            <w:tcW w:w="750" w:type="dxa"/>
          </w:tcPr>
          <w:p>
            <w:pPr>
              <w:pStyle w:val="TableParagraph"/>
              <w:spacing w:line="311" w:lineRule="exact"/>
              <w:ind w:left="170" w:hanging="53"/>
              <w:rPr>
                <w:b/>
                <w:sz w:val="28"/>
              </w:rPr>
            </w:pPr>
            <w:r>
              <w:rPr>
                <w:b/>
                <w:sz w:val="28"/>
              </w:rPr>
              <w:t>уме-</w:t>
            </w:r>
          </w:p>
          <w:p>
            <w:pPr>
              <w:pStyle w:val="TableParagraph"/>
              <w:spacing w:before="160"/>
              <w:ind w:left="170"/>
              <w:rPr>
                <w:b/>
                <w:sz w:val="28"/>
              </w:rPr>
            </w:pPr>
            <w:r>
              <w:rPr>
                <w:b/>
                <w:sz w:val="28"/>
              </w:rPr>
              <w:t>рен</w:t>
            </w:r>
          </w:p>
        </w:tc>
        <w:tc>
          <w:tcPr>
            <w:tcW w:w="845" w:type="dxa"/>
          </w:tcPr>
          <w:p>
            <w:pPr>
              <w:pStyle w:val="TableParagraph"/>
              <w:spacing w:line="311" w:lineRule="exact"/>
              <w:ind w:left="64" w:right="148"/>
              <w:jc w:val="center"/>
              <w:rPr>
                <w:b/>
                <w:sz w:val="28"/>
              </w:rPr>
            </w:pPr>
            <w:r>
              <w:rPr>
                <w:b/>
                <w:sz w:val="28"/>
              </w:rPr>
              <w:t>силь</w:t>
            </w:r>
          </w:p>
          <w:p>
            <w:pPr>
              <w:pStyle w:val="TableParagraph"/>
              <w:spacing w:before="160"/>
              <w:ind w:left="64" w:right="45"/>
              <w:jc w:val="center"/>
              <w:rPr>
                <w:b/>
                <w:sz w:val="28"/>
              </w:rPr>
            </w:pPr>
            <w:r>
              <w:rPr>
                <w:b/>
                <w:sz w:val="28"/>
              </w:rPr>
              <w:t>но</w:t>
            </w:r>
          </w:p>
        </w:tc>
        <w:tc>
          <w:tcPr>
            <w:tcW w:w="794" w:type="dxa"/>
          </w:tcPr>
          <w:p>
            <w:pPr>
              <w:pStyle w:val="TableParagraph"/>
              <w:spacing w:line="311" w:lineRule="exact"/>
              <w:ind w:left="226" w:hanging="58"/>
              <w:rPr>
                <w:b/>
                <w:sz w:val="28"/>
              </w:rPr>
            </w:pPr>
            <w:r>
              <w:rPr>
                <w:b/>
                <w:sz w:val="28"/>
              </w:rPr>
              <w:t>оче</w:t>
            </w:r>
          </w:p>
          <w:p>
            <w:pPr>
              <w:pStyle w:val="TableParagraph"/>
              <w:spacing w:before="160"/>
              <w:ind w:left="226"/>
              <w:rPr>
                <w:b/>
                <w:sz w:val="28"/>
              </w:rPr>
            </w:pPr>
            <w:r>
              <w:rPr>
                <w:b/>
                <w:sz w:val="28"/>
              </w:rPr>
              <w:t>нь</w:t>
            </w:r>
          </w:p>
        </w:tc>
      </w:tr>
      <w:tr>
        <w:trPr>
          <w:trHeight w:val="2099" w:hRule="exact"/>
        </w:trPr>
        <w:tc>
          <w:tcPr>
            <w:tcW w:w="467" w:type="dxa"/>
            <w:shd w:val="clear" w:color="auto" w:fill="F1F1F1"/>
          </w:tcPr>
          <w:p>
            <w:pPr>
              <w:pStyle w:val="TableParagraph"/>
              <w:rPr>
                <w:sz w:val="30"/>
              </w:rPr>
            </w:pPr>
          </w:p>
          <w:p>
            <w:pPr>
              <w:pStyle w:val="TableParagraph"/>
              <w:spacing w:before="2"/>
              <w:rPr>
                <w:sz w:val="24"/>
              </w:rPr>
            </w:pPr>
          </w:p>
          <w:p>
            <w:pPr>
              <w:pStyle w:val="TableParagraph"/>
              <w:spacing w:line="360" w:lineRule="auto"/>
              <w:ind w:left="155" w:right="131" w:hanging="24"/>
              <w:jc w:val="both"/>
              <w:rPr>
                <w:sz w:val="28"/>
              </w:rPr>
            </w:pPr>
            <w:r>
              <w:rPr>
                <w:sz w:val="28"/>
              </w:rPr>
              <w:t>G P 1</w:t>
            </w:r>
          </w:p>
        </w:tc>
        <w:tc>
          <w:tcPr>
            <w:tcW w:w="5490" w:type="dxa"/>
          </w:tcPr>
          <w:p>
            <w:pPr>
              <w:pStyle w:val="TableParagraph"/>
              <w:rPr>
                <w:sz w:val="30"/>
              </w:rPr>
            </w:pPr>
          </w:p>
          <w:p>
            <w:pPr>
              <w:pStyle w:val="TableParagraph"/>
              <w:spacing w:before="2"/>
              <w:rPr>
                <w:sz w:val="24"/>
              </w:rPr>
            </w:pPr>
          </w:p>
          <w:p>
            <w:pPr>
              <w:pStyle w:val="TableParagraph"/>
              <w:ind w:left="339"/>
              <w:rPr>
                <w:sz w:val="28"/>
              </w:rPr>
            </w:pPr>
            <w:r>
              <w:rPr>
                <w:sz w:val="28"/>
              </w:rPr>
              <w:t>Я испытываю недостаток энергии</w:t>
            </w:r>
            <w:r>
              <w:rPr>
                <w:spacing w:val="-46"/>
                <w:sz w:val="28"/>
              </w:rPr>
              <w:t> </w:t>
            </w:r>
            <w:r>
              <w:rPr>
                <w:sz w:val="28"/>
              </w:rPr>
              <w:t>...............</w:t>
            </w:r>
          </w:p>
        </w:tc>
        <w:tc>
          <w:tcPr>
            <w:tcW w:w="778" w:type="dxa"/>
          </w:tcPr>
          <w:p>
            <w:pPr>
              <w:pStyle w:val="TableParagraph"/>
              <w:rPr>
                <w:sz w:val="30"/>
              </w:rPr>
            </w:pPr>
          </w:p>
          <w:p>
            <w:pPr>
              <w:pStyle w:val="TableParagraph"/>
              <w:spacing w:before="6"/>
              <w:rPr>
                <w:sz w:val="36"/>
              </w:rPr>
            </w:pPr>
          </w:p>
          <w:p>
            <w:pPr>
              <w:pStyle w:val="TableParagraph"/>
              <w:ind w:right="13"/>
              <w:jc w:val="center"/>
              <w:rPr>
                <w:sz w:val="28"/>
              </w:rPr>
            </w:pPr>
            <w:r>
              <w:rPr>
                <w:w w:val="100"/>
                <w:sz w:val="28"/>
              </w:rPr>
              <w:t>0</w:t>
            </w:r>
          </w:p>
        </w:tc>
        <w:tc>
          <w:tcPr>
            <w:tcW w:w="797" w:type="dxa"/>
          </w:tcPr>
          <w:p>
            <w:pPr>
              <w:pStyle w:val="TableParagraph"/>
              <w:rPr>
                <w:sz w:val="30"/>
              </w:rPr>
            </w:pPr>
          </w:p>
          <w:p>
            <w:pPr>
              <w:pStyle w:val="TableParagraph"/>
              <w:spacing w:before="6"/>
              <w:rPr>
                <w:sz w:val="36"/>
              </w:rPr>
            </w:pPr>
          </w:p>
          <w:p>
            <w:pPr>
              <w:pStyle w:val="TableParagraph"/>
              <w:ind w:right="328"/>
              <w:jc w:val="right"/>
              <w:rPr>
                <w:sz w:val="28"/>
              </w:rPr>
            </w:pPr>
            <w:r>
              <w:rPr>
                <w:w w:val="100"/>
                <w:sz w:val="28"/>
              </w:rPr>
              <w:t>1</w:t>
            </w:r>
          </w:p>
        </w:tc>
        <w:tc>
          <w:tcPr>
            <w:tcW w:w="750" w:type="dxa"/>
          </w:tcPr>
          <w:p>
            <w:pPr>
              <w:pStyle w:val="TableParagraph"/>
              <w:rPr>
                <w:sz w:val="30"/>
              </w:rPr>
            </w:pPr>
          </w:p>
          <w:p>
            <w:pPr>
              <w:pStyle w:val="TableParagraph"/>
              <w:spacing w:before="6"/>
              <w:rPr>
                <w:sz w:val="36"/>
              </w:rPr>
            </w:pPr>
          </w:p>
          <w:p>
            <w:pPr>
              <w:pStyle w:val="TableParagraph"/>
              <w:ind w:left="33"/>
              <w:jc w:val="center"/>
              <w:rPr>
                <w:sz w:val="28"/>
              </w:rPr>
            </w:pPr>
            <w:r>
              <w:rPr>
                <w:w w:val="100"/>
                <w:sz w:val="28"/>
              </w:rPr>
              <w:t>2</w:t>
            </w:r>
          </w:p>
        </w:tc>
        <w:tc>
          <w:tcPr>
            <w:tcW w:w="845" w:type="dxa"/>
          </w:tcPr>
          <w:p>
            <w:pPr>
              <w:pStyle w:val="TableParagraph"/>
              <w:rPr>
                <w:sz w:val="30"/>
              </w:rPr>
            </w:pPr>
          </w:p>
          <w:p>
            <w:pPr>
              <w:pStyle w:val="TableParagraph"/>
              <w:spacing w:before="6"/>
              <w:rPr>
                <w:sz w:val="36"/>
              </w:rPr>
            </w:pPr>
          </w:p>
          <w:p>
            <w:pPr>
              <w:pStyle w:val="TableParagraph"/>
              <w:ind w:left="23"/>
              <w:jc w:val="center"/>
              <w:rPr>
                <w:sz w:val="28"/>
              </w:rPr>
            </w:pPr>
            <w:r>
              <w:rPr>
                <w:w w:val="100"/>
                <w:sz w:val="28"/>
              </w:rPr>
              <w:t>3</w:t>
            </w:r>
          </w:p>
        </w:tc>
        <w:tc>
          <w:tcPr>
            <w:tcW w:w="794" w:type="dxa"/>
          </w:tcPr>
          <w:p>
            <w:pPr>
              <w:pStyle w:val="TableParagraph"/>
              <w:rPr>
                <w:sz w:val="30"/>
              </w:rPr>
            </w:pPr>
          </w:p>
          <w:p>
            <w:pPr>
              <w:pStyle w:val="TableParagraph"/>
              <w:spacing w:before="6"/>
              <w:rPr>
                <w:sz w:val="36"/>
              </w:rPr>
            </w:pPr>
          </w:p>
          <w:p>
            <w:pPr>
              <w:pStyle w:val="TableParagraph"/>
              <w:ind w:right="29"/>
              <w:jc w:val="center"/>
              <w:rPr>
                <w:sz w:val="28"/>
              </w:rPr>
            </w:pPr>
            <w:r>
              <w:rPr>
                <w:w w:val="100"/>
                <w:sz w:val="28"/>
              </w:rPr>
              <w:t>4</w:t>
            </w:r>
          </w:p>
        </w:tc>
      </w:tr>
      <w:tr>
        <w:trPr>
          <w:trHeight w:val="683" w:hRule="exact"/>
        </w:trPr>
        <w:tc>
          <w:tcPr>
            <w:tcW w:w="467" w:type="dxa"/>
            <w:shd w:val="clear" w:color="auto" w:fill="F1F1F1"/>
          </w:tcPr>
          <w:p>
            <w:pPr/>
          </w:p>
        </w:tc>
        <w:tc>
          <w:tcPr>
            <w:tcW w:w="5490" w:type="dxa"/>
          </w:tcPr>
          <w:p>
            <w:pPr>
              <w:pStyle w:val="TableParagraph"/>
              <w:spacing w:before="174"/>
              <w:ind w:left="339"/>
              <w:rPr>
                <w:sz w:val="28"/>
              </w:rPr>
            </w:pPr>
            <w:r>
              <w:rPr>
                <w:sz w:val="28"/>
              </w:rPr>
              <w:t>Я</w:t>
            </w:r>
            <w:r>
              <w:rPr>
                <w:spacing w:val="-13"/>
                <w:sz w:val="28"/>
              </w:rPr>
              <w:t> </w:t>
            </w:r>
            <w:r>
              <w:rPr>
                <w:sz w:val="28"/>
              </w:rPr>
              <w:t>испытываю</w:t>
            </w:r>
            <w:r>
              <w:rPr>
                <w:spacing w:val="-14"/>
                <w:sz w:val="28"/>
              </w:rPr>
              <w:t> </w:t>
            </w:r>
            <w:r>
              <w:rPr>
                <w:sz w:val="28"/>
              </w:rPr>
              <w:t>тошноту</w:t>
            </w:r>
            <w:r>
              <w:rPr>
                <w:spacing w:val="-41"/>
                <w:sz w:val="28"/>
              </w:rPr>
              <w:t> </w:t>
            </w:r>
            <w:r>
              <w:rPr>
                <w:sz w:val="28"/>
              </w:rPr>
              <w:t>..................................</w:t>
            </w:r>
          </w:p>
        </w:tc>
        <w:tc>
          <w:tcPr>
            <w:tcW w:w="778" w:type="dxa"/>
          </w:tcPr>
          <w:p>
            <w:pPr/>
          </w:p>
        </w:tc>
        <w:tc>
          <w:tcPr>
            <w:tcW w:w="797" w:type="dxa"/>
          </w:tcPr>
          <w:p>
            <w:pPr/>
          </w:p>
        </w:tc>
        <w:tc>
          <w:tcPr>
            <w:tcW w:w="750" w:type="dxa"/>
          </w:tcPr>
          <w:p>
            <w:pPr/>
          </w:p>
        </w:tc>
        <w:tc>
          <w:tcPr>
            <w:tcW w:w="845" w:type="dxa"/>
          </w:tcPr>
          <w:p>
            <w:pPr/>
          </w:p>
        </w:tc>
        <w:tc>
          <w:tcPr>
            <w:tcW w:w="794" w:type="dxa"/>
          </w:tcPr>
          <w:p>
            <w:pPr/>
          </w:p>
        </w:tc>
      </w:tr>
      <w:tr>
        <w:trPr>
          <w:trHeight w:val="1831" w:hRule="exact"/>
        </w:trPr>
        <w:tc>
          <w:tcPr>
            <w:tcW w:w="467" w:type="dxa"/>
            <w:shd w:val="clear" w:color="auto" w:fill="F1F1F1"/>
          </w:tcPr>
          <w:p>
            <w:pPr>
              <w:pStyle w:val="TableParagraph"/>
              <w:spacing w:line="360" w:lineRule="auto" w:before="175"/>
              <w:ind w:left="155" w:right="131" w:hanging="24"/>
              <w:jc w:val="both"/>
              <w:rPr>
                <w:sz w:val="28"/>
              </w:rPr>
            </w:pPr>
            <w:r>
              <w:rPr>
                <w:sz w:val="28"/>
              </w:rPr>
              <w:t>G P 2</w:t>
            </w:r>
          </w:p>
        </w:tc>
        <w:tc>
          <w:tcPr>
            <w:tcW w:w="5490" w:type="dxa"/>
          </w:tcPr>
          <w:p>
            <w:pPr/>
          </w:p>
        </w:tc>
        <w:tc>
          <w:tcPr>
            <w:tcW w:w="778" w:type="dxa"/>
          </w:tcPr>
          <w:p>
            <w:pPr>
              <w:pStyle w:val="TableParagraph"/>
              <w:spacing w:before="6"/>
              <w:rPr>
                <w:sz w:val="27"/>
              </w:rPr>
            </w:pPr>
          </w:p>
          <w:p>
            <w:pPr>
              <w:pStyle w:val="TableParagraph"/>
              <w:ind w:right="13"/>
              <w:jc w:val="center"/>
              <w:rPr>
                <w:sz w:val="28"/>
              </w:rPr>
            </w:pPr>
            <w:r>
              <w:rPr>
                <w:w w:val="100"/>
                <w:sz w:val="28"/>
              </w:rPr>
              <w:t>0</w:t>
            </w:r>
          </w:p>
        </w:tc>
        <w:tc>
          <w:tcPr>
            <w:tcW w:w="797" w:type="dxa"/>
          </w:tcPr>
          <w:p>
            <w:pPr>
              <w:pStyle w:val="TableParagraph"/>
              <w:spacing w:before="6"/>
              <w:rPr>
                <w:sz w:val="27"/>
              </w:rPr>
            </w:pPr>
          </w:p>
          <w:p>
            <w:pPr>
              <w:pStyle w:val="TableParagraph"/>
              <w:ind w:right="328"/>
              <w:jc w:val="right"/>
              <w:rPr>
                <w:sz w:val="28"/>
              </w:rPr>
            </w:pPr>
            <w:r>
              <w:rPr>
                <w:w w:val="100"/>
                <w:sz w:val="28"/>
              </w:rPr>
              <w:t>1</w:t>
            </w:r>
          </w:p>
        </w:tc>
        <w:tc>
          <w:tcPr>
            <w:tcW w:w="750" w:type="dxa"/>
          </w:tcPr>
          <w:p>
            <w:pPr>
              <w:pStyle w:val="TableParagraph"/>
              <w:spacing w:before="6"/>
              <w:rPr>
                <w:sz w:val="27"/>
              </w:rPr>
            </w:pPr>
          </w:p>
          <w:p>
            <w:pPr>
              <w:pStyle w:val="TableParagraph"/>
              <w:ind w:left="33"/>
              <w:jc w:val="center"/>
              <w:rPr>
                <w:sz w:val="28"/>
              </w:rPr>
            </w:pPr>
            <w:r>
              <w:rPr>
                <w:w w:val="100"/>
                <w:sz w:val="28"/>
              </w:rPr>
              <w:t>2</w:t>
            </w:r>
          </w:p>
        </w:tc>
        <w:tc>
          <w:tcPr>
            <w:tcW w:w="845" w:type="dxa"/>
          </w:tcPr>
          <w:p>
            <w:pPr>
              <w:pStyle w:val="TableParagraph"/>
              <w:spacing w:before="6"/>
              <w:rPr>
                <w:sz w:val="27"/>
              </w:rPr>
            </w:pPr>
          </w:p>
          <w:p>
            <w:pPr>
              <w:pStyle w:val="TableParagraph"/>
              <w:ind w:left="23"/>
              <w:jc w:val="center"/>
              <w:rPr>
                <w:sz w:val="28"/>
              </w:rPr>
            </w:pPr>
            <w:r>
              <w:rPr>
                <w:w w:val="100"/>
                <w:sz w:val="28"/>
              </w:rPr>
              <w:t>3</w:t>
            </w:r>
          </w:p>
        </w:tc>
        <w:tc>
          <w:tcPr>
            <w:tcW w:w="794" w:type="dxa"/>
          </w:tcPr>
          <w:p>
            <w:pPr>
              <w:pStyle w:val="TableParagraph"/>
              <w:spacing w:before="6"/>
              <w:rPr>
                <w:sz w:val="27"/>
              </w:rPr>
            </w:pPr>
          </w:p>
          <w:p>
            <w:pPr>
              <w:pStyle w:val="TableParagraph"/>
              <w:ind w:right="29"/>
              <w:jc w:val="center"/>
              <w:rPr>
                <w:sz w:val="28"/>
              </w:rPr>
            </w:pPr>
            <w:r>
              <w:rPr>
                <w:w w:val="100"/>
                <w:sz w:val="28"/>
              </w:rPr>
              <w:t>4</w:t>
            </w:r>
          </w:p>
        </w:tc>
      </w:tr>
    </w:tbl>
    <w:p>
      <w:pPr>
        <w:spacing w:after="0"/>
        <w:jc w:val="center"/>
        <w:rPr>
          <w:sz w:val="28"/>
        </w:rPr>
        <w:sectPr>
          <w:headerReference w:type="default" r:id="rId182"/>
          <w:pgSz w:w="11900" w:h="16850"/>
          <w:pgMar w:header="712" w:footer="0" w:top="1020" w:bottom="280" w:left="1580" w:right="160"/>
          <w:pgNumType w:start="280"/>
        </w:sect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7"/>
        <w:gridCol w:w="5644"/>
        <w:gridCol w:w="622"/>
        <w:gridCol w:w="792"/>
        <w:gridCol w:w="792"/>
        <w:gridCol w:w="792"/>
        <w:gridCol w:w="666"/>
      </w:tblGrid>
      <w:tr>
        <w:trPr>
          <w:trHeight w:val="2251" w:hRule="exact"/>
        </w:trPr>
        <w:tc>
          <w:tcPr>
            <w:tcW w:w="467" w:type="dxa"/>
            <w:tcBorders>
              <w:left w:val="single" w:sz="4" w:space="0" w:color="000000"/>
              <w:right w:val="single" w:sz="4" w:space="0" w:color="000000"/>
            </w:tcBorders>
            <w:shd w:val="clear" w:color="auto" w:fill="F1F1F1"/>
          </w:tcPr>
          <w:p>
            <w:pPr>
              <w:pStyle w:val="TableParagraph"/>
              <w:rPr>
                <w:sz w:val="30"/>
              </w:rPr>
            </w:pPr>
          </w:p>
          <w:p>
            <w:pPr>
              <w:pStyle w:val="TableParagraph"/>
              <w:spacing w:before="8"/>
              <w:rPr>
                <w:sz w:val="28"/>
              </w:rPr>
            </w:pPr>
          </w:p>
          <w:p>
            <w:pPr>
              <w:pStyle w:val="TableParagraph"/>
              <w:spacing w:line="360" w:lineRule="auto"/>
              <w:ind w:left="151" w:right="125" w:hanging="24"/>
              <w:jc w:val="both"/>
              <w:rPr>
                <w:sz w:val="28"/>
              </w:rPr>
            </w:pPr>
            <w:r>
              <w:rPr>
                <w:sz w:val="28"/>
              </w:rPr>
              <w:t>G P 3</w:t>
            </w:r>
          </w:p>
        </w:tc>
        <w:tc>
          <w:tcPr>
            <w:tcW w:w="5644" w:type="dxa"/>
            <w:tcBorders>
              <w:left w:val="single" w:sz="4" w:space="0" w:color="000000"/>
            </w:tcBorders>
          </w:tcPr>
          <w:p>
            <w:pPr>
              <w:pStyle w:val="TableParagraph"/>
              <w:rPr>
                <w:sz w:val="30"/>
              </w:rPr>
            </w:pPr>
          </w:p>
          <w:p>
            <w:pPr>
              <w:pStyle w:val="TableParagraph"/>
              <w:spacing w:before="8"/>
              <w:rPr>
                <w:sz w:val="28"/>
              </w:rPr>
            </w:pPr>
          </w:p>
          <w:p>
            <w:pPr>
              <w:pStyle w:val="TableParagraph"/>
              <w:spacing w:line="360" w:lineRule="auto"/>
              <w:ind w:left="334" w:right="83"/>
              <w:rPr>
                <w:sz w:val="28"/>
              </w:rPr>
            </w:pPr>
            <w:r>
              <w:rPr>
                <w:sz w:val="28"/>
              </w:rPr>
              <w:t>Моё физическое состояние затрудняет выполнение семейных дел ............................</w:t>
            </w:r>
          </w:p>
        </w:tc>
        <w:tc>
          <w:tcPr>
            <w:tcW w:w="622" w:type="dxa"/>
          </w:tcPr>
          <w:p>
            <w:pPr>
              <w:pStyle w:val="TableParagraph"/>
              <w:rPr>
                <w:sz w:val="30"/>
              </w:rPr>
            </w:pPr>
          </w:p>
          <w:p>
            <w:pPr>
              <w:pStyle w:val="TableParagraph"/>
              <w:rPr>
                <w:sz w:val="30"/>
              </w:rPr>
            </w:pPr>
          </w:p>
          <w:p>
            <w:pPr>
              <w:pStyle w:val="TableParagraph"/>
              <w:spacing w:before="227"/>
              <w:ind w:left="156"/>
              <w:rPr>
                <w:sz w:val="28"/>
              </w:rPr>
            </w:pPr>
            <w:r>
              <w:rPr>
                <w:w w:val="100"/>
                <w:sz w:val="28"/>
              </w:rPr>
              <w:t>0</w:t>
            </w:r>
          </w:p>
        </w:tc>
        <w:tc>
          <w:tcPr>
            <w:tcW w:w="792" w:type="dxa"/>
          </w:tcPr>
          <w:p>
            <w:pPr>
              <w:pStyle w:val="TableParagraph"/>
              <w:rPr>
                <w:sz w:val="30"/>
              </w:rPr>
            </w:pPr>
          </w:p>
          <w:p>
            <w:pPr>
              <w:pStyle w:val="TableParagraph"/>
              <w:rPr>
                <w:sz w:val="30"/>
              </w:rPr>
            </w:pPr>
          </w:p>
          <w:p>
            <w:pPr>
              <w:pStyle w:val="TableParagraph"/>
              <w:spacing w:before="227"/>
              <w:ind w:right="324"/>
              <w:jc w:val="right"/>
              <w:rPr>
                <w:sz w:val="28"/>
              </w:rPr>
            </w:pPr>
            <w:r>
              <w:rPr>
                <w:w w:val="100"/>
                <w:sz w:val="28"/>
              </w:rPr>
              <w:t>1</w:t>
            </w:r>
          </w:p>
        </w:tc>
        <w:tc>
          <w:tcPr>
            <w:tcW w:w="792" w:type="dxa"/>
          </w:tcPr>
          <w:p>
            <w:pPr>
              <w:pStyle w:val="TableParagraph"/>
              <w:rPr>
                <w:sz w:val="30"/>
              </w:rPr>
            </w:pPr>
          </w:p>
          <w:p>
            <w:pPr>
              <w:pStyle w:val="TableParagraph"/>
              <w:rPr>
                <w:sz w:val="30"/>
              </w:rPr>
            </w:pPr>
          </w:p>
          <w:p>
            <w:pPr>
              <w:pStyle w:val="TableParagraph"/>
              <w:spacing w:before="227"/>
              <w:jc w:val="center"/>
              <w:rPr>
                <w:sz w:val="28"/>
              </w:rPr>
            </w:pPr>
            <w:r>
              <w:rPr>
                <w:w w:val="100"/>
                <w:sz w:val="28"/>
              </w:rPr>
              <w:t>2</w:t>
            </w:r>
          </w:p>
        </w:tc>
        <w:tc>
          <w:tcPr>
            <w:tcW w:w="792" w:type="dxa"/>
          </w:tcPr>
          <w:p>
            <w:pPr>
              <w:pStyle w:val="TableParagraph"/>
              <w:rPr>
                <w:sz w:val="30"/>
              </w:rPr>
            </w:pPr>
          </w:p>
          <w:p>
            <w:pPr>
              <w:pStyle w:val="TableParagraph"/>
              <w:rPr>
                <w:sz w:val="30"/>
              </w:rPr>
            </w:pPr>
          </w:p>
          <w:p>
            <w:pPr>
              <w:pStyle w:val="TableParagraph"/>
              <w:spacing w:before="227"/>
              <w:jc w:val="center"/>
              <w:rPr>
                <w:sz w:val="28"/>
              </w:rPr>
            </w:pPr>
            <w:r>
              <w:rPr>
                <w:w w:val="100"/>
                <w:sz w:val="28"/>
              </w:rPr>
              <w:t>3</w:t>
            </w:r>
          </w:p>
        </w:tc>
        <w:tc>
          <w:tcPr>
            <w:tcW w:w="666" w:type="dxa"/>
          </w:tcPr>
          <w:p>
            <w:pPr>
              <w:pStyle w:val="TableParagraph"/>
              <w:rPr>
                <w:sz w:val="30"/>
              </w:rPr>
            </w:pPr>
          </w:p>
          <w:p>
            <w:pPr>
              <w:pStyle w:val="TableParagraph"/>
              <w:rPr>
                <w:sz w:val="30"/>
              </w:rPr>
            </w:pPr>
          </w:p>
          <w:p>
            <w:pPr>
              <w:pStyle w:val="TableParagraph"/>
              <w:spacing w:before="227"/>
              <w:ind w:right="198"/>
              <w:jc w:val="right"/>
              <w:rPr>
                <w:sz w:val="28"/>
              </w:rPr>
            </w:pPr>
            <w:r>
              <w:rPr>
                <w:w w:val="100"/>
                <w:sz w:val="28"/>
              </w:rPr>
              <w:t>4</w:t>
            </w:r>
          </w:p>
        </w:tc>
      </w:tr>
      <w:tr>
        <w:trPr>
          <w:trHeight w:val="782" w:hRule="exact"/>
        </w:trPr>
        <w:tc>
          <w:tcPr>
            <w:tcW w:w="467" w:type="dxa"/>
            <w:tcBorders>
              <w:left w:val="single" w:sz="4" w:space="0" w:color="000000"/>
              <w:right w:val="single" w:sz="4" w:space="0" w:color="000000"/>
            </w:tcBorders>
            <w:shd w:val="clear" w:color="auto" w:fill="F1F1F1"/>
          </w:tcPr>
          <w:p>
            <w:pPr/>
          </w:p>
        </w:tc>
        <w:tc>
          <w:tcPr>
            <w:tcW w:w="5644" w:type="dxa"/>
            <w:tcBorders>
              <w:left w:val="single" w:sz="4" w:space="0" w:color="000000"/>
            </w:tcBorders>
          </w:tcPr>
          <w:p>
            <w:pPr>
              <w:pStyle w:val="TableParagraph"/>
              <w:spacing w:before="10"/>
              <w:rPr>
                <w:sz w:val="23"/>
              </w:rPr>
            </w:pPr>
          </w:p>
          <w:p>
            <w:pPr>
              <w:pStyle w:val="TableParagraph"/>
              <w:ind w:right="153"/>
              <w:jc w:val="right"/>
              <w:rPr>
                <w:sz w:val="28"/>
              </w:rPr>
            </w:pPr>
            <w:r>
              <w:rPr>
                <w:sz w:val="28"/>
              </w:rPr>
              <w:t>У меня бывают боли......................................</w:t>
            </w:r>
          </w:p>
        </w:tc>
        <w:tc>
          <w:tcPr>
            <w:tcW w:w="622" w:type="dxa"/>
          </w:tcPr>
          <w:p>
            <w:pPr/>
          </w:p>
        </w:tc>
        <w:tc>
          <w:tcPr>
            <w:tcW w:w="792" w:type="dxa"/>
          </w:tcPr>
          <w:p>
            <w:pPr/>
          </w:p>
        </w:tc>
        <w:tc>
          <w:tcPr>
            <w:tcW w:w="792" w:type="dxa"/>
          </w:tcPr>
          <w:p>
            <w:pPr/>
          </w:p>
        </w:tc>
        <w:tc>
          <w:tcPr>
            <w:tcW w:w="792" w:type="dxa"/>
          </w:tcPr>
          <w:p>
            <w:pPr/>
          </w:p>
        </w:tc>
        <w:tc>
          <w:tcPr>
            <w:tcW w:w="666" w:type="dxa"/>
          </w:tcPr>
          <w:p>
            <w:pPr/>
          </w:p>
        </w:tc>
      </w:tr>
      <w:tr>
        <w:trPr>
          <w:trHeight w:val="1649" w:hRule="exact"/>
        </w:trPr>
        <w:tc>
          <w:tcPr>
            <w:tcW w:w="467" w:type="dxa"/>
            <w:tcBorders>
              <w:left w:val="single" w:sz="4" w:space="0" w:color="000000"/>
              <w:right w:val="single" w:sz="4" w:space="0" w:color="000000"/>
            </w:tcBorders>
            <w:shd w:val="clear" w:color="auto" w:fill="F1F1F1"/>
          </w:tcPr>
          <w:p>
            <w:pPr>
              <w:pStyle w:val="TableParagraph"/>
              <w:spacing w:line="360" w:lineRule="auto" w:before="174"/>
              <w:ind w:left="151" w:right="125" w:hanging="24"/>
              <w:jc w:val="both"/>
              <w:rPr>
                <w:sz w:val="28"/>
              </w:rPr>
            </w:pPr>
            <w:r>
              <w:rPr>
                <w:sz w:val="28"/>
              </w:rPr>
              <w:t>G P 4</w:t>
            </w:r>
          </w:p>
        </w:tc>
        <w:tc>
          <w:tcPr>
            <w:tcW w:w="5644" w:type="dxa"/>
            <w:tcBorders>
              <w:left w:val="single" w:sz="4" w:space="0" w:color="000000"/>
            </w:tcBorders>
          </w:tcPr>
          <w:p>
            <w:pPr/>
          </w:p>
        </w:tc>
        <w:tc>
          <w:tcPr>
            <w:tcW w:w="622" w:type="dxa"/>
          </w:tcPr>
          <w:p>
            <w:pPr>
              <w:pStyle w:val="TableParagraph"/>
              <w:spacing w:before="5"/>
              <w:rPr>
                <w:sz w:val="27"/>
              </w:rPr>
            </w:pPr>
          </w:p>
          <w:p>
            <w:pPr>
              <w:pStyle w:val="TableParagraph"/>
              <w:ind w:left="156"/>
              <w:rPr>
                <w:sz w:val="28"/>
              </w:rPr>
            </w:pPr>
            <w:r>
              <w:rPr>
                <w:w w:val="100"/>
                <w:sz w:val="28"/>
              </w:rPr>
              <w:t>0</w:t>
            </w:r>
          </w:p>
        </w:tc>
        <w:tc>
          <w:tcPr>
            <w:tcW w:w="792" w:type="dxa"/>
          </w:tcPr>
          <w:p>
            <w:pPr>
              <w:pStyle w:val="TableParagraph"/>
              <w:spacing w:before="5"/>
              <w:rPr>
                <w:sz w:val="27"/>
              </w:rPr>
            </w:pPr>
          </w:p>
          <w:p>
            <w:pPr>
              <w:pStyle w:val="TableParagraph"/>
              <w:ind w:right="324"/>
              <w:jc w:val="right"/>
              <w:rPr>
                <w:sz w:val="28"/>
              </w:rPr>
            </w:pPr>
            <w:r>
              <w:rPr>
                <w:w w:val="100"/>
                <w:sz w:val="28"/>
              </w:rPr>
              <w:t>1</w:t>
            </w:r>
          </w:p>
        </w:tc>
        <w:tc>
          <w:tcPr>
            <w:tcW w:w="792" w:type="dxa"/>
          </w:tcPr>
          <w:p>
            <w:pPr>
              <w:pStyle w:val="TableParagraph"/>
              <w:spacing w:before="5"/>
              <w:rPr>
                <w:sz w:val="27"/>
              </w:rPr>
            </w:pPr>
          </w:p>
          <w:p>
            <w:pPr>
              <w:pStyle w:val="TableParagraph"/>
              <w:jc w:val="center"/>
              <w:rPr>
                <w:sz w:val="28"/>
              </w:rPr>
            </w:pPr>
            <w:r>
              <w:rPr>
                <w:w w:val="100"/>
                <w:sz w:val="28"/>
              </w:rPr>
              <w:t>2</w:t>
            </w:r>
          </w:p>
        </w:tc>
        <w:tc>
          <w:tcPr>
            <w:tcW w:w="792" w:type="dxa"/>
          </w:tcPr>
          <w:p>
            <w:pPr>
              <w:pStyle w:val="TableParagraph"/>
              <w:spacing w:before="5"/>
              <w:rPr>
                <w:sz w:val="27"/>
              </w:rPr>
            </w:pPr>
          </w:p>
          <w:p>
            <w:pPr>
              <w:pStyle w:val="TableParagraph"/>
              <w:jc w:val="center"/>
              <w:rPr>
                <w:sz w:val="28"/>
              </w:rPr>
            </w:pPr>
            <w:r>
              <w:rPr>
                <w:w w:val="100"/>
                <w:sz w:val="28"/>
              </w:rPr>
              <w:t>3</w:t>
            </w:r>
          </w:p>
        </w:tc>
        <w:tc>
          <w:tcPr>
            <w:tcW w:w="666" w:type="dxa"/>
          </w:tcPr>
          <w:p>
            <w:pPr>
              <w:pStyle w:val="TableParagraph"/>
              <w:spacing w:before="5"/>
              <w:rPr>
                <w:sz w:val="27"/>
              </w:rPr>
            </w:pPr>
          </w:p>
          <w:p>
            <w:pPr>
              <w:pStyle w:val="TableParagraph"/>
              <w:ind w:right="198"/>
              <w:jc w:val="right"/>
              <w:rPr>
                <w:sz w:val="28"/>
              </w:rPr>
            </w:pPr>
            <w:r>
              <w:rPr>
                <w:w w:val="100"/>
                <w:sz w:val="28"/>
              </w:rPr>
              <w:t>4</w:t>
            </w:r>
          </w:p>
        </w:tc>
      </w:tr>
      <w:tr>
        <w:trPr>
          <w:trHeight w:val="995" w:hRule="exact"/>
        </w:trPr>
        <w:tc>
          <w:tcPr>
            <w:tcW w:w="467" w:type="dxa"/>
            <w:vMerge w:val="restart"/>
            <w:tcBorders>
              <w:left w:val="single" w:sz="4" w:space="0" w:color="000000"/>
              <w:right w:val="single" w:sz="4" w:space="0" w:color="000000"/>
            </w:tcBorders>
            <w:shd w:val="clear" w:color="auto" w:fill="F1F1F1"/>
          </w:tcPr>
          <w:p>
            <w:pPr>
              <w:pStyle w:val="TableParagraph"/>
              <w:rPr>
                <w:sz w:val="30"/>
              </w:rPr>
            </w:pPr>
          </w:p>
          <w:p>
            <w:pPr>
              <w:pStyle w:val="TableParagraph"/>
              <w:spacing w:before="7"/>
              <w:rPr>
                <w:sz w:val="44"/>
              </w:rPr>
            </w:pPr>
          </w:p>
          <w:p>
            <w:pPr>
              <w:pStyle w:val="TableParagraph"/>
              <w:spacing w:line="360" w:lineRule="auto"/>
              <w:ind w:left="151" w:right="125" w:hanging="24"/>
              <w:jc w:val="both"/>
              <w:rPr>
                <w:sz w:val="28"/>
              </w:rPr>
            </w:pPr>
            <w:r>
              <w:rPr>
                <w:sz w:val="28"/>
              </w:rPr>
              <w:t>G P 5</w:t>
            </w:r>
          </w:p>
        </w:tc>
        <w:tc>
          <w:tcPr>
            <w:tcW w:w="5644" w:type="dxa"/>
            <w:tcBorders>
              <w:left w:val="single" w:sz="4" w:space="0" w:color="000000"/>
            </w:tcBorders>
          </w:tcPr>
          <w:p>
            <w:pPr>
              <w:pStyle w:val="TableParagraph"/>
              <w:spacing w:line="480" w:lineRule="atLeast" w:before="16"/>
              <w:ind w:left="334" w:right="83"/>
              <w:rPr>
                <w:sz w:val="28"/>
              </w:rPr>
            </w:pPr>
            <w:r>
              <w:rPr>
                <w:sz w:val="28"/>
              </w:rPr>
              <w:t>Меня беспокоят побочные эффекты лечения............................................................</w:t>
            </w:r>
          </w:p>
        </w:tc>
        <w:tc>
          <w:tcPr>
            <w:tcW w:w="622" w:type="dxa"/>
          </w:tcPr>
          <w:p>
            <w:pPr/>
          </w:p>
        </w:tc>
        <w:tc>
          <w:tcPr>
            <w:tcW w:w="792" w:type="dxa"/>
          </w:tcPr>
          <w:p>
            <w:pPr/>
          </w:p>
        </w:tc>
        <w:tc>
          <w:tcPr>
            <w:tcW w:w="792" w:type="dxa"/>
          </w:tcPr>
          <w:p>
            <w:pPr/>
          </w:p>
        </w:tc>
        <w:tc>
          <w:tcPr>
            <w:tcW w:w="792" w:type="dxa"/>
          </w:tcPr>
          <w:p>
            <w:pPr/>
          </w:p>
        </w:tc>
        <w:tc>
          <w:tcPr>
            <w:tcW w:w="666" w:type="dxa"/>
          </w:tcPr>
          <w:p>
            <w:pPr/>
          </w:p>
        </w:tc>
      </w:tr>
      <w:tr>
        <w:trPr>
          <w:trHeight w:val="1337" w:hRule="exact"/>
        </w:trPr>
        <w:tc>
          <w:tcPr>
            <w:tcW w:w="467" w:type="dxa"/>
            <w:vMerge/>
            <w:tcBorders>
              <w:left w:val="single" w:sz="4" w:space="0" w:color="000000"/>
              <w:right w:val="single" w:sz="4" w:space="0" w:color="000000"/>
            </w:tcBorders>
            <w:shd w:val="clear" w:color="auto" w:fill="F1F1F1"/>
          </w:tcPr>
          <w:p>
            <w:pPr/>
          </w:p>
        </w:tc>
        <w:tc>
          <w:tcPr>
            <w:tcW w:w="5644" w:type="dxa"/>
            <w:tcBorders>
              <w:left w:val="single" w:sz="4" w:space="0" w:color="000000"/>
            </w:tcBorders>
          </w:tcPr>
          <w:p>
            <w:pPr/>
          </w:p>
        </w:tc>
        <w:tc>
          <w:tcPr>
            <w:tcW w:w="622" w:type="dxa"/>
          </w:tcPr>
          <w:p>
            <w:pPr>
              <w:pStyle w:val="TableParagraph"/>
              <w:spacing w:before="5"/>
              <w:ind w:left="156"/>
              <w:rPr>
                <w:sz w:val="28"/>
              </w:rPr>
            </w:pPr>
            <w:r>
              <w:rPr>
                <w:w w:val="100"/>
                <w:sz w:val="28"/>
              </w:rPr>
              <w:t>0</w:t>
            </w:r>
          </w:p>
        </w:tc>
        <w:tc>
          <w:tcPr>
            <w:tcW w:w="792" w:type="dxa"/>
          </w:tcPr>
          <w:p>
            <w:pPr>
              <w:pStyle w:val="TableParagraph"/>
              <w:spacing w:before="5"/>
              <w:ind w:right="324"/>
              <w:jc w:val="right"/>
              <w:rPr>
                <w:sz w:val="28"/>
              </w:rPr>
            </w:pPr>
            <w:r>
              <w:rPr>
                <w:w w:val="100"/>
                <w:sz w:val="28"/>
              </w:rPr>
              <w:t>1</w:t>
            </w:r>
          </w:p>
        </w:tc>
        <w:tc>
          <w:tcPr>
            <w:tcW w:w="792" w:type="dxa"/>
          </w:tcPr>
          <w:p>
            <w:pPr>
              <w:pStyle w:val="TableParagraph"/>
              <w:spacing w:before="5"/>
              <w:jc w:val="center"/>
              <w:rPr>
                <w:sz w:val="28"/>
              </w:rPr>
            </w:pPr>
            <w:r>
              <w:rPr>
                <w:w w:val="100"/>
                <w:sz w:val="28"/>
              </w:rPr>
              <w:t>2</w:t>
            </w:r>
          </w:p>
        </w:tc>
        <w:tc>
          <w:tcPr>
            <w:tcW w:w="792" w:type="dxa"/>
          </w:tcPr>
          <w:p>
            <w:pPr>
              <w:pStyle w:val="TableParagraph"/>
              <w:spacing w:before="5"/>
              <w:jc w:val="center"/>
              <w:rPr>
                <w:sz w:val="28"/>
              </w:rPr>
            </w:pPr>
            <w:r>
              <w:rPr>
                <w:w w:val="100"/>
                <w:sz w:val="28"/>
              </w:rPr>
              <w:t>3</w:t>
            </w:r>
          </w:p>
        </w:tc>
        <w:tc>
          <w:tcPr>
            <w:tcW w:w="666" w:type="dxa"/>
          </w:tcPr>
          <w:p>
            <w:pPr>
              <w:pStyle w:val="TableParagraph"/>
              <w:spacing w:before="5"/>
              <w:ind w:right="198"/>
              <w:jc w:val="right"/>
              <w:rPr>
                <w:sz w:val="28"/>
              </w:rPr>
            </w:pPr>
            <w:r>
              <w:rPr>
                <w:w w:val="100"/>
                <w:sz w:val="28"/>
              </w:rPr>
              <w:t>4</w:t>
            </w:r>
          </w:p>
        </w:tc>
      </w:tr>
      <w:tr>
        <w:trPr>
          <w:trHeight w:val="683" w:hRule="exact"/>
        </w:trPr>
        <w:tc>
          <w:tcPr>
            <w:tcW w:w="467" w:type="dxa"/>
            <w:tcBorders>
              <w:left w:val="single" w:sz="4" w:space="0" w:color="000000"/>
              <w:right w:val="single" w:sz="4" w:space="0" w:color="000000"/>
            </w:tcBorders>
            <w:shd w:val="clear" w:color="auto" w:fill="F1F1F1"/>
          </w:tcPr>
          <w:p>
            <w:pPr/>
          </w:p>
        </w:tc>
        <w:tc>
          <w:tcPr>
            <w:tcW w:w="5644" w:type="dxa"/>
            <w:tcBorders>
              <w:left w:val="single" w:sz="4" w:space="0" w:color="000000"/>
            </w:tcBorders>
          </w:tcPr>
          <w:p>
            <w:pPr>
              <w:pStyle w:val="TableParagraph"/>
              <w:spacing w:before="175"/>
              <w:ind w:right="154"/>
              <w:jc w:val="right"/>
              <w:rPr>
                <w:sz w:val="28"/>
              </w:rPr>
            </w:pPr>
            <w:r>
              <w:rPr>
                <w:sz w:val="28"/>
              </w:rPr>
              <w:t>Я чувствую себя больным(-ой) ....................</w:t>
            </w:r>
          </w:p>
        </w:tc>
        <w:tc>
          <w:tcPr>
            <w:tcW w:w="622" w:type="dxa"/>
          </w:tcPr>
          <w:p>
            <w:pPr/>
          </w:p>
        </w:tc>
        <w:tc>
          <w:tcPr>
            <w:tcW w:w="792" w:type="dxa"/>
          </w:tcPr>
          <w:p>
            <w:pPr/>
          </w:p>
        </w:tc>
        <w:tc>
          <w:tcPr>
            <w:tcW w:w="792" w:type="dxa"/>
          </w:tcPr>
          <w:p>
            <w:pPr/>
          </w:p>
        </w:tc>
        <w:tc>
          <w:tcPr>
            <w:tcW w:w="792" w:type="dxa"/>
          </w:tcPr>
          <w:p>
            <w:pPr/>
          </w:p>
        </w:tc>
        <w:tc>
          <w:tcPr>
            <w:tcW w:w="666" w:type="dxa"/>
          </w:tcPr>
          <w:p>
            <w:pPr/>
          </w:p>
        </w:tc>
      </w:tr>
      <w:tr>
        <w:trPr>
          <w:trHeight w:val="1649" w:hRule="exact"/>
        </w:trPr>
        <w:tc>
          <w:tcPr>
            <w:tcW w:w="467" w:type="dxa"/>
            <w:tcBorders>
              <w:left w:val="single" w:sz="4" w:space="0" w:color="000000"/>
              <w:right w:val="single" w:sz="4" w:space="0" w:color="000000"/>
            </w:tcBorders>
            <w:shd w:val="clear" w:color="auto" w:fill="F1F1F1"/>
          </w:tcPr>
          <w:p>
            <w:pPr>
              <w:pStyle w:val="TableParagraph"/>
              <w:spacing w:line="360" w:lineRule="auto" w:before="174"/>
              <w:ind w:left="151" w:right="125" w:hanging="24"/>
              <w:jc w:val="both"/>
              <w:rPr>
                <w:sz w:val="28"/>
              </w:rPr>
            </w:pPr>
            <w:r>
              <w:rPr>
                <w:sz w:val="28"/>
              </w:rPr>
              <w:t>G P 6</w:t>
            </w:r>
          </w:p>
        </w:tc>
        <w:tc>
          <w:tcPr>
            <w:tcW w:w="5644" w:type="dxa"/>
            <w:tcBorders>
              <w:left w:val="single" w:sz="4" w:space="0" w:color="000000"/>
            </w:tcBorders>
          </w:tcPr>
          <w:p>
            <w:pPr/>
          </w:p>
        </w:tc>
        <w:tc>
          <w:tcPr>
            <w:tcW w:w="622" w:type="dxa"/>
          </w:tcPr>
          <w:p>
            <w:pPr>
              <w:pStyle w:val="TableParagraph"/>
              <w:spacing w:before="5"/>
              <w:rPr>
                <w:sz w:val="27"/>
              </w:rPr>
            </w:pPr>
          </w:p>
          <w:p>
            <w:pPr>
              <w:pStyle w:val="TableParagraph"/>
              <w:ind w:left="156"/>
              <w:rPr>
                <w:sz w:val="28"/>
              </w:rPr>
            </w:pPr>
            <w:r>
              <w:rPr>
                <w:w w:val="100"/>
                <w:sz w:val="28"/>
              </w:rPr>
              <w:t>0</w:t>
            </w:r>
          </w:p>
        </w:tc>
        <w:tc>
          <w:tcPr>
            <w:tcW w:w="792" w:type="dxa"/>
          </w:tcPr>
          <w:p>
            <w:pPr>
              <w:pStyle w:val="TableParagraph"/>
              <w:spacing w:before="5"/>
              <w:rPr>
                <w:sz w:val="27"/>
              </w:rPr>
            </w:pPr>
          </w:p>
          <w:p>
            <w:pPr>
              <w:pStyle w:val="TableParagraph"/>
              <w:ind w:right="324"/>
              <w:jc w:val="right"/>
              <w:rPr>
                <w:sz w:val="28"/>
              </w:rPr>
            </w:pPr>
            <w:r>
              <w:rPr>
                <w:w w:val="100"/>
                <w:sz w:val="28"/>
              </w:rPr>
              <w:t>1</w:t>
            </w:r>
          </w:p>
        </w:tc>
        <w:tc>
          <w:tcPr>
            <w:tcW w:w="792" w:type="dxa"/>
          </w:tcPr>
          <w:p>
            <w:pPr>
              <w:pStyle w:val="TableParagraph"/>
              <w:spacing w:before="5"/>
              <w:rPr>
                <w:sz w:val="27"/>
              </w:rPr>
            </w:pPr>
          </w:p>
          <w:p>
            <w:pPr>
              <w:pStyle w:val="TableParagraph"/>
              <w:jc w:val="center"/>
              <w:rPr>
                <w:sz w:val="28"/>
              </w:rPr>
            </w:pPr>
            <w:r>
              <w:rPr>
                <w:w w:val="100"/>
                <w:sz w:val="28"/>
              </w:rPr>
              <w:t>2</w:t>
            </w:r>
          </w:p>
        </w:tc>
        <w:tc>
          <w:tcPr>
            <w:tcW w:w="792" w:type="dxa"/>
          </w:tcPr>
          <w:p>
            <w:pPr>
              <w:pStyle w:val="TableParagraph"/>
              <w:spacing w:before="5"/>
              <w:rPr>
                <w:sz w:val="27"/>
              </w:rPr>
            </w:pPr>
          </w:p>
          <w:p>
            <w:pPr>
              <w:pStyle w:val="TableParagraph"/>
              <w:jc w:val="center"/>
              <w:rPr>
                <w:sz w:val="28"/>
              </w:rPr>
            </w:pPr>
            <w:r>
              <w:rPr>
                <w:w w:val="100"/>
                <w:sz w:val="28"/>
              </w:rPr>
              <w:t>3</w:t>
            </w:r>
          </w:p>
        </w:tc>
        <w:tc>
          <w:tcPr>
            <w:tcW w:w="666" w:type="dxa"/>
          </w:tcPr>
          <w:p>
            <w:pPr>
              <w:pStyle w:val="TableParagraph"/>
              <w:spacing w:before="5"/>
              <w:rPr>
                <w:sz w:val="27"/>
              </w:rPr>
            </w:pPr>
          </w:p>
          <w:p>
            <w:pPr>
              <w:pStyle w:val="TableParagraph"/>
              <w:ind w:right="198"/>
              <w:jc w:val="right"/>
              <w:rPr>
                <w:sz w:val="28"/>
              </w:rPr>
            </w:pPr>
            <w:r>
              <w:rPr>
                <w:w w:val="100"/>
                <w:sz w:val="28"/>
              </w:rPr>
              <w:t>4</w:t>
            </w:r>
          </w:p>
        </w:tc>
      </w:tr>
      <w:tr>
        <w:trPr>
          <w:trHeight w:val="1497" w:hRule="exact"/>
        </w:trPr>
        <w:tc>
          <w:tcPr>
            <w:tcW w:w="467" w:type="dxa"/>
            <w:vMerge w:val="restart"/>
            <w:tcBorders>
              <w:left w:val="single" w:sz="4" w:space="0" w:color="000000"/>
              <w:right w:val="single" w:sz="4" w:space="0" w:color="000000"/>
            </w:tcBorders>
            <w:shd w:val="clear" w:color="auto" w:fill="F1F1F1"/>
          </w:tcPr>
          <w:p>
            <w:pPr>
              <w:pStyle w:val="TableParagraph"/>
              <w:rPr>
                <w:sz w:val="30"/>
              </w:rPr>
            </w:pPr>
          </w:p>
          <w:p>
            <w:pPr>
              <w:pStyle w:val="TableParagraph"/>
              <w:spacing w:before="7"/>
              <w:rPr>
                <w:sz w:val="44"/>
              </w:rPr>
            </w:pPr>
          </w:p>
          <w:p>
            <w:pPr>
              <w:pStyle w:val="TableParagraph"/>
              <w:spacing w:line="360" w:lineRule="auto"/>
              <w:ind w:left="151" w:right="125" w:hanging="24"/>
              <w:jc w:val="both"/>
              <w:rPr>
                <w:sz w:val="28"/>
              </w:rPr>
            </w:pPr>
            <w:r>
              <w:rPr>
                <w:sz w:val="28"/>
              </w:rPr>
              <w:t>G P 7</w:t>
            </w:r>
          </w:p>
        </w:tc>
        <w:tc>
          <w:tcPr>
            <w:tcW w:w="5644" w:type="dxa"/>
            <w:tcBorders>
              <w:left w:val="single" w:sz="4" w:space="0" w:color="000000"/>
            </w:tcBorders>
          </w:tcPr>
          <w:p>
            <w:pPr>
              <w:pStyle w:val="TableParagraph"/>
              <w:spacing w:line="362" w:lineRule="auto" w:before="174"/>
              <w:ind w:left="334" w:right="135"/>
              <w:rPr>
                <w:sz w:val="28"/>
              </w:rPr>
            </w:pPr>
            <w:r>
              <w:rPr>
                <w:sz w:val="28"/>
              </w:rPr>
              <w:t>Я вынужден(-а) проводить время в постели............................................................</w:t>
            </w:r>
          </w:p>
        </w:tc>
        <w:tc>
          <w:tcPr>
            <w:tcW w:w="622" w:type="dxa"/>
          </w:tcPr>
          <w:p>
            <w:pPr/>
          </w:p>
        </w:tc>
        <w:tc>
          <w:tcPr>
            <w:tcW w:w="792" w:type="dxa"/>
          </w:tcPr>
          <w:p>
            <w:pPr/>
          </w:p>
        </w:tc>
        <w:tc>
          <w:tcPr>
            <w:tcW w:w="792" w:type="dxa"/>
          </w:tcPr>
          <w:p>
            <w:pPr/>
          </w:p>
        </w:tc>
        <w:tc>
          <w:tcPr>
            <w:tcW w:w="792" w:type="dxa"/>
          </w:tcPr>
          <w:p>
            <w:pPr/>
          </w:p>
        </w:tc>
        <w:tc>
          <w:tcPr>
            <w:tcW w:w="666" w:type="dxa"/>
          </w:tcPr>
          <w:p>
            <w:pPr/>
          </w:p>
        </w:tc>
      </w:tr>
      <w:tr>
        <w:trPr>
          <w:trHeight w:val="3022" w:hRule="exact"/>
        </w:trPr>
        <w:tc>
          <w:tcPr>
            <w:tcW w:w="467" w:type="dxa"/>
            <w:vMerge/>
            <w:tcBorders>
              <w:left w:val="single" w:sz="4" w:space="0" w:color="000000"/>
              <w:bottom w:val="single" w:sz="4" w:space="0" w:color="000000"/>
              <w:right w:val="single" w:sz="4" w:space="0" w:color="000000"/>
            </w:tcBorders>
            <w:shd w:val="clear" w:color="auto" w:fill="F1F1F1"/>
          </w:tcPr>
          <w:p>
            <w:pPr/>
          </w:p>
        </w:tc>
        <w:tc>
          <w:tcPr>
            <w:tcW w:w="5644" w:type="dxa"/>
            <w:tcBorders>
              <w:left w:val="single" w:sz="4" w:space="0" w:color="000000"/>
            </w:tcBorders>
          </w:tcPr>
          <w:p>
            <w:pPr/>
          </w:p>
        </w:tc>
        <w:tc>
          <w:tcPr>
            <w:tcW w:w="622" w:type="dxa"/>
          </w:tcPr>
          <w:p>
            <w:pPr>
              <w:pStyle w:val="TableParagraph"/>
              <w:spacing w:before="9"/>
              <w:rPr>
                <w:sz w:val="43"/>
              </w:rPr>
            </w:pPr>
          </w:p>
          <w:p>
            <w:pPr>
              <w:pStyle w:val="TableParagraph"/>
              <w:spacing w:before="1"/>
              <w:ind w:left="156"/>
              <w:rPr>
                <w:sz w:val="28"/>
              </w:rPr>
            </w:pPr>
            <w:r>
              <w:rPr>
                <w:w w:val="100"/>
                <w:sz w:val="28"/>
              </w:rPr>
              <w:t>0</w:t>
            </w:r>
          </w:p>
        </w:tc>
        <w:tc>
          <w:tcPr>
            <w:tcW w:w="792" w:type="dxa"/>
          </w:tcPr>
          <w:p>
            <w:pPr>
              <w:pStyle w:val="TableParagraph"/>
              <w:spacing w:before="9"/>
              <w:rPr>
                <w:sz w:val="43"/>
              </w:rPr>
            </w:pPr>
          </w:p>
          <w:p>
            <w:pPr>
              <w:pStyle w:val="TableParagraph"/>
              <w:spacing w:before="1"/>
              <w:ind w:right="324"/>
              <w:jc w:val="right"/>
              <w:rPr>
                <w:sz w:val="28"/>
              </w:rPr>
            </w:pPr>
            <w:r>
              <w:rPr>
                <w:w w:val="100"/>
                <w:sz w:val="28"/>
              </w:rPr>
              <w:t>1</w:t>
            </w:r>
          </w:p>
        </w:tc>
        <w:tc>
          <w:tcPr>
            <w:tcW w:w="792" w:type="dxa"/>
          </w:tcPr>
          <w:p>
            <w:pPr>
              <w:pStyle w:val="TableParagraph"/>
              <w:spacing w:before="9"/>
              <w:rPr>
                <w:sz w:val="43"/>
              </w:rPr>
            </w:pPr>
          </w:p>
          <w:p>
            <w:pPr>
              <w:pStyle w:val="TableParagraph"/>
              <w:spacing w:before="1"/>
              <w:jc w:val="center"/>
              <w:rPr>
                <w:sz w:val="28"/>
              </w:rPr>
            </w:pPr>
            <w:r>
              <w:rPr>
                <w:w w:val="100"/>
                <w:sz w:val="28"/>
              </w:rPr>
              <w:t>2</w:t>
            </w:r>
          </w:p>
        </w:tc>
        <w:tc>
          <w:tcPr>
            <w:tcW w:w="792" w:type="dxa"/>
          </w:tcPr>
          <w:p>
            <w:pPr>
              <w:pStyle w:val="TableParagraph"/>
              <w:spacing w:before="9"/>
              <w:rPr>
                <w:sz w:val="43"/>
              </w:rPr>
            </w:pPr>
          </w:p>
          <w:p>
            <w:pPr>
              <w:pStyle w:val="TableParagraph"/>
              <w:spacing w:before="1"/>
              <w:jc w:val="center"/>
              <w:rPr>
                <w:sz w:val="28"/>
              </w:rPr>
            </w:pPr>
            <w:r>
              <w:rPr>
                <w:w w:val="100"/>
                <w:sz w:val="28"/>
              </w:rPr>
              <w:t>3</w:t>
            </w:r>
          </w:p>
        </w:tc>
        <w:tc>
          <w:tcPr>
            <w:tcW w:w="666" w:type="dxa"/>
          </w:tcPr>
          <w:p>
            <w:pPr>
              <w:pStyle w:val="TableParagraph"/>
              <w:spacing w:before="9"/>
              <w:rPr>
                <w:sz w:val="43"/>
              </w:rPr>
            </w:pPr>
          </w:p>
          <w:p>
            <w:pPr>
              <w:pStyle w:val="TableParagraph"/>
              <w:spacing w:before="1"/>
              <w:ind w:right="198"/>
              <w:jc w:val="right"/>
              <w:rPr>
                <w:sz w:val="28"/>
              </w:rPr>
            </w:pPr>
            <w:r>
              <w:rPr>
                <w:w w:val="100"/>
                <w:sz w:val="28"/>
              </w:rPr>
              <w:t>4</w:t>
            </w:r>
          </w:p>
        </w:tc>
      </w:tr>
    </w:tbl>
    <w:p>
      <w:pPr>
        <w:spacing w:after="0"/>
        <w:jc w:val="right"/>
        <w:rPr>
          <w:sz w:val="28"/>
        </w:rPr>
        <w:sectPr>
          <w:pgSz w:w="11900" w:h="16850"/>
          <w:pgMar w:header="712" w:footer="0" w:top="1020" w:bottom="280" w:left="1580" w:right="320"/>
        </w:sect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7"/>
        <w:gridCol w:w="5490"/>
        <w:gridCol w:w="778"/>
        <w:gridCol w:w="797"/>
        <w:gridCol w:w="812"/>
        <w:gridCol w:w="774"/>
        <w:gridCol w:w="802"/>
      </w:tblGrid>
      <w:tr>
        <w:trPr>
          <w:trHeight w:val="846" w:hRule="exact"/>
        </w:trPr>
        <w:tc>
          <w:tcPr>
            <w:tcW w:w="467" w:type="dxa"/>
            <w:tcBorders>
              <w:bottom w:val="single" w:sz="4" w:space="0" w:color="000000"/>
            </w:tcBorders>
          </w:tcPr>
          <w:p>
            <w:pPr/>
          </w:p>
        </w:tc>
        <w:tc>
          <w:tcPr>
            <w:tcW w:w="5490" w:type="dxa"/>
          </w:tcPr>
          <w:p>
            <w:pPr>
              <w:pStyle w:val="TableParagraph"/>
              <w:spacing w:before="11"/>
              <w:rPr>
                <w:sz w:val="40"/>
              </w:rPr>
            </w:pPr>
          </w:p>
          <w:p>
            <w:pPr>
              <w:pStyle w:val="TableParagraph"/>
              <w:ind w:left="430"/>
              <w:rPr>
                <w:rFonts w:ascii="Calibri" w:hAnsi="Calibri"/>
                <w:b/>
                <w:i/>
                <w:sz w:val="28"/>
              </w:rPr>
            </w:pPr>
            <w:r>
              <w:rPr>
                <w:rFonts w:ascii="Calibri" w:hAnsi="Calibri"/>
                <w:b/>
                <w:i/>
                <w:color w:val="365F91"/>
                <w:sz w:val="28"/>
                <w:u w:val="thick" w:color="365F91"/>
              </w:rPr>
              <w:t>СОЦИАЛЬНЫЕ/СЕМЕЙНЫЕ</w:t>
            </w:r>
          </w:p>
        </w:tc>
        <w:tc>
          <w:tcPr>
            <w:tcW w:w="778" w:type="dxa"/>
          </w:tcPr>
          <w:p>
            <w:pPr>
              <w:pStyle w:val="TableParagraph"/>
              <w:spacing w:line="311" w:lineRule="exact"/>
              <w:ind w:right="106"/>
              <w:jc w:val="center"/>
              <w:rPr>
                <w:b/>
                <w:sz w:val="28"/>
              </w:rPr>
            </w:pPr>
            <w:r>
              <w:rPr>
                <w:b/>
                <w:sz w:val="28"/>
              </w:rPr>
              <w:t>совсе</w:t>
            </w:r>
          </w:p>
          <w:p>
            <w:pPr>
              <w:pStyle w:val="TableParagraph"/>
              <w:spacing w:before="161"/>
              <w:ind w:right="106"/>
              <w:jc w:val="center"/>
              <w:rPr>
                <w:b/>
                <w:sz w:val="28"/>
              </w:rPr>
            </w:pPr>
            <w:r>
              <w:rPr>
                <w:b/>
                <w:w w:val="100"/>
                <w:sz w:val="28"/>
              </w:rPr>
              <w:t>м</w:t>
            </w:r>
          </w:p>
        </w:tc>
        <w:tc>
          <w:tcPr>
            <w:tcW w:w="797" w:type="dxa"/>
          </w:tcPr>
          <w:p>
            <w:pPr>
              <w:pStyle w:val="TableParagraph"/>
              <w:spacing w:line="311" w:lineRule="exact"/>
              <w:ind w:left="109" w:firstLine="48"/>
              <w:rPr>
                <w:b/>
                <w:sz w:val="28"/>
              </w:rPr>
            </w:pPr>
            <w:r>
              <w:rPr>
                <w:b/>
                <w:sz w:val="28"/>
              </w:rPr>
              <w:t>нем</w:t>
            </w:r>
          </w:p>
          <w:p>
            <w:pPr>
              <w:pStyle w:val="TableParagraph"/>
              <w:spacing w:before="161"/>
              <w:ind w:left="109"/>
              <w:rPr>
                <w:b/>
                <w:sz w:val="28"/>
              </w:rPr>
            </w:pPr>
            <w:r>
              <w:rPr>
                <w:b/>
                <w:sz w:val="28"/>
              </w:rPr>
              <w:t>ного</w:t>
            </w:r>
          </w:p>
        </w:tc>
        <w:tc>
          <w:tcPr>
            <w:tcW w:w="812" w:type="dxa"/>
          </w:tcPr>
          <w:p>
            <w:pPr>
              <w:pStyle w:val="TableParagraph"/>
              <w:spacing w:line="311" w:lineRule="exact"/>
              <w:ind w:left="170" w:hanging="53"/>
              <w:rPr>
                <w:b/>
                <w:sz w:val="28"/>
              </w:rPr>
            </w:pPr>
            <w:r>
              <w:rPr>
                <w:b/>
                <w:sz w:val="28"/>
              </w:rPr>
              <w:t>уме-</w:t>
            </w:r>
          </w:p>
          <w:p>
            <w:pPr>
              <w:pStyle w:val="TableParagraph"/>
              <w:spacing w:before="161"/>
              <w:ind w:left="170"/>
              <w:rPr>
                <w:b/>
                <w:sz w:val="28"/>
              </w:rPr>
            </w:pPr>
            <w:r>
              <w:rPr>
                <w:b/>
                <w:sz w:val="28"/>
              </w:rPr>
              <w:t>рен</w:t>
            </w:r>
          </w:p>
        </w:tc>
        <w:tc>
          <w:tcPr>
            <w:tcW w:w="774" w:type="dxa"/>
          </w:tcPr>
          <w:p>
            <w:pPr>
              <w:pStyle w:val="TableParagraph"/>
              <w:spacing w:line="311" w:lineRule="exact"/>
              <w:ind w:left="145" w:firstLine="4"/>
              <w:rPr>
                <w:b/>
                <w:sz w:val="28"/>
              </w:rPr>
            </w:pPr>
            <w:r>
              <w:rPr>
                <w:b/>
                <w:sz w:val="28"/>
              </w:rPr>
              <w:t>сил</w:t>
            </w:r>
          </w:p>
          <w:p>
            <w:pPr>
              <w:pStyle w:val="TableParagraph"/>
              <w:spacing w:before="161"/>
              <w:ind w:left="145"/>
              <w:rPr>
                <w:b/>
                <w:sz w:val="28"/>
              </w:rPr>
            </w:pPr>
            <w:r>
              <w:rPr>
                <w:b/>
                <w:sz w:val="28"/>
              </w:rPr>
              <w:t>ьно</w:t>
            </w:r>
          </w:p>
        </w:tc>
        <w:tc>
          <w:tcPr>
            <w:tcW w:w="802" w:type="dxa"/>
          </w:tcPr>
          <w:p>
            <w:pPr>
              <w:pStyle w:val="TableParagraph"/>
              <w:spacing w:line="311" w:lineRule="exact"/>
              <w:ind w:left="235" w:hanging="58"/>
              <w:rPr>
                <w:b/>
                <w:sz w:val="28"/>
              </w:rPr>
            </w:pPr>
            <w:r>
              <w:rPr>
                <w:b/>
                <w:sz w:val="28"/>
              </w:rPr>
              <w:t>оче</w:t>
            </w:r>
          </w:p>
          <w:p>
            <w:pPr>
              <w:pStyle w:val="TableParagraph"/>
              <w:spacing w:before="161"/>
              <w:ind w:left="235"/>
              <w:rPr>
                <w:b/>
                <w:sz w:val="28"/>
              </w:rPr>
            </w:pPr>
            <w:r>
              <w:rPr>
                <w:b/>
                <w:sz w:val="28"/>
              </w:rPr>
              <w:t>нь</w:t>
            </w:r>
          </w:p>
        </w:tc>
      </w:tr>
      <w:tr>
        <w:trPr>
          <w:trHeight w:val="505" w:hRule="exact"/>
        </w:trPr>
        <w:tc>
          <w:tcPr>
            <w:tcW w:w="467" w:type="dxa"/>
            <w:tcBorders>
              <w:top w:val="single" w:sz="4" w:space="0" w:color="000000"/>
              <w:left w:val="single" w:sz="4" w:space="0" w:color="000000"/>
              <w:right w:val="single" w:sz="4" w:space="0" w:color="000000"/>
            </w:tcBorders>
            <w:shd w:val="clear" w:color="auto" w:fill="F1F1F1"/>
          </w:tcPr>
          <w:p>
            <w:pPr/>
          </w:p>
        </w:tc>
        <w:tc>
          <w:tcPr>
            <w:tcW w:w="5490" w:type="dxa"/>
            <w:tcBorders>
              <w:left w:val="single" w:sz="4" w:space="0" w:color="000000"/>
            </w:tcBorders>
          </w:tcPr>
          <w:p>
            <w:pPr>
              <w:pStyle w:val="TableParagraph"/>
              <w:spacing w:line="320" w:lineRule="exact"/>
              <w:ind w:left="334"/>
              <w:rPr>
                <w:sz w:val="28"/>
              </w:rPr>
            </w:pPr>
            <w:r>
              <w:rPr>
                <w:sz w:val="28"/>
              </w:rPr>
              <w:t>У меня хорошие отношения с друзьями</w:t>
            </w:r>
            <w:r>
              <w:rPr>
                <w:spacing w:val="-26"/>
                <w:sz w:val="28"/>
              </w:rPr>
              <w:t> </w:t>
            </w:r>
            <w:r>
              <w:rPr>
                <w:sz w:val="28"/>
              </w:rPr>
              <w:t>.....</w:t>
            </w:r>
          </w:p>
        </w:tc>
        <w:tc>
          <w:tcPr>
            <w:tcW w:w="778" w:type="dxa"/>
          </w:tcPr>
          <w:p>
            <w:pPr>
              <w:pStyle w:val="TableParagraph"/>
              <w:spacing w:line="320" w:lineRule="exact"/>
              <w:ind w:right="13"/>
              <w:jc w:val="center"/>
              <w:rPr>
                <w:sz w:val="28"/>
              </w:rPr>
            </w:pPr>
            <w:r>
              <w:rPr>
                <w:w w:val="100"/>
                <w:sz w:val="28"/>
              </w:rPr>
              <w:t>0</w:t>
            </w:r>
          </w:p>
        </w:tc>
        <w:tc>
          <w:tcPr>
            <w:tcW w:w="797" w:type="dxa"/>
          </w:tcPr>
          <w:p>
            <w:pPr>
              <w:pStyle w:val="TableParagraph"/>
              <w:spacing w:line="320" w:lineRule="exact"/>
              <w:ind w:right="328"/>
              <w:jc w:val="right"/>
              <w:rPr>
                <w:sz w:val="28"/>
              </w:rPr>
            </w:pPr>
            <w:r>
              <w:rPr>
                <w:w w:val="100"/>
                <w:sz w:val="28"/>
              </w:rPr>
              <w:t>1</w:t>
            </w:r>
          </w:p>
        </w:tc>
        <w:tc>
          <w:tcPr>
            <w:tcW w:w="812" w:type="dxa"/>
          </w:tcPr>
          <w:p>
            <w:pPr>
              <w:pStyle w:val="TableParagraph"/>
              <w:spacing w:line="320" w:lineRule="exact"/>
              <w:ind w:left="321"/>
              <w:rPr>
                <w:sz w:val="28"/>
              </w:rPr>
            </w:pPr>
            <w:r>
              <w:rPr>
                <w:w w:val="100"/>
                <w:sz w:val="28"/>
              </w:rPr>
              <w:t>2</w:t>
            </w:r>
          </w:p>
        </w:tc>
        <w:tc>
          <w:tcPr>
            <w:tcW w:w="774" w:type="dxa"/>
          </w:tcPr>
          <w:p>
            <w:pPr>
              <w:pStyle w:val="TableParagraph"/>
              <w:spacing w:line="320" w:lineRule="exact"/>
              <w:ind w:left="301"/>
              <w:rPr>
                <w:sz w:val="28"/>
              </w:rPr>
            </w:pPr>
            <w:r>
              <w:rPr>
                <w:w w:val="100"/>
                <w:sz w:val="28"/>
              </w:rPr>
              <w:t>3</w:t>
            </w:r>
          </w:p>
        </w:tc>
        <w:tc>
          <w:tcPr>
            <w:tcW w:w="802" w:type="dxa"/>
          </w:tcPr>
          <w:p>
            <w:pPr>
              <w:pStyle w:val="TableParagraph"/>
              <w:spacing w:line="320" w:lineRule="exact"/>
              <w:ind w:right="20"/>
              <w:jc w:val="center"/>
              <w:rPr>
                <w:sz w:val="28"/>
              </w:rPr>
            </w:pPr>
            <w:r>
              <w:rPr>
                <w:w w:val="100"/>
                <w:sz w:val="28"/>
              </w:rPr>
              <w:t>4</w:t>
            </w:r>
          </w:p>
        </w:tc>
      </w:tr>
      <w:tr>
        <w:trPr>
          <w:trHeight w:val="1650" w:hRule="exact"/>
        </w:trPr>
        <w:tc>
          <w:tcPr>
            <w:tcW w:w="467" w:type="dxa"/>
            <w:tcBorders>
              <w:left w:val="single" w:sz="4" w:space="0" w:color="000000"/>
              <w:right w:val="single" w:sz="4" w:space="0" w:color="000000"/>
            </w:tcBorders>
            <w:shd w:val="clear" w:color="auto" w:fill="F1F1F1"/>
          </w:tcPr>
          <w:p>
            <w:pPr>
              <w:pStyle w:val="TableParagraph"/>
              <w:spacing w:line="360" w:lineRule="auto" w:before="174"/>
              <w:ind w:left="151" w:right="125" w:hanging="24"/>
              <w:jc w:val="both"/>
              <w:rPr>
                <w:sz w:val="28"/>
              </w:rPr>
            </w:pPr>
            <w:r>
              <w:rPr>
                <w:sz w:val="28"/>
              </w:rPr>
              <w:t>G S 1</w:t>
            </w:r>
          </w:p>
        </w:tc>
        <w:tc>
          <w:tcPr>
            <w:tcW w:w="5490" w:type="dxa"/>
            <w:tcBorders>
              <w:left w:val="single" w:sz="4" w:space="0" w:color="000000"/>
            </w:tcBorders>
          </w:tcPr>
          <w:p>
            <w:pPr/>
          </w:p>
        </w:tc>
        <w:tc>
          <w:tcPr>
            <w:tcW w:w="778" w:type="dxa"/>
          </w:tcPr>
          <w:p>
            <w:pPr/>
          </w:p>
        </w:tc>
        <w:tc>
          <w:tcPr>
            <w:tcW w:w="797" w:type="dxa"/>
          </w:tcPr>
          <w:p>
            <w:pPr/>
          </w:p>
        </w:tc>
        <w:tc>
          <w:tcPr>
            <w:tcW w:w="812" w:type="dxa"/>
          </w:tcPr>
          <w:p>
            <w:pPr/>
          </w:p>
        </w:tc>
        <w:tc>
          <w:tcPr>
            <w:tcW w:w="774" w:type="dxa"/>
          </w:tcPr>
          <w:p>
            <w:pPr/>
          </w:p>
        </w:tc>
        <w:tc>
          <w:tcPr>
            <w:tcW w:w="802" w:type="dxa"/>
          </w:tcPr>
          <w:p>
            <w:pPr/>
          </w:p>
        </w:tc>
      </w:tr>
      <w:tr>
        <w:trPr>
          <w:trHeight w:val="683" w:hRule="exact"/>
        </w:trPr>
        <w:tc>
          <w:tcPr>
            <w:tcW w:w="467" w:type="dxa"/>
            <w:tcBorders>
              <w:left w:val="single" w:sz="4" w:space="0" w:color="000000"/>
              <w:right w:val="single" w:sz="4" w:space="0" w:color="000000"/>
            </w:tcBorders>
            <w:shd w:val="clear" w:color="auto" w:fill="F1F1F1"/>
          </w:tcPr>
          <w:p>
            <w:pPr/>
          </w:p>
        </w:tc>
        <w:tc>
          <w:tcPr>
            <w:tcW w:w="5490" w:type="dxa"/>
            <w:vMerge w:val="restart"/>
            <w:tcBorders>
              <w:left w:val="single" w:sz="4" w:space="0" w:color="000000"/>
            </w:tcBorders>
          </w:tcPr>
          <w:p>
            <w:pPr>
              <w:pStyle w:val="TableParagraph"/>
              <w:spacing w:line="360" w:lineRule="auto" w:before="175"/>
              <w:ind w:left="334"/>
              <w:rPr>
                <w:sz w:val="28"/>
              </w:rPr>
            </w:pPr>
            <w:r>
              <w:rPr>
                <w:sz w:val="28"/>
              </w:rPr>
              <w:t>Моя семья оказывает мне моральную </w:t>
            </w:r>
            <w:r>
              <w:rPr>
                <w:spacing w:val="-1"/>
                <w:sz w:val="28"/>
              </w:rPr>
              <w:t>поддержку.......................................................</w:t>
            </w:r>
          </w:p>
        </w:tc>
        <w:tc>
          <w:tcPr>
            <w:tcW w:w="778" w:type="dxa"/>
          </w:tcPr>
          <w:p>
            <w:pPr>
              <w:pStyle w:val="TableParagraph"/>
              <w:spacing w:before="175"/>
              <w:ind w:right="13"/>
              <w:jc w:val="center"/>
              <w:rPr>
                <w:sz w:val="28"/>
              </w:rPr>
            </w:pPr>
            <w:r>
              <w:rPr>
                <w:w w:val="100"/>
                <w:sz w:val="28"/>
              </w:rPr>
              <w:t>0</w:t>
            </w:r>
          </w:p>
        </w:tc>
        <w:tc>
          <w:tcPr>
            <w:tcW w:w="797" w:type="dxa"/>
          </w:tcPr>
          <w:p>
            <w:pPr>
              <w:pStyle w:val="TableParagraph"/>
              <w:spacing w:before="175"/>
              <w:ind w:right="328"/>
              <w:jc w:val="right"/>
              <w:rPr>
                <w:sz w:val="28"/>
              </w:rPr>
            </w:pPr>
            <w:r>
              <w:rPr>
                <w:w w:val="100"/>
                <w:sz w:val="28"/>
              </w:rPr>
              <w:t>1</w:t>
            </w:r>
          </w:p>
        </w:tc>
        <w:tc>
          <w:tcPr>
            <w:tcW w:w="812" w:type="dxa"/>
          </w:tcPr>
          <w:p>
            <w:pPr>
              <w:pStyle w:val="TableParagraph"/>
              <w:spacing w:before="175"/>
              <w:ind w:left="321"/>
              <w:rPr>
                <w:sz w:val="28"/>
              </w:rPr>
            </w:pPr>
            <w:r>
              <w:rPr>
                <w:w w:val="100"/>
                <w:sz w:val="28"/>
              </w:rPr>
              <w:t>2</w:t>
            </w:r>
          </w:p>
        </w:tc>
        <w:tc>
          <w:tcPr>
            <w:tcW w:w="774" w:type="dxa"/>
          </w:tcPr>
          <w:p>
            <w:pPr>
              <w:pStyle w:val="TableParagraph"/>
              <w:spacing w:before="175"/>
              <w:ind w:left="301"/>
              <w:rPr>
                <w:sz w:val="28"/>
              </w:rPr>
            </w:pPr>
            <w:r>
              <w:rPr>
                <w:w w:val="100"/>
                <w:sz w:val="28"/>
              </w:rPr>
              <w:t>3</w:t>
            </w:r>
          </w:p>
        </w:tc>
        <w:tc>
          <w:tcPr>
            <w:tcW w:w="802" w:type="dxa"/>
          </w:tcPr>
          <w:p>
            <w:pPr>
              <w:pStyle w:val="TableParagraph"/>
              <w:spacing w:before="175"/>
              <w:ind w:right="20"/>
              <w:jc w:val="center"/>
              <w:rPr>
                <w:sz w:val="28"/>
              </w:rPr>
            </w:pPr>
            <w:r>
              <w:rPr>
                <w:w w:val="100"/>
                <w:sz w:val="28"/>
              </w:rPr>
              <w:t>4</w:t>
            </w:r>
          </w:p>
        </w:tc>
      </w:tr>
      <w:tr>
        <w:trPr>
          <w:trHeight w:val="1649" w:hRule="exact"/>
        </w:trPr>
        <w:tc>
          <w:tcPr>
            <w:tcW w:w="467" w:type="dxa"/>
            <w:tcBorders>
              <w:left w:val="single" w:sz="4" w:space="0" w:color="000000"/>
              <w:right w:val="single" w:sz="4" w:space="0" w:color="000000"/>
            </w:tcBorders>
            <w:shd w:val="clear" w:color="auto" w:fill="F1F1F1"/>
          </w:tcPr>
          <w:p>
            <w:pPr>
              <w:pStyle w:val="TableParagraph"/>
              <w:spacing w:line="360" w:lineRule="auto" w:before="174"/>
              <w:ind w:left="151" w:right="125" w:hanging="24"/>
              <w:jc w:val="both"/>
              <w:rPr>
                <w:sz w:val="28"/>
              </w:rPr>
            </w:pPr>
            <w:r>
              <w:rPr>
                <w:sz w:val="28"/>
              </w:rPr>
              <w:t>G S 2</w:t>
            </w:r>
          </w:p>
        </w:tc>
        <w:tc>
          <w:tcPr>
            <w:tcW w:w="5490" w:type="dxa"/>
            <w:vMerge/>
            <w:tcBorders>
              <w:left w:val="single" w:sz="4" w:space="0" w:color="000000"/>
            </w:tcBorders>
          </w:tcPr>
          <w:p>
            <w:pPr/>
          </w:p>
        </w:tc>
        <w:tc>
          <w:tcPr>
            <w:tcW w:w="778" w:type="dxa"/>
          </w:tcPr>
          <w:p>
            <w:pPr/>
          </w:p>
        </w:tc>
        <w:tc>
          <w:tcPr>
            <w:tcW w:w="797" w:type="dxa"/>
          </w:tcPr>
          <w:p>
            <w:pPr/>
          </w:p>
        </w:tc>
        <w:tc>
          <w:tcPr>
            <w:tcW w:w="812" w:type="dxa"/>
          </w:tcPr>
          <w:p>
            <w:pPr/>
          </w:p>
        </w:tc>
        <w:tc>
          <w:tcPr>
            <w:tcW w:w="774" w:type="dxa"/>
          </w:tcPr>
          <w:p>
            <w:pPr/>
          </w:p>
        </w:tc>
        <w:tc>
          <w:tcPr>
            <w:tcW w:w="802" w:type="dxa"/>
          </w:tcPr>
          <w:p>
            <w:pPr/>
          </w:p>
        </w:tc>
      </w:tr>
      <w:tr>
        <w:trPr>
          <w:trHeight w:val="683" w:hRule="exact"/>
        </w:trPr>
        <w:tc>
          <w:tcPr>
            <w:tcW w:w="467" w:type="dxa"/>
            <w:tcBorders>
              <w:left w:val="single" w:sz="4" w:space="0" w:color="000000"/>
              <w:right w:val="single" w:sz="4" w:space="0" w:color="000000"/>
            </w:tcBorders>
            <w:shd w:val="clear" w:color="auto" w:fill="F1F1F1"/>
          </w:tcPr>
          <w:p>
            <w:pPr/>
          </w:p>
        </w:tc>
        <w:tc>
          <w:tcPr>
            <w:tcW w:w="5490" w:type="dxa"/>
            <w:tcBorders>
              <w:left w:val="single" w:sz="4" w:space="0" w:color="000000"/>
            </w:tcBorders>
          </w:tcPr>
          <w:p>
            <w:pPr>
              <w:pStyle w:val="TableParagraph"/>
              <w:spacing w:before="174"/>
              <w:ind w:left="101"/>
              <w:rPr>
                <w:sz w:val="28"/>
              </w:rPr>
            </w:pPr>
            <w:r>
              <w:rPr>
                <w:sz w:val="28"/>
              </w:rPr>
              <w:t>Меня поддерживают мои друзья.</w:t>
            </w:r>
          </w:p>
        </w:tc>
        <w:tc>
          <w:tcPr>
            <w:tcW w:w="778" w:type="dxa"/>
          </w:tcPr>
          <w:p>
            <w:pPr>
              <w:pStyle w:val="TableParagraph"/>
              <w:spacing w:before="174"/>
              <w:ind w:right="13"/>
              <w:jc w:val="center"/>
              <w:rPr>
                <w:sz w:val="28"/>
              </w:rPr>
            </w:pPr>
            <w:r>
              <w:rPr>
                <w:w w:val="100"/>
                <w:sz w:val="28"/>
              </w:rPr>
              <w:t>0</w:t>
            </w:r>
          </w:p>
        </w:tc>
        <w:tc>
          <w:tcPr>
            <w:tcW w:w="797" w:type="dxa"/>
          </w:tcPr>
          <w:p>
            <w:pPr>
              <w:pStyle w:val="TableParagraph"/>
              <w:spacing w:before="174"/>
              <w:ind w:right="328"/>
              <w:jc w:val="right"/>
              <w:rPr>
                <w:sz w:val="28"/>
              </w:rPr>
            </w:pPr>
            <w:r>
              <w:rPr>
                <w:w w:val="100"/>
                <w:sz w:val="28"/>
              </w:rPr>
              <w:t>1</w:t>
            </w:r>
          </w:p>
        </w:tc>
        <w:tc>
          <w:tcPr>
            <w:tcW w:w="812" w:type="dxa"/>
          </w:tcPr>
          <w:p>
            <w:pPr>
              <w:pStyle w:val="TableParagraph"/>
              <w:spacing w:before="174"/>
              <w:ind w:left="321"/>
              <w:rPr>
                <w:sz w:val="28"/>
              </w:rPr>
            </w:pPr>
            <w:r>
              <w:rPr>
                <w:w w:val="100"/>
                <w:sz w:val="28"/>
              </w:rPr>
              <w:t>2</w:t>
            </w:r>
          </w:p>
        </w:tc>
        <w:tc>
          <w:tcPr>
            <w:tcW w:w="774" w:type="dxa"/>
          </w:tcPr>
          <w:p>
            <w:pPr>
              <w:pStyle w:val="TableParagraph"/>
              <w:spacing w:before="174"/>
              <w:ind w:left="301"/>
              <w:rPr>
                <w:sz w:val="28"/>
              </w:rPr>
            </w:pPr>
            <w:r>
              <w:rPr>
                <w:w w:val="100"/>
                <w:sz w:val="28"/>
              </w:rPr>
              <w:t>3</w:t>
            </w:r>
          </w:p>
        </w:tc>
        <w:tc>
          <w:tcPr>
            <w:tcW w:w="802" w:type="dxa"/>
          </w:tcPr>
          <w:p>
            <w:pPr>
              <w:pStyle w:val="TableParagraph"/>
              <w:spacing w:before="174"/>
              <w:ind w:right="20"/>
              <w:jc w:val="center"/>
              <w:rPr>
                <w:sz w:val="28"/>
              </w:rPr>
            </w:pPr>
            <w:r>
              <w:rPr>
                <w:w w:val="100"/>
                <w:sz w:val="28"/>
              </w:rPr>
              <w:t>4</w:t>
            </w:r>
          </w:p>
        </w:tc>
      </w:tr>
      <w:tr>
        <w:trPr>
          <w:trHeight w:val="1649" w:hRule="exact"/>
        </w:trPr>
        <w:tc>
          <w:tcPr>
            <w:tcW w:w="467" w:type="dxa"/>
            <w:tcBorders>
              <w:left w:val="single" w:sz="4" w:space="0" w:color="000000"/>
              <w:right w:val="single" w:sz="4" w:space="0" w:color="000000"/>
            </w:tcBorders>
            <w:shd w:val="clear" w:color="auto" w:fill="F1F1F1"/>
          </w:tcPr>
          <w:p>
            <w:pPr>
              <w:pStyle w:val="TableParagraph"/>
              <w:spacing w:line="360" w:lineRule="auto" w:before="175"/>
              <w:ind w:left="151" w:right="125" w:hanging="24"/>
              <w:jc w:val="both"/>
              <w:rPr>
                <w:sz w:val="28"/>
              </w:rPr>
            </w:pPr>
            <w:r>
              <w:rPr>
                <w:sz w:val="28"/>
              </w:rPr>
              <w:t>G S 3</w:t>
            </w:r>
          </w:p>
        </w:tc>
        <w:tc>
          <w:tcPr>
            <w:tcW w:w="5490" w:type="dxa"/>
            <w:tcBorders>
              <w:left w:val="single" w:sz="4" w:space="0" w:color="000000"/>
            </w:tcBorders>
          </w:tcPr>
          <w:p>
            <w:pPr/>
          </w:p>
        </w:tc>
        <w:tc>
          <w:tcPr>
            <w:tcW w:w="778" w:type="dxa"/>
          </w:tcPr>
          <w:p>
            <w:pPr/>
          </w:p>
        </w:tc>
        <w:tc>
          <w:tcPr>
            <w:tcW w:w="797" w:type="dxa"/>
          </w:tcPr>
          <w:p>
            <w:pPr/>
          </w:p>
        </w:tc>
        <w:tc>
          <w:tcPr>
            <w:tcW w:w="812" w:type="dxa"/>
          </w:tcPr>
          <w:p>
            <w:pPr/>
          </w:p>
        </w:tc>
        <w:tc>
          <w:tcPr>
            <w:tcW w:w="774" w:type="dxa"/>
          </w:tcPr>
          <w:p>
            <w:pPr/>
          </w:p>
        </w:tc>
        <w:tc>
          <w:tcPr>
            <w:tcW w:w="802" w:type="dxa"/>
          </w:tcPr>
          <w:p>
            <w:pPr/>
          </w:p>
        </w:tc>
      </w:tr>
      <w:tr>
        <w:trPr>
          <w:trHeight w:val="683" w:hRule="exact"/>
        </w:trPr>
        <w:tc>
          <w:tcPr>
            <w:tcW w:w="467" w:type="dxa"/>
            <w:tcBorders>
              <w:left w:val="single" w:sz="4" w:space="0" w:color="000000"/>
              <w:right w:val="single" w:sz="4" w:space="0" w:color="000000"/>
            </w:tcBorders>
            <w:shd w:val="clear" w:color="auto" w:fill="F1F1F1"/>
          </w:tcPr>
          <w:p>
            <w:pPr/>
          </w:p>
        </w:tc>
        <w:tc>
          <w:tcPr>
            <w:tcW w:w="5490" w:type="dxa"/>
            <w:vMerge w:val="restart"/>
            <w:tcBorders>
              <w:left w:val="single" w:sz="4" w:space="0" w:color="000000"/>
            </w:tcBorders>
          </w:tcPr>
          <w:p>
            <w:pPr>
              <w:pStyle w:val="TableParagraph"/>
              <w:spacing w:line="360" w:lineRule="auto" w:before="175"/>
              <w:ind w:left="334"/>
              <w:rPr>
                <w:sz w:val="28"/>
              </w:rPr>
            </w:pPr>
            <w:r>
              <w:rPr>
                <w:sz w:val="28"/>
              </w:rPr>
              <w:t>Моя семья воспринимает мою болезнь такой, какая она есть</w:t>
            </w:r>
            <w:r>
              <w:rPr>
                <w:spacing w:val="-45"/>
                <w:sz w:val="28"/>
              </w:rPr>
              <w:t> </w:t>
            </w:r>
            <w:r>
              <w:rPr>
                <w:sz w:val="28"/>
              </w:rPr>
              <w:t>.....................................</w:t>
            </w:r>
          </w:p>
        </w:tc>
        <w:tc>
          <w:tcPr>
            <w:tcW w:w="778" w:type="dxa"/>
          </w:tcPr>
          <w:p>
            <w:pPr>
              <w:pStyle w:val="TableParagraph"/>
              <w:spacing w:before="175"/>
              <w:ind w:right="13"/>
              <w:jc w:val="center"/>
              <w:rPr>
                <w:sz w:val="28"/>
              </w:rPr>
            </w:pPr>
            <w:r>
              <w:rPr>
                <w:w w:val="100"/>
                <w:sz w:val="28"/>
              </w:rPr>
              <w:t>0</w:t>
            </w:r>
          </w:p>
        </w:tc>
        <w:tc>
          <w:tcPr>
            <w:tcW w:w="797" w:type="dxa"/>
          </w:tcPr>
          <w:p>
            <w:pPr>
              <w:pStyle w:val="TableParagraph"/>
              <w:spacing w:before="175"/>
              <w:ind w:right="328"/>
              <w:jc w:val="right"/>
              <w:rPr>
                <w:sz w:val="28"/>
              </w:rPr>
            </w:pPr>
            <w:r>
              <w:rPr>
                <w:w w:val="100"/>
                <w:sz w:val="28"/>
              </w:rPr>
              <w:t>1</w:t>
            </w:r>
          </w:p>
        </w:tc>
        <w:tc>
          <w:tcPr>
            <w:tcW w:w="812" w:type="dxa"/>
          </w:tcPr>
          <w:p>
            <w:pPr>
              <w:pStyle w:val="TableParagraph"/>
              <w:spacing w:before="175"/>
              <w:ind w:left="321"/>
              <w:rPr>
                <w:sz w:val="28"/>
              </w:rPr>
            </w:pPr>
            <w:r>
              <w:rPr>
                <w:w w:val="100"/>
                <w:sz w:val="28"/>
              </w:rPr>
              <w:t>2</w:t>
            </w:r>
          </w:p>
        </w:tc>
        <w:tc>
          <w:tcPr>
            <w:tcW w:w="774" w:type="dxa"/>
          </w:tcPr>
          <w:p>
            <w:pPr>
              <w:pStyle w:val="TableParagraph"/>
              <w:spacing w:before="175"/>
              <w:ind w:left="301"/>
              <w:rPr>
                <w:sz w:val="28"/>
              </w:rPr>
            </w:pPr>
            <w:r>
              <w:rPr>
                <w:w w:val="100"/>
                <w:sz w:val="28"/>
              </w:rPr>
              <w:t>3</w:t>
            </w:r>
          </w:p>
        </w:tc>
        <w:tc>
          <w:tcPr>
            <w:tcW w:w="802" w:type="dxa"/>
          </w:tcPr>
          <w:p>
            <w:pPr>
              <w:pStyle w:val="TableParagraph"/>
              <w:spacing w:before="175"/>
              <w:ind w:right="20"/>
              <w:jc w:val="center"/>
              <w:rPr>
                <w:sz w:val="28"/>
              </w:rPr>
            </w:pPr>
            <w:r>
              <w:rPr>
                <w:w w:val="100"/>
                <w:sz w:val="28"/>
              </w:rPr>
              <w:t>4</w:t>
            </w:r>
          </w:p>
        </w:tc>
      </w:tr>
      <w:tr>
        <w:trPr>
          <w:trHeight w:val="1749" w:hRule="exact"/>
        </w:trPr>
        <w:tc>
          <w:tcPr>
            <w:tcW w:w="467" w:type="dxa"/>
            <w:tcBorders>
              <w:left w:val="single" w:sz="4" w:space="0" w:color="000000"/>
              <w:right w:val="single" w:sz="4" w:space="0" w:color="000000"/>
            </w:tcBorders>
            <w:shd w:val="clear" w:color="auto" w:fill="F1F1F1"/>
          </w:tcPr>
          <w:p>
            <w:pPr>
              <w:pStyle w:val="TableParagraph"/>
              <w:spacing w:line="360" w:lineRule="auto" w:before="174"/>
              <w:ind w:left="151" w:right="125" w:hanging="24"/>
              <w:jc w:val="both"/>
              <w:rPr>
                <w:sz w:val="28"/>
              </w:rPr>
            </w:pPr>
            <w:r>
              <w:rPr>
                <w:sz w:val="28"/>
              </w:rPr>
              <w:t>G S 4</w:t>
            </w:r>
          </w:p>
        </w:tc>
        <w:tc>
          <w:tcPr>
            <w:tcW w:w="5490" w:type="dxa"/>
            <w:vMerge/>
            <w:tcBorders>
              <w:left w:val="single" w:sz="4" w:space="0" w:color="000000"/>
            </w:tcBorders>
          </w:tcPr>
          <w:p>
            <w:pPr/>
          </w:p>
        </w:tc>
        <w:tc>
          <w:tcPr>
            <w:tcW w:w="778" w:type="dxa"/>
          </w:tcPr>
          <w:p>
            <w:pPr/>
          </w:p>
        </w:tc>
        <w:tc>
          <w:tcPr>
            <w:tcW w:w="797" w:type="dxa"/>
          </w:tcPr>
          <w:p>
            <w:pPr/>
          </w:p>
        </w:tc>
        <w:tc>
          <w:tcPr>
            <w:tcW w:w="812" w:type="dxa"/>
          </w:tcPr>
          <w:p>
            <w:pPr/>
          </w:p>
        </w:tc>
        <w:tc>
          <w:tcPr>
            <w:tcW w:w="774" w:type="dxa"/>
          </w:tcPr>
          <w:p>
            <w:pPr/>
          </w:p>
        </w:tc>
        <w:tc>
          <w:tcPr>
            <w:tcW w:w="802" w:type="dxa"/>
          </w:tcPr>
          <w:p>
            <w:pPr/>
          </w:p>
        </w:tc>
      </w:tr>
      <w:tr>
        <w:trPr>
          <w:trHeight w:val="2415" w:hRule="exact"/>
        </w:trPr>
        <w:tc>
          <w:tcPr>
            <w:tcW w:w="467" w:type="dxa"/>
            <w:tcBorders>
              <w:left w:val="single" w:sz="4" w:space="0" w:color="000000"/>
              <w:right w:val="single" w:sz="4" w:space="0" w:color="000000"/>
            </w:tcBorders>
            <w:shd w:val="clear" w:color="auto" w:fill="F1F1F1"/>
          </w:tcPr>
          <w:p>
            <w:pPr>
              <w:pStyle w:val="TableParagraph"/>
              <w:rPr>
                <w:sz w:val="30"/>
              </w:rPr>
            </w:pPr>
          </w:p>
          <w:p>
            <w:pPr>
              <w:pStyle w:val="TableParagraph"/>
              <w:spacing w:before="11"/>
              <w:rPr>
                <w:sz w:val="35"/>
              </w:rPr>
            </w:pPr>
          </w:p>
          <w:p>
            <w:pPr>
              <w:pStyle w:val="TableParagraph"/>
              <w:spacing w:line="360" w:lineRule="auto"/>
              <w:ind w:left="151" w:right="125" w:hanging="24"/>
              <w:jc w:val="both"/>
              <w:rPr>
                <w:sz w:val="28"/>
              </w:rPr>
            </w:pPr>
            <w:r>
              <w:rPr>
                <w:sz w:val="28"/>
              </w:rPr>
              <w:t>G S 5</w:t>
            </w:r>
          </w:p>
        </w:tc>
        <w:tc>
          <w:tcPr>
            <w:tcW w:w="5490" w:type="dxa"/>
            <w:tcBorders>
              <w:left w:val="single" w:sz="4" w:space="0" w:color="000000"/>
            </w:tcBorders>
          </w:tcPr>
          <w:p>
            <w:pPr>
              <w:pStyle w:val="TableParagraph"/>
              <w:spacing w:before="9"/>
              <w:rPr>
                <w:sz w:val="23"/>
              </w:rPr>
            </w:pPr>
          </w:p>
          <w:p>
            <w:pPr>
              <w:pStyle w:val="TableParagraph"/>
              <w:spacing w:line="362" w:lineRule="auto"/>
              <w:ind w:left="334" w:right="348"/>
              <w:rPr>
                <w:sz w:val="28"/>
              </w:rPr>
            </w:pPr>
            <w:r>
              <w:rPr>
                <w:sz w:val="28"/>
              </w:rPr>
              <w:t>Мы свободно говорим о моей болезни в кругу семьи</w:t>
            </w:r>
          </w:p>
        </w:tc>
        <w:tc>
          <w:tcPr>
            <w:tcW w:w="778" w:type="dxa"/>
          </w:tcPr>
          <w:p>
            <w:pPr>
              <w:pStyle w:val="TableParagraph"/>
              <w:rPr>
                <w:sz w:val="30"/>
              </w:rPr>
            </w:pPr>
          </w:p>
          <w:p>
            <w:pPr>
              <w:pStyle w:val="TableParagraph"/>
              <w:rPr>
                <w:sz w:val="30"/>
              </w:rPr>
            </w:pPr>
          </w:p>
          <w:p>
            <w:pPr>
              <w:pStyle w:val="TableParagraph"/>
              <w:spacing w:before="210"/>
              <w:ind w:right="13"/>
              <w:jc w:val="center"/>
              <w:rPr>
                <w:sz w:val="28"/>
              </w:rPr>
            </w:pPr>
            <w:r>
              <w:rPr>
                <w:w w:val="100"/>
                <w:sz w:val="28"/>
              </w:rPr>
              <w:t>0</w:t>
            </w:r>
          </w:p>
        </w:tc>
        <w:tc>
          <w:tcPr>
            <w:tcW w:w="797" w:type="dxa"/>
          </w:tcPr>
          <w:p>
            <w:pPr>
              <w:pStyle w:val="TableParagraph"/>
              <w:rPr>
                <w:sz w:val="30"/>
              </w:rPr>
            </w:pPr>
          </w:p>
          <w:p>
            <w:pPr>
              <w:pStyle w:val="TableParagraph"/>
              <w:rPr>
                <w:sz w:val="30"/>
              </w:rPr>
            </w:pPr>
          </w:p>
          <w:p>
            <w:pPr>
              <w:pStyle w:val="TableParagraph"/>
              <w:spacing w:before="210"/>
              <w:ind w:right="328"/>
              <w:jc w:val="right"/>
              <w:rPr>
                <w:sz w:val="28"/>
              </w:rPr>
            </w:pPr>
            <w:r>
              <w:rPr>
                <w:w w:val="100"/>
                <w:sz w:val="28"/>
              </w:rPr>
              <w:t>1</w:t>
            </w:r>
          </w:p>
        </w:tc>
        <w:tc>
          <w:tcPr>
            <w:tcW w:w="812" w:type="dxa"/>
          </w:tcPr>
          <w:p>
            <w:pPr>
              <w:pStyle w:val="TableParagraph"/>
              <w:rPr>
                <w:sz w:val="30"/>
              </w:rPr>
            </w:pPr>
          </w:p>
          <w:p>
            <w:pPr>
              <w:pStyle w:val="TableParagraph"/>
              <w:rPr>
                <w:sz w:val="30"/>
              </w:rPr>
            </w:pPr>
          </w:p>
          <w:p>
            <w:pPr>
              <w:pStyle w:val="TableParagraph"/>
              <w:spacing w:before="210"/>
              <w:ind w:left="321"/>
              <w:rPr>
                <w:sz w:val="28"/>
              </w:rPr>
            </w:pPr>
            <w:r>
              <w:rPr>
                <w:w w:val="100"/>
                <w:sz w:val="28"/>
              </w:rPr>
              <w:t>2</w:t>
            </w:r>
          </w:p>
        </w:tc>
        <w:tc>
          <w:tcPr>
            <w:tcW w:w="774" w:type="dxa"/>
          </w:tcPr>
          <w:p>
            <w:pPr>
              <w:pStyle w:val="TableParagraph"/>
              <w:rPr>
                <w:sz w:val="30"/>
              </w:rPr>
            </w:pPr>
          </w:p>
          <w:p>
            <w:pPr>
              <w:pStyle w:val="TableParagraph"/>
              <w:rPr>
                <w:sz w:val="30"/>
              </w:rPr>
            </w:pPr>
          </w:p>
          <w:p>
            <w:pPr>
              <w:pStyle w:val="TableParagraph"/>
              <w:spacing w:before="210"/>
              <w:ind w:left="301"/>
              <w:rPr>
                <w:sz w:val="28"/>
              </w:rPr>
            </w:pPr>
            <w:r>
              <w:rPr>
                <w:w w:val="100"/>
                <w:sz w:val="28"/>
              </w:rPr>
              <w:t>3</w:t>
            </w:r>
          </w:p>
        </w:tc>
        <w:tc>
          <w:tcPr>
            <w:tcW w:w="802" w:type="dxa"/>
          </w:tcPr>
          <w:p>
            <w:pPr>
              <w:pStyle w:val="TableParagraph"/>
              <w:rPr>
                <w:sz w:val="30"/>
              </w:rPr>
            </w:pPr>
          </w:p>
          <w:p>
            <w:pPr>
              <w:pStyle w:val="TableParagraph"/>
              <w:rPr>
                <w:sz w:val="30"/>
              </w:rPr>
            </w:pPr>
          </w:p>
          <w:p>
            <w:pPr>
              <w:pStyle w:val="TableParagraph"/>
              <w:spacing w:before="210"/>
              <w:ind w:right="20"/>
              <w:jc w:val="center"/>
              <w:rPr>
                <w:sz w:val="28"/>
              </w:rPr>
            </w:pPr>
            <w:r>
              <w:rPr>
                <w:w w:val="100"/>
                <w:sz w:val="28"/>
              </w:rPr>
              <w:t>4</w:t>
            </w:r>
          </w:p>
        </w:tc>
      </w:tr>
    </w:tbl>
    <w:p>
      <w:pPr>
        <w:spacing w:after="0"/>
        <w:jc w:val="center"/>
        <w:rPr>
          <w:sz w:val="28"/>
        </w:rPr>
        <w:sectPr>
          <w:pgSz w:w="11900" w:h="16850"/>
          <w:pgMar w:header="712" w:footer="0" w:top="1020" w:bottom="280" w:left="1580" w:right="160"/>
        </w:sectPr>
      </w:pPr>
    </w:p>
    <w:p>
      <w:pPr>
        <w:pStyle w:val="BodyText"/>
        <w:rPr>
          <w:sz w:val="20"/>
        </w:rPr>
      </w:pPr>
    </w:p>
    <w:p>
      <w:pPr>
        <w:pStyle w:val="BodyText"/>
        <w:rPr>
          <w:sz w:val="20"/>
        </w:rPr>
      </w:pPr>
    </w:p>
    <w:p>
      <w:pPr>
        <w:spacing w:after="0"/>
        <w:rPr>
          <w:sz w:val="20"/>
        </w:rPr>
        <w:sectPr>
          <w:pgSz w:w="11900" w:h="16850"/>
          <w:pgMar w:header="712" w:footer="0" w:top="1020" w:bottom="280" w:left="1500" w:right="520"/>
        </w:sectPr>
      </w:pPr>
    </w:p>
    <w:p>
      <w:pPr>
        <w:pStyle w:val="BodyText"/>
        <w:spacing w:line="360" w:lineRule="auto" w:before="224"/>
        <w:ind w:left="1008"/>
      </w:pPr>
      <w:r>
        <w:rPr/>
        <w:pict>
          <v:group style="position:absolute;margin-left:84.853996pt;margin-top:-22.799692pt;width:23.9pt;height:326.75pt;mso-position-horizontal-relative:page;mso-position-vertical-relative:paragraph;z-index:7048" coordorigin="1697,-456" coordsize="478,6535">
            <v:shape style="position:absolute;left:1707;top:-451;width:456;height:3015" coordorigin="1707,-451" coordsize="456,3015" path="m2163,1880l2163,-451,2060,-451,1810,-451,1810,231,1810,713,1810,1198,1810,1880,1810,-451,1707,-451,1707,1880,1707,2564,2163,2564,2163,1880e" filled="true" fillcolor="#f1f1f1" stroked="false">
              <v:path arrowok="t"/>
              <v:fill type="solid"/>
            </v:shape>
            <v:line style="position:absolute" from="1702,-451" to="1702,2564" stroked="true" strokeweight=".48pt" strokecolor="#000000">
              <v:stroke dashstyle="solid"/>
            </v:line>
            <v:line style="position:absolute" from="2170,-451" to="2170,2564" stroked="true" strokeweight=".48pt" strokecolor="#000000">
              <v:stroke dashstyle="solid"/>
            </v:line>
            <v:shape style="position:absolute;left:1707;top:2564;width:456;height:1311" coordorigin="1707,2564" coordsize="456,1311" path="m1810,2564l1707,2564,1707,3875,1810,3875,1810,2564m2163,2564l2060,2564,2060,2564,1810,2564,1810,3245,2060,3245,2060,3246,1810,3246,1810,3731,1810,3875,2060,3875,2060,3875,2163,3875,2163,2564e" filled="true" fillcolor="#f1f1f1" stroked="false">
              <v:path arrowok="t"/>
              <v:fill type="solid"/>
            </v:shape>
            <v:line style="position:absolute" from="1702,2564" to="1702,3875" stroked="true" strokeweight=".48pt" strokecolor="#000000">
              <v:stroke dashstyle="solid"/>
            </v:line>
            <v:line style="position:absolute" from="2170,2564" to="2170,3875" stroked="true" strokeweight=".48pt" strokecolor="#000000">
              <v:stroke dashstyle="solid"/>
            </v:line>
            <v:shape style="position:absolute;left:1707;top:3875;width:456;height:2189" coordorigin="1707,3875" coordsize="456,2189" path="m1810,3875l1707,3875,1707,6064,1810,6064,1810,3875m2163,3875l2060,3875,2060,3875,1810,3875,1810,4559,1810,5041,2060,5041,2060,5041,1810,5041,1810,5524,1810,6064,2060,6064,2060,6064,2163,6064,2163,3875e" filled="true" fillcolor="#f1f1f1" stroked="false">
              <v:path arrowok="t"/>
              <v:fill type="solid"/>
            </v:shape>
            <v:line style="position:absolute" from="1702,3875" to="1702,6073" stroked="true" strokeweight=".48pt" strokecolor="#000000">
              <v:stroke dashstyle="solid"/>
            </v:line>
            <v:line style="position:absolute" from="1707,6068" to="2165,6068" stroked="true" strokeweight=".48001pt" strokecolor="#000000">
              <v:stroke dashstyle="solid"/>
            </v:line>
            <v:line style="position:absolute" from="2170,3875" to="2170,6073" stroked="true" strokeweight=".48pt" strokecolor="#000000">
              <v:stroke dashstyle="solid"/>
            </v:line>
            <v:shape style="position:absolute;left:1702;top:-451;width:467;height:6520" type="#_x0000_t202" filled="false" stroked="false">
              <v:textbox inset="0,0,0,0">
                <w:txbxContent>
                  <w:p>
                    <w:pPr>
                      <w:spacing w:line="240" w:lineRule="auto" w:before="0"/>
                      <w:rPr>
                        <w:sz w:val="30"/>
                      </w:rPr>
                    </w:pPr>
                  </w:p>
                  <w:p>
                    <w:pPr>
                      <w:spacing w:line="240" w:lineRule="auto" w:before="8"/>
                      <w:rPr>
                        <w:sz w:val="28"/>
                      </w:rPr>
                    </w:pPr>
                  </w:p>
                  <w:p>
                    <w:pPr>
                      <w:spacing w:line="360" w:lineRule="auto" w:before="0"/>
                      <w:ind w:left="131" w:right="130" w:firstLine="0"/>
                      <w:jc w:val="both"/>
                      <w:rPr>
                        <w:sz w:val="28"/>
                      </w:rPr>
                    </w:pPr>
                    <w:r>
                      <w:rPr>
                        <w:sz w:val="28"/>
                      </w:rPr>
                      <w:t>G S 6</w:t>
                    </w: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before="190"/>
                      <w:ind w:left="131" w:right="0" w:firstLine="0"/>
                      <w:jc w:val="both"/>
                      <w:rPr>
                        <w:sz w:val="28"/>
                      </w:rPr>
                    </w:pPr>
                    <w:r>
                      <w:rPr>
                        <w:w w:val="100"/>
                        <w:sz w:val="28"/>
                      </w:rPr>
                      <w:t>Q</w:t>
                    </w:r>
                  </w:p>
                  <w:p>
                    <w:pPr>
                      <w:spacing w:line="240" w:lineRule="auto" w:before="0"/>
                      <w:rPr>
                        <w:sz w:val="30"/>
                      </w:rPr>
                    </w:pPr>
                  </w:p>
                  <w:p>
                    <w:pPr>
                      <w:spacing w:line="240" w:lineRule="auto" w:before="0"/>
                      <w:rPr>
                        <w:sz w:val="30"/>
                      </w:rPr>
                    </w:pPr>
                  </w:p>
                  <w:p>
                    <w:pPr>
                      <w:spacing w:line="240" w:lineRule="auto" w:before="1"/>
                      <w:rPr>
                        <w:sz w:val="26"/>
                      </w:rPr>
                    </w:pPr>
                  </w:p>
                  <w:p>
                    <w:pPr>
                      <w:spacing w:line="360" w:lineRule="auto" w:before="0"/>
                      <w:ind w:left="155" w:right="130" w:hanging="24"/>
                      <w:jc w:val="both"/>
                      <w:rPr>
                        <w:sz w:val="28"/>
                      </w:rPr>
                    </w:pPr>
                    <w:r>
                      <w:rPr>
                        <w:sz w:val="28"/>
                      </w:rPr>
                      <w:t>G S 7</w:t>
                    </w:r>
                  </w:p>
                </w:txbxContent>
              </v:textbox>
              <w10:wrap type="none"/>
            </v:shape>
            <w10:wrap type="none"/>
          </v:group>
        </w:pict>
      </w:r>
      <w:r>
        <w:rPr/>
        <w:t>Я чувствую близость с женой/мужем или человеком, который является для меня главной опорой</w:t>
      </w:r>
      <w:r>
        <w:rPr>
          <w:spacing w:val="-45"/>
        </w:rPr>
        <w:t> </w:t>
      </w:r>
      <w:r>
        <w:rPr/>
        <w:t>..............................................</w:t>
      </w:r>
    </w:p>
    <w:p>
      <w:pPr>
        <w:pStyle w:val="BodyText"/>
        <w:rPr>
          <w:sz w:val="30"/>
        </w:rPr>
      </w:pPr>
      <w:r>
        <w:rPr/>
        <w:br w:type="column"/>
      </w:r>
      <w:r>
        <w:rPr>
          <w:sz w:val="30"/>
        </w:rPr>
      </w:r>
    </w:p>
    <w:p>
      <w:pPr>
        <w:pStyle w:val="BodyText"/>
        <w:spacing w:before="4"/>
        <w:rPr>
          <w:sz w:val="31"/>
        </w:rPr>
      </w:pPr>
    </w:p>
    <w:p>
      <w:pPr>
        <w:pStyle w:val="BodyText"/>
        <w:tabs>
          <w:tab w:pos="1063" w:val="left" w:leader="none"/>
          <w:tab w:pos="1856" w:val="left" w:leader="none"/>
          <w:tab w:pos="2648" w:val="left" w:leader="none"/>
          <w:tab w:pos="3440" w:val="left" w:leader="none"/>
        </w:tabs>
        <w:spacing w:before="1"/>
        <w:ind w:left="271"/>
      </w:pPr>
      <w:r>
        <w:rPr/>
        <w:t>0</w:t>
        <w:tab/>
        <w:t>1</w:t>
        <w:tab/>
        <w:t>2</w:t>
        <w:tab/>
        <w:t>3</w:t>
        <w:tab/>
        <w:t>4</w:t>
      </w:r>
    </w:p>
    <w:p>
      <w:pPr>
        <w:spacing w:after="0"/>
        <w:sectPr>
          <w:type w:val="continuous"/>
          <w:pgSz w:w="11900" w:h="16850"/>
          <w:pgMar w:top="1020" w:bottom="280" w:left="1500" w:right="520"/>
          <w:cols w:num="2" w:equalWidth="0">
            <w:col w:w="6158" w:space="40"/>
            <w:col w:w="3682"/>
          </w:cols>
        </w:sectPr>
      </w:pPr>
    </w:p>
    <w:p>
      <w:pPr>
        <w:pStyle w:val="BodyText"/>
        <w:rPr>
          <w:sz w:val="20"/>
        </w:rPr>
      </w:pPr>
    </w:p>
    <w:p>
      <w:pPr>
        <w:pStyle w:val="BodyText"/>
        <w:rPr>
          <w:sz w:val="20"/>
        </w:rPr>
      </w:pPr>
    </w:p>
    <w:p>
      <w:pPr>
        <w:pStyle w:val="BodyText"/>
        <w:spacing w:before="6"/>
        <w:rPr>
          <w:sz w:val="29"/>
        </w:rPr>
      </w:pPr>
    </w:p>
    <w:p>
      <w:pPr>
        <w:spacing w:after="0"/>
        <w:rPr>
          <w:sz w:val="29"/>
        </w:rPr>
        <w:sectPr>
          <w:type w:val="continuous"/>
          <w:pgSz w:w="11900" w:h="16850"/>
          <w:pgMar w:top="1020" w:bottom="280" w:left="1500" w:right="520"/>
        </w:sectPr>
      </w:pPr>
    </w:p>
    <w:p>
      <w:pPr>
        <w:pStyle w:val="BodyText"/>
        <w:spacing w:line="360" w:lineRule="auto" w:before="89"/>
        <w:ind w:left="775"/>
        <w:jc w:val="both"/>
      </w:pPr>
      <w:r>
        <w:rPr/>
        <w:t>Независимо от Вашего нынешнего уровня половой активности, пожалуйста,</w:t>
      </w:r>
      <w:r>
        <w:rPr>
          <w:spacing w:val="-13"/>
        </w:rPr>
        <w:t> </w:t>
      </w:r>
      <w:r>
        <w:rPr/>
        <w:t>ответьте на следующий вопрос. Если</w:t>
      </w:r>
      <w:r>
        <w:rPr>
          <w:spacing w:val="-7"/>
        </w:rPr>
        <w:t> </w:t>
      </w:r>
      <w:r>
        <w:rPr/>
        <w:t>Вы</w:t>
      </w:r>
    </w:p>
    <w:p>
      <w:pPr>
        <w:pStyle w:val="BodyText"/>
        <w:rPr>
          <w:sz w:val="30"/>
        </w:rPr>
      </w:pPr>
      <w:r>
        <w:rPr/>
        <w:br w:type="column"/>
      </w:r>
      <w:r>
        <w:rPr>
          <w:sz w:val="30"/>
        </w:rPr>
      </w:r>
    </w:p>
    <w:p>
      <w:pPr>
        <w:pStyle w:val="BodyText"/>
        <w:rPr>
          <w:sz w:val="30"/>
        </w:rPr>
      </w:pPr>
    </w:p>
    <w:p>
      <w:pPr>
        <w:pStyle w:val="BodyText"/>
        <w:rPr>
          <w:sz w:val="30"/>
        </w:rPr>
      </w:pPr>
    </w:p>
    <w:p>
      <w:pPr>
        <w:pStyle w:val="BodyText"/>
        <w:spacing w:before="8"/>
        <w:rPr>
          <w:sz w:val="31"/>
        </w:rPr>
      </w:pPr>
    </w:p>
    <w:p>
      <w:pPr>
        <w:pStyle w:val="BodyText"/>
        <w:tabs>
          <w:tab w:pos="1332" w:val="left" w:leader="none"/>
          <w:tab w:pos="2124" w:val="left" w:leader="none"/>
          <w:tab w:pos="2916" w:val="left" w:leader="none"/>
          <w:tab w:pos="3708" w:val="left" w:leader="none"/>
        </w:tabs>
        <w:spacing w:before="1"/>
        <w:ind w:left="540"/>
      </w:pPr>
      <w:r>
        <w:rPr/>
        <w:t>0</w:t>
        <w:tab/>
        <w:t>1</w:t>
        <w:tab/>
        <w:t>2</w:t>
        <w:tab/>
        <w:t>3</w:t>
        <w:tab/>
        <w:t>4</w:t>
      </w:r>
    </w:p>
    <w:p>
      <w:pPr>
        <w:spacing w:after="0"/>
        <w:sectPr>
          <w:type w:val="continuous"/>
          <w:pgSz w:w="11900" w:h="16850"/>
          <w:pgMar w:top="1020" w:bottom="280" w:left="1500" w:right="520"/>
          <w:cols w:num="2" w:equalWidth="0">
            <w:col w:w="5890" w:space="40"/>
            <w:col w:w="3950"/>
          </w:cols>
        </w:sectPr>
      </w:pPr>
    </w:p>
    <w:p>
      <w:pPr>
        <w:pStyle w:val="BodyText"/>
        <w:spacing w:before="8"/>
        <w:rPr>
          <w:sz w:val="23"/>
        </w:rPr>
      </w:pPr>
    </w:p>
    <w:p>
      <w:pPr>
        <w:pStyle w:val="BodyText"/>
        <w:spacing w:before="89"/>
        <w:ind w:left="775"/>
      </w:pPr>
      <w:r>
        <w:rPr/>
        <w:t>Я удовлетворен(-а) моей половой жизнью.....</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1"/>
        <w:spacing w:before="89"/>
        <w:ind w:left="3176"/>
      </w:pPr>
      <w:r>
        <w:rPr/>
        <w:t>FACT-G (Version 4)</w:t>
      </w:r>
    </w:p>
    <w:p>
      <w:pPr>
        <w:pStyle w:val="BodyText"/>
        <w:spacing w:before="2"/>
        <w:rPr>
          <w:b/>
          <w:sz w:val="31"/>
        </w:rPr>
      </w:pPr>
    </w:p>
    <w:p>
      <w:pPr>
        <w:tabs>
          <w:tab w:pos="2012" w:val="left" w:leader="none"/>
          <w:tab w:pos="3420" w:val="left" w:leader="none"/>
          <w:tab w:pos="5025" w:val="left" w:leader="none"/>
          <w:tab w:pos="6208" w:val="left" w:leader="none"/>
        </w:tabs>
        <w:spacing w:line="362" w:lineRule="auto" w:before="1"/>
        <w:ind w:left="110" w:right="2044" w:firstLine="0"/>
        <w:jc w:val="left"/>
        <w:rPr>
          <w:b/>
          <w:sz w:val="28"/>
        </w:rPr>
      </w:pPr>
      <w:r>
        <w:rPr>
          <w:b/>
          <w:sz w:val="28"/>
        </w:rPr>
        <w:t>Пожалуйста,</w:t>
        <w:tab/>
        <w:t>укажите,</w:t>
        <w:tab/>
        <w:t>насколько</w:t>
        <w:tab/>
        <w:t>каждое</w:t>
        <w:tab/>
      </w:r>
      <w:r>
        <w:rPr>
          <w:b/>
          <w:spacing w:val="-1"/>
          <w:sz w:val="28"/>
        </w:rPr>
        <w:t>утверждение </w:t>
      </w:r>
      <w:r>
        <w:rPr>
          <w:b/>
          <w:sz w:val="28"/>
        </w:rPr>
        <w:t>отражает Вашу</w:t>
      </w:r>
      <w:r>
        <w:rPr>
          <w:b/>
          <w:spacing w:val="-10"/>
          <w:sz w:val="28"/>
        </w:rPr>
        <w:t> </w:t>
      </w:r>
      <w:r>
        <w:rPr>
          <w:b/>
          <w:sz w:val="28"/>
        </w:rPr>
        <w:t>ситуацию:</w:t>
      </w:r>
    </w:p>
    <w:p>
      <w:pPr>
        <w:spacing w:before="197"/>
        <w:ind w:left="202" w:right="0" w:firstLine="0"/>
        <w:jc w:val="both"/>
        <w:rPr>
          <w:sz w:val="28"/>
        </w:rPr>
      </w:pPr>
      <w:r>
        <w:rPr>
          <w:b/>
          <w:sz w:val="28"/>
        </w:rPr>
        <w:t>до хирургического лечения</w:t>
      </w:r>
      <w:r>
        <w:rPr>
          <w:sz w:val="28"/>
        </w:rPr>
        <w:t>,</w:t>
      </w:r>
    </w:p>
    <w:p>
      <w:pPr>
        <w:pStyle w:val="BodyText"/>
        <w:spacing w:before="4"/>
        <w:rPr>
          <w:sz w:val="24"/>
        </w:rPr>
      </w:pPr>
    </w:p>
    <w:p>
      <w:pPr>
        <w:spacing w:line="448" w:lineRule="auto" w:before="0"/>
        <w:ind w:left="202" w:right="3985" w:firstLine="0"/>
        <w:jc w:val="both"/>
        <w:rPr>
          <w:sz w:val="28"/>
        </w:rPr>
      </w:pPr>
      <w:r>
        <w:rPr>
          <w:b/>
          <w:sz w:val="28"/>
        </w:rPr>
        <w:t>через 1 неделю </w:t>
      </w:r>
      <w:r>
        <w:rPr>
          <w:sz w:val="28"/>
        </w:rPr>
        <w:t>после хирургического лечения, </w:t>
      </w:r>
      <w:r>
        <w:rPr>
          <w:b/>
          <w:sz w:val="28"/>
        </w:rPr>
        <w:t>через 2 недели </w:t>
      </w:r>
      <w:r>
        <w:rPr>
          <w:sz w:val="28"/>
        </w:rPr>
        <w:t>после хирургического лечения, </w:t>
      </w:r>
      <w:r>
        <w:rPr>
          <w:b/>
          <w:sz w:val="28"/>
        </w:rPr>
        <w:t>через 6 недель </w:t>
      </w:r>
      <w:r>
        <w:rPr>
          <w:sz w:val="28"/>
        </w:rPr>
        <w:t>после хирургического лечения</w:t>
      </w:r>
    </w:p>
    <w:p>
      <w:pPr>
        <w:spacing w:after="0" w:line="448" w:lineRule="auto"/>
        <w:jc w:val="both"/>
        <w:rPr>
          <w:sz w:val="28"/>
        </w:rPr>
        <w:sectPr>
          <w:type w:val="continuous"/>
          <w:pgSz w:w="11900" w:h="16850"/>
          <w:pgMar w:top="1020" w:bottom="280" w:left="1500" w:right="520"/>
        </w:sectPr>
      </w:pPr>
    </w:p>
    <w:p>
      <w:pPr>
        <w:pStyle w:val="BodyText"/>
      </w:pPr>
    </w:p>
    <w:p>
      <w:pPr>
        <w:spacing w:line="333" w:lineRule="exact" w:before="167"/>
        <w:ind w:left="1021" w:right="0" w:firstLine="0"/>
        <w:jc w:val="left"/>
        <w:rPr>
          <w:rFonts w:ascii="Calibri" w:hAnsi="Calibri"/>
          <w:b/>
          <w:i/>
          <w:sz w:val="28"/>
        </w:rPr>
      </w:pPr>
      <w:r>
        <w:rPr/>
        <w:pict>
          <v:group style="position:absolute;margin-left:84.853996pt;margin-top:24.070053pt;width:23.9pt;height:584.050pt;mso-position-horizontal-relative:page;mso-position-vertical-relative:paragraph;z-index:7096" coordorigin="1697,481" coordsize="478,11681">
            <v:shape style="position:absolute;left:1707;top:496;width:459;height:2333" coordorigin="1707,496" coordsize="459,2333" path="m1810,496l1707,496,1707,2829,1810,2829,1810,496m2165,496l2062,496,2062,496,1810,496,1810,1180,1810,1662,1810,2145,1810,2829,2062,2829,2062,2829,2165,2829,2165,496e" filled="true" fillcolor="#f1f1f1" stroked="false">
              <v:path arrowok="t"/>
              <v:fill type="solid"/>
            </v:shape>
            <v:line style="position:absolute" from="1707,491" to="1716,491" stroked="true" strokeweight=".48pt" strokecolor="#000000">
              <v:stroke dashstyle="solid"/>
            </v:line>
            <v:line style="position:absolute" from="1716,491" to="2165,491" stroked="true" strokeweight=".48pt" strokecolor="#000000">
              <v:stroke dashstyle="solid"/>
            </v:line>
            <v:shape style="position:absolute;left:1707;top:2829;width:459;height:9328" coordorigin="1707,2829" coordsize="459,9328" path="m1810,9824l1707,9824,1707,12157,1810,12157,1810,9824m1810,2829l1707,2829,1707,5160,1707,7493,1707,9823,1810,9823,1810,7493,1810,5160,1810,2829m2165,9824l2062,9824,2062,9824,1810,9824,1810,10508,1810,10990,1810,11473,1810,12157,2062,12157,2062,12157,2165,12157,2165,9824m2165,2829l2062,2829,2062,2829,1810,2829,1810,3510,2062,3510,2062,3511,1810,3511,1810,3993,1810,4478,1810,5160,1810,5844,1810,6326,1810,6809,1810,6809,1810,7493,1810,8175,1810,8659,1810,9142,1810,9823,2062,9823,2062,9823,2165,9823,2165,7493,2165,5160,2165,2829e" filled="true" fillcolor="#f1f1f1" stroked="false">
              <v:path arrowok="t"/>
              <v:fill type="solid"/>
            </v:shape>
            <v:line style="position:absolute" from="1702,486" to="1702,12157" stroked="true" strokeweight=".48pt" strokecolor="#000000">
              <v:stroke dashstyle="solid"/>
            </v:line>
            <v:line style="position:absolute" from="2170,486" to="2170,12157" stroked="true" strokeweight=".48pt" strokecolor="#000000">
              <v:stroke dashstyle="solid"/>
            </v:line>
            <v:shape style="position:absolute;left:1702;top:491;width:468;height:11666" type="#_x0000_t202" filled="false" stroked="false">
              <v:textbox inset="0,0,0,0">
                <w:txbxContent>
                  <w:p>
                    <w:pPr>
                      <w:spacing w:line="240" w:lineRule="auto" w:before="0"/>
                      <w:rPr>
                        <w:sz w:val="30"/>
                      </w:rPr>
                    </w:pPr>
                  </w:p>
                  <w:p>
                    <w:pPr>
                      <w:spacing w:line="240" w:lineRule="auto" w:before="3"/>
                      <w:rPr>
                        <w:sz w:val="29"/>
                      </w:rPr>
                    </w:pPr>
                  </w:p>
                  <w:p>
                    <w:pPr>
                      <w:spacing w:line="360" w:lineRule="auto" w:before="0"/>
                      <w:ind w:left="131" w:right="131" w:firstLine="0"/>
                      <w:jc w:val="both"/>
                      <w:rPr>
                        <w:sz w:val="28"/>
                      </w:rPr>
                    </w:pPr>
                    <w:r>
                      <w:rPr>
                        <w:sz w:val="28"/>
                      </w:rPr>
                      <w:t>G E 1</w:t>
                    </w:r>
                  </w:p>
                  <w:p>
                    <w:pPr>
                      <w:spacing w:line="240" w:lineRule="auto" w:before="0"/>
                      <w:rPr>
                        <w:sz w:val="30"/>
                      </w:rPr>
                    </w:pPr>
                  </w:p>
                  <w:p>
                    <w:pPr>
                      <w:spacing w:line="240" w:lineRule="auto" w:before="0"/>
                      <w:rPr>
                        <w:sz w:val="30"/>
                      </w:rPr>
                    </w:pPr>
                  </w:p>
                  <w:p>
                    <w:pPr>
                      <w:spacing w:line="360" w:lineRule="auto" w:before="199"/>
                      <w:ind w:left="131" w:right="131" w:firstLine="0"/>
                      <w:jc w:val="both"/>
                      <w:rPr>
                        <w:sz w:val="28"/>
                      </w:rPr>
                    </w:pPr>
                    <w:r>
                      <w:rPr>
                        <w:sz w:val="28"/>
                      </w:rPr>
                      <w:t>G E 2</w:t>
                    </w:r>
                  </w:p>
                  <w:p>
                    <w:pPr>
                      <w:spacing w:line="240" w:lineRule="auto" w:before="0"/>
                      <w:rPr>
                        <w:sz w:val="30"/>
                      </w:rPr>
                    </w:pPr>
                  </w:p>
                  <w:p>
                    <w:pPr>
                      <w:spacing w:line="240" w:lineRule="auto" w:before="0"/>
                      <w:rPr>
                        <w:sz w:val="30"/>
                      </w:rPr>
                    </w:pPr>
                  </w:p>
                  <w:p>
                    <w:pPr>
                      <w:spacing w:line="360" w:lineRule="auto" w:before="198"/>
                      <w:ind w:left="131" w:right="131" w:firstLine="0"/>
                      <w:jc w:val="both"/>
                      <w:rPr>
                        <w:sz w:val="28"/>
                      </w:rPr>
                    </w:pPr>
                    <w:r>
                      <w:rPr>
                        <w:sz w:val="28"/>
                      </w:rPr>
                      <w:t>G E 3</w:t>
                    </w:r>
                  </w:p>
                  <w:p>
                    <w:pPr>
                      <w:spacing w:line="240" w:lineRule="auto" w:before="0"/>
                      <w:rPr>
                        <w:sz w:val="30"/>
                      </w:rPr>
                    </w:pPr>
                  </w:p>
                  <w:p>
                    <w:pPr>
                      <w:spacing w:line="240" w:lineRule="auto" w:before="0"/>
                      <w:rPr>
                        <w:sz w:val="30"/>
                      </w:rPr>
                    </w:pPr>
                  </w:p>
                  <w:p>
                    <w:pPr>
                      <w:spacing w:line="360" w:lineRule="auto" w:before="198"/>
                      <w:ind w:left="131" w:right="131" w:firstLine="0"/>
                      <w:jc w:val="both"/>
                      <w:rPr>
                        <w:sz w:val="28"/>
                      </w:rPr>
                    </w:pPr>
                    <w:r>
                      <w:rPr>
                        <w:sz w:val="28"/>
                      </w:rPr>
                      <w:t>G E 4</w:t>
                    </w:r>
                  </w:p>
                  <w:p>
                    <w:pPr>
                      <w:spacing w:line="240" w:lineRule="auto" w:before="0"/>
                      <w:rPr>
                        <w:sz w:val="30"/>
                      </w:rPr>
                    </w:pPr>
                  </w:p>
                  <w:p>
                    <w:pPr>
                      <w:spacing w:line="240" w:lineRule="auto" w:before="0"/>
                      <w:rPr>
                        <w:sz w:val="30"/>
                      </w:rPr>
                    </w:pPr>
                  </w:p>
                  <w:p>
                    <w:pPr>
                      <w:spacing w:line="360" w:lineRule="auto" w:before="199"/>
                      <w:ind w:left="148" w:right="131" w:hanging="17"/>
                      <w:jc w:val="both"/>
                      <w:rPr>
                        <w:sz w:val="28"/>
                      </w:rPr>
                    </w:pPr>
                    <w:r>
                      <w:rPr>
                        <w:sz w:val="28"/>
                      </w:rPr>
                      <w:t>G E 5</w:t>
                    </w:r>
                  </w:p>
                </w:txbxContent>
              </v:textbox>
              <w10:wrap type="none"/>
            </v:shape>
            <w10:wrap type="none"/>
          </v:group>
        </w:pict>
      </w:r>
      <w:r>
        <w:rPr>
          <w:rFonts w:ascii="Calibri" w:hAnsi="Calibri"/>
          <w:b/>
          <w:i/>
          <w:color w:val="365F91"/>
          <w:sz w:val="28"/>
          <w:u w:val="thick" w:color="365F91"/>
        </w:rPr>
        <w:t>ЭМОЦИОНАЛЬНОЕ БЛАГОПОЛУЧИЕ</w:t>
      </w:r>
    </w:p>
    <w:p>
      <w:pPr>
        <w:spacing w:before="6"/>
        <w:ind w:left="828" w:right="0" w:firstLine="0"/>
        <w:jc w:val="center"/>
        <w:rPr>
          <w:b/>
          <w:sz w:val="28"/>
        </w:rPr>
      </w:pPr>
      <w:r>
        <w:rPr/>
        <w:br w:type="column"/>
      </w:r>
      <w:r>
        <w:rPr>
          <w:b/>
          <w:sz w:val="28"/>
        </w:rPr>
        <w:t>совсе</w:t>
      </w:r>
    </w:p>
    <w:p>
      <w:pPr>
        <w:spacing w:before="160"/>
        <w:ind w:left="0" w:right="236" w:firstLine="0"/>
        <w:jc w:val="right"/>
        <w:rPr>
          <w:b/>
          <w:sz w:val="28"/>
        </w:rPr>
      </w:pPr>
      <w:r>
        <w:rPr>
          <w:b/>
          <w:w w:val="100"/>
          <w:sz w:val="28"/>
        </w:rPr>
        <w:t>м</w:t>
      </w:r>
    </w:p>
    <w:p>
      <w:pPr>
        <w:spacing w:before="6"/>
        <w:ind w:left="178" w:right="0" w:firstLine="48"/>
        <w:jc w:val="left"/>
        <w:rPr>
          <w:b/>
          <w:sz w:val="28"/>
        </w:rPr>
      </w:pPr>
      <w:r>
        <w:rPr/>
        <w:br w:type="column"/>
      </w:r>
      <w:r>
        <w:rPr>
          <w:b/>
          <w:sz w:val="28"/>
        </w:rPr>
        <w:t>нем</w:t>
      </w:r>
    </w:p>
    <w:p>
      <w:pPr>
        <w:pStyle w:val="Heading1"/>
        <w:spacing w:before="160"/>
        <w:ind w:left="178"/>
      </w:pPr>
      <w:r>
        <w:rPr/>
        <w:t>ного</w:t>
      </w:r>
    </w:p>
    <w:p>
      <w:pPr>
        <w:spacing w:before="6"/>
        <w:ind w:left="247" w:right="0" w:hanging="53"/>
        <w:jc w:val="left"/>
        <w:rPr>
          <w:b/>
          <w:sz w:val="28"/>
        </w:rPr>
      </w:pPr>
      <w:r>
        <w:rPr/>
        <w:br w:type="column"/>
      </w:r>
      <w:r>
        <w:rPr>
          <w:b/>
          <w:sz w:val="28"/>
        </w:rPr>
        <w:t>уме-</w:t>
      </w:r>
    </w:p>
    <w:p>
      <w:pPr>
        <w:spacing w:before="160"/>
        <w:ind w:left="247" w:right="0" w:firstLine="0"/>
        <w:jc w:val="left"/>
        <w:rPr>
          <w:b/>
          <w:sz w:val="28"/>
        </w:rPr>
      </w:pPr>
      <w:r>
        <w:rPr>
          <w:b/>
          <w:sz w:val="28"/>
        </w:rPr>
        <w:t>рен</w:t>
      </w:r>
    </w:p>
    <w:p>
      <w:pPr>
        <w:spacing w:before="6"/>
        <w:ind w:left="250" w:right="0" w:firstLine="4"/>
        <w:jc w:val="left"/>
        <w:rPr>
          <w:b/>
          <w:sz w:val="28"/>
        </w:rPr>
      </w:pPr>
      <w:r>
        <w:rPr/>
        <w:br w:type="column"/>
      </w:r>
      <w:r>
        <w:rPr>
          <w:b/>
          <w:sz w:val="28"/>
        </w:rPr>
        <w:t>сил</w:t>
      </w:r>
    </w:p>
    <w:p>
      <w:pPr>
        <w:pStyle w:val="Heading1"/>
        <w:spacing w:before="160"/>
        <w:ind w:left="250"/>
      </w:pPr>
      <w:r>
        <w:rPr/>
        <w:t>ьно</w:t>
      </w:r>
    </w:p>
    <w:p>
      <w:pPr>
        <w:spacing w:before="6"/>
        <w:ind w:left="370" w:right="0" w:hanging="56"/>
        <w:jc w:val="left"/>
        <w:rPr>
          <w:b/>
          <w:sz w:val="28"/>
        </w:rPr>
      </w:pPr>
      <w:r>
        <w:rPr/>
        <w:br w:type="column"/>
      </w:r>
      <w:r>
        <w:rPr>
          <w:b/>
          <w:sz w:val="28"/>
        </w:rPr>
        <w:t>оче</w:t>
      </w:r>
    </w:p>
    <w:p>
      <w:pPr>
        <w:pStyle w:val="Heading1"/>
        <w:spacing w:before="160"/>
        <w:ind w:left="370"/>
      </w:pPr>
      <w:r>
        <w:rPr/>
        <w:t>нь</w:t>
      </w:r>
    </w:p>
    <w:p>
      <w:pPr>
        <w:spacing w:after="0"/>
        <w:sectPr>
          <w:pgSz w:w="11900" w:h="16850"/>
          <w:pgMar w:header="712" w:footer="0" w:top="1020" w:bottom="280" w:left="1580" w:right="180"/>
          <w:cols w:num="6" w:equalWidth="0">
            <w:col w:w="5392" w:space="40"/>
            <w:col w:w="1496" w:space="40"/>
            <w:col w:w="749" w:space="40"/>
            <w:col w:w="745" w:space="40"/>
            <w:col w:w="702" w:space="40"/>
            <w:col w:w="856"/>
          </w:cols>
        </w:sectPr>
      </w:pPr>
    </w:p>
    <w:p>
      <w:pPr>
        <w:pStyle w:val="BodyText"/>
        <w:tabs>
          <w:tab w:pos="7361" w:val="left" w:leader="none"/>
          <w:tab w:pos="8153" w:val="left" w:leader="none"/>
          <w:tab w:pos="8945" w:val="left" w:leader="none"/>
          <w:tab w:pos="9737" w:val="left" w:leader="none"/>
        </w:tabs>
        <w:spacing w:line="311" w:lineRule="exact"/>
        <w:ind w:left="6569"/>
      </w:pPr>
      <w:r>
        <w:rPr/>
        <w:t>0</w:t>
        <w:tab/>
        <w:t>1</w:t>
        <w:tab/>
        <w:t>2</w:t>
        <w:tab/>
        <w:t>3</w:t>
        <w:tab/>
        <w:t>4</w:t>
      </w:r>
    </w:p>
    <w:p>
      <w:pPr>
        <w:pStyle w:val="BodyText"/>
        <w:spacing w:before="8"/>
        <w:rPr>
          <w:sz w:val="23"/>
        </w:rPr>
      </w:pPr>
    </w:p>
    <w:p>
      <w:pPr>
        <w:pStyle w:val="BodyText"/>
        <w:spacing w:before="89"/>
        <w:ind w:left="930"/>
      </w:pPr>
      <w:r>
        <w:rPr/>
        <w:t>Я чувствую грусть</w:t>
      </w:r>
      <w:r>
        <w:rPr>
          <w:spacing w:val="-52"/>
        </w:rPr>
        <w:t> </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spacing w:before="89"/>
        <w:ind w:left="930"/>
      </w:pPr>
      <w:r>
        <w:rPr/>
        <w:t>Я удовлетворен(-а) тем, как я справляюсь</w:t>
      </w:r>
    </w:p>
    <w:p>
      <w:pPr>
        <w:pStyle w:val="BodyText"/>
        <w:spacing w:before="160"/>
        <w:ind w:left="930"/>
      </w:pPr>
      <w:r>
        <w:rPr/>
        <w:t>со своей болезнью............................................</w:t>
      </w:r>
    </w:p>
    <w:p>
      <w:pPr>
        <w:pStyle w:val="BodyText"/>
        <w:tabs>
          <w:tab w:pos="7361" w:val="left" w:leader="none"/>
          <w:tab w:pos="8153" w:val="left" w:leader="none"/>
          <w:tab w:pos="8945" w:val="left" w:leader="none"/>
          <w:tab w:pos="9737" w:val="left" w:leader="none"/>
        </w:tabs>
        <w:spacing w:before="19"/>
        <w:ind w:left="6569"/>
      </w:pPr>
      <w:r>
        <w:rPr/>
        <w:t>0</w:t>
        <w:tab/>
        <w:t>1</w:t>
        <w:tab/>
        <w:t>2</w:t>
        <w:tab/>
        <w:t>3</w:t>
        <w:tab/>
        <w:t>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480" w:lineRule="atLeast" w:before="107"/>
        <w:ind w:left="930" w:right="3885"/>
      </w:pPr>
      <w:r>
        <w:rPr/>
        <w:t>Я теряю надежду, что смогу преодолеть мою болезнь .....................................................</w:t>
      </w:r>
    </w:p>
    <w:p>
      <w:pPr>
        <w:pStyle w:val="BodyText"/>
        <w:tabs>
          <w:tab w:pos="7361" w:val="left" w:leader="none"/>
          <w:tab w:pos="8153" w:val="left" w:leader="none"/>
          <w:tab w:pos="8945" w:val="left" w:leader="none"/>
          <w:tab w:pos="9737" w:val="left" w:leader="none"/>
        </w:tabs>
        <w:spacing w:before="18"/>
        <w:ind w:left="6569"/>
      </w:pPr>
      <w:r>
        <w:rPr/>
        <w:t>0</w:t>
        <w:tab/>
        <w:t>1</w:t>
        <w:tab/>
        <w:t>2</w:t>
        <w:tab/>
        <w:t>3</w:t>
        <w:tab/>
        <w:t>4</w:t>
      </w:r>
    </w:p>
    <w:p>
      <w:pPr>
        <w:pStyle w:val="BodyText"/>
        <w:rPr>
          <w:sz w:val="20"/>
        </w:rPr>
      </w:pPr>
    </w:p>
    <w:p>
      <w:pPr>
        <w:pStyle w:val="BodyText"/>
        <w:rPr>
          <w:sz w:val="20"/>
        </w:rPr>
      </w:pPr>
    </w:p>
    <w:p>
      <w:pPr>
        <w:pStyle w:val="BodyText"/>
        <w:rPr>
          <w:sz w:val="20"/>
        </w:rPr>
      </w:pPr>
    </w:p>
    <w:p>
      <w:pPr>
        <w:pStyle w:val="BodyText"/>
        <w:rPr>
          <w:sz w:val="20"/>
        </w:rPr>
      </w:pPr>
    </w:p>
    <w:p>
      <w:pPr>
        <w:pStyle w:val="BodyText"/>
        <w:tabs>
          <w:tab w:pos="6569" w:val="left" w:leader="none"/>
          <w:tab w:pos="7361" w:val="left" w:leader="none"/>
          <w:tab w:pos="8153" w:val="left" w:leader="none"/>
          <w:tab w:pos="8945" w:val="left" w:leader="none"/>
          <w:tab w:pos="9878" w:val="right" w:leader="none"/>
        </w:tabs>
        <w:spacing w:before="265"/>
        <w:ind w:left="930"/>
      </w:pPr>
      <w:r>
        <w:rPr/>
        <w:t>Я</w:t>
      </w:r>
      <w:r>
        <w:rPr>
          <w:spacing w:val="-8"/>
        </w:rPr>
        <w:t> </w:t>
      </w:r>
      <w:r>
        <w:rPr/>
        <w:t>нервничаю.....................................................</w:t>
        <w:tab/>
        <w:t>0</w:t>
        <w:tab/>
        <w:t>1</w:t>
        <w:tab/>
        <w:t>2</w:t>
        <w:tab/>
        <w:t>3</w:t>
        <w:tab/>
        <w:t>4</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7"/>
        <w:rPr>
          <w:sz w:val="24"/>
        </w:rPr>
      </w:pPr>
    </w:p>
    <w:p>
      <w:pPr>
        <w:pStyle w:val="BodyText"/>
        <w:tabs>
          <w:tab w:pos="6569" w:val="left" w:leader="none"/>
          <w:tab w:pos="7361" w:val="left" w:leader="none"/>
          <w:tab w:pos="8153" w:val="left" w:leader="none"/>
          <w:tab w:pos="8945" w:val="left" w:leader="none"/>
          <w:tab w:pos="9737" w:val="left" w:leader="none"/>
        </w:tabs>
        <w:ind w:left="930"/>
      </w:pPr>
      <w:r>
        <w:rPr/>
        <w:t>Меня беспокоит мысль о</w:t>
      </w:r>
      <w:r>
        <w:rPr>
          <w:spacing w:val="-15"/>
        </w:rPr>
        <w:t> </w:t>
      </w:r>
      <w:r>
        <w:rPr/>
        <w:t>смерти</w:t>
      </w:r>
      <w:r>
        <w:rPr>
          <w:spacing w:val="-6"/>
        </w:rPr>
        <w:t> </w:t>
      </w:r>
      <w:r>
        <w:rPr/>
        <w:t>...................</w:t>
        <w:tab/>
        <w:t>0</w:t>
        <w:tab/>
        <w:t>1</w:t>
        <w:tab/>
        <w:t>2</w:t>
        <w:tab/>
        <w:t>3</w:t>
        <w:tab/>
        <w:t>4</w:t>
      </w:r>
    </w:p>
    <w:p>
      <w:pPr>
        <w:spacing w:after="0"/>
        <w:sectPr>
          <w:type w:val="continuous"/>
          <w:pgSz w:w="11900" w:h="16850"/>
          <w:pgMar w:top="1020" w:bottom="280" w:left="1580" w:right="180"/>
        </w:sect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8"/>
        <w:gridCol w:w="6446"/>
        <w:gridCol w:w="792"/>
        <w:gridCol w:w="792"/>
        <w:gridCol w:w="792"/>
        <w:gridCol w:w="666"/>
      </w:tblGrid>
      <w:tr>
        <w:trPr>
          <w:trHeight w:val="501" w:hRule="exact"/>
        </w:trPr>
        <w:tc>
          <w:tcPr>
            <w:tcW w:w="468" w:type="dxa"/>
            <w:tcBorders>
              <w:left w:val="single" w:sz="4" w:space="0" w:color="000000"/>
              <w:right w:val="single" w:sz="4" w:space="0" w:color="000000"/>
            </w:tcBorders>
            <w:shd w:val="clear" w:color="auto" w:fill="F1F1F1"/>
          </w:tcPr>
          <w:p>
            <w:pPr/>
          </w:p>
        </w:tc>
        <w:tc>
          <w:tcPr>
            <w:tcW w:w="6446" w:type="dxa"/>
            <w:tcBorders>
              <w:left w:val="single" w:sz="4" w:space="0" w:color="000000"/>
            </w:tcBorders>
          </w:tcPr>
          <w:p>
            <w:pPr>
              <w:pStyle w:val="TableParagraph"/>
              <w:spacing w:line="315" w:lineRule="exact"/>
              <w:ind w:right="323"/>
              <w:jc w:val="right"/>
              <w:rPr>
                <w:sz w:val="28"/>
              </w:rPr>
            </w:pPr>
            <w:r>
              <w:rPr>
                <w:w w:val="100"/>
                <w:sz w:val="28"/>
              </w:rPr>
              <w:t>0</w:t>
            </w:r>
          </w:p>
        </w:tc>
        <w:tc>
          <w:tcPr>
            <w:tcW w:w="792" w:type="dxa"/>
          </w:tcPr>
          <w:p>
            <w:pPr>
              <w:pStyle w:val="TableParagraph"/>
              <w:spacing w:line="315" w:lineRule="exact"/>
              <w:jc w:val="center"/>
              <w:rPr>
                <w:sz w:val="28"/>
              </w:rPr>
            </w:pPr>
            <w:r>
              <w:rPr>
                <w:w w:val="100"/>
                <w:sz w:val="28"/>
              </w:rPr>
              <w:t>1</w:t>
            </w:r>
          </w:p>
        </w:tc>
        <w:tc>
          <w:tcPr>
            <w:tcW w:w="792" w:type="dxa"/>
          </w:tcPr>
          <w:p>
            <w:pPr>
              <w:pStyle w:val="TableParagraph"/>
              <w:spacing w:line="315" w:lineRule="exact"/>
              <w:jc w:val="center"/>
              <w:rPr>
                <w:sz w:val="28"/>
              </w:rPr>
            </w:pPr>
            <w:r>
              <w:rPr>
                <w:w w:val="100"/>
                <w:sz w:val="28"/>
              </w:rPr>
              <w:t>2</w:t>
            </w:r>
          </w:p>
        </w:tc>
        <w:tc>
          <w:tcPr>
            <w:tcW w:w="792" w:type="dxa"/>
          </w:tcPr>
          <w:p>
            <w:pPr>
              <w:pStyle w:val="TableParagraph"/>
              <w:spacing w:line="315" w:lineRule="exact"/>
              <w:jc w:val="center"/>
              <w:rPr>
                <w:sz w:val="28"/>
              </w:rPr>
            </w:pPr>
            <w:r>
              <w:rPr>
                <w:w w:val="100"/>
                <w:sz w:val="28"/>
              </w:rPr>
              <w:t>3</w:t>
            </w:r>
          </w:p>
        </w:tc>
        <w:tc>
          <w:tcPr>
            <w:tcW w:w="666" w:type="dxa"/>
          </w:tcPr>
          <w:p>
            <w:pPr>
              <w:pStyle w:val="TableParagraph"/>
              <w:spacing w:line="315" w:lineRule="exact"/>
              <w:ind w:left="325"/>
              <w:rPr>
                <w:sz w:val="28"/>
              </w:rPr>
            </w:pPr>
            <w:r>
              <w:rPr>
                <w:w w:val="100"/>
                <w:sz w:val="28"/>
              </w:rPr>
              <w:t>4</w:t>
            </w:r>
          </w:p>
        </w:tc>
      </w:tr>
      <w:tr>
        <w:trPr>
          <w:trHeight w:val="1881" w:hRule="exact"/>
        </w:trPr>
        <w:tc>
          <w:tcPr>
            <w:tcW w:w="468" w:type="dxa"/>
            <w:tcBorders>
              <w:left w:val="single" w:sz="4" w:space="0" w:color="000000"/>
              <w:bottom w:val="single" w:sz="4" w:space="0" w:color="000000"/>
              <w:right w:val="single" w:sz="4" w:space="0" w:color="000000"/>
            </w:tcBorders>
            <w:shd w:val="clear" w:color="auto" w:fill="F1F1F1"/>
          </w:tcPr>
          <w:p>
            <w:pPr>
              <w:pStyle w:val="TableParagraph"/>
              <w:spacing w:line="360" w:lineRule="auto" w:before="174"/>
              <w:ind w:left="143" w:right="126" w:hanging="17"/>
              <w:jc w:val="both"/>
              <w:rPr>
                <w:sz w:val="28"/>
              </w:rPr>
            </w:pPr>
            <w:r>
              <w:rPr>
                <w:sz w:val="28"/>
              </w:rPr>
              <w:t>G E 6</w:t>
            </w:r>
          </w:p>
        </w:tc>
        <w:tc>
          <w:tcPr>
            <w:tcW w:w="6446" w:type="dxa"/>
            <w:tcBorders>
              <w:left w:val="single" w:sz="4" w:space="0" w:color="000000"/>
            </w:tcBorders>
          </w:tcPr>
          <w:p>
            <w:pPr>
              <w:pStyle w:val="TableParagraph"/>
              <w:spacing w:line="360" w:lineRule="auto" w:before="174"/>
              <w:ind w:left="335" w:right="734"/>
              <w:rPr>
                <w:sz w:val="28"/>
              </w:rPr>
            </w:pPr>
            <w:r>
              <w:rPr>
                <w:sz w:val="28"/>
              </w:rPr>
              <w:t>Я беспокоюсь, что моё состояние может ухудшиться .......................................................</w:t>
            </w:r>
          </w:p>
        </w:tc>
        <w:tc>
          <w:tcPr>
            <w:tcW w:w="792" w:type="dxa"/>
          </w:tcPr>
          <w:p>
            <w:pPr/>
          </w:p>
        </w:tc>
        <w:tc>
          <w:tcPr>
            <w:tcW w:w="792" w:type="dxa"/>
          </w:tcPr>
          <w:p>
            <w:pPr/>
          </w:p>
        </w:tc>
        <w:tc>
          <w:tcPr>
            <w:tcW w:w="792" w:type="dxa"/>
          </w:tcPr>
          <w:p>
            <w:pPr/>
          </w:p>
        </w:tc>
        <w:tc>
          <w:tcPr>
            <w:tcW w:w="666" w:type="dxa"/>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00" w:h="16850"/>
          <w:pgMar w:header="712" w:footer="0" w:top="1020" w:bottom="280" w:left="1580" w:right="140"/>
        </w:sectPr>
      </w:pPr>
    </w:p>
    <w:p>
      <w:pPr>
        <w:pStyle w:val="BodyText"/>
      </w:pPr>
    </w:p>
    <w:p>
      <w:pPr>
        <w:pStyle w:val="BodyText"/>
      </w:pPr>
    </w:p>
    <w:p>
      <w:pPr>
        <w:pStyle w:val="BodyText"/>
        <w:spacing w:before="10"/>
        <w:rPr>
          <w:sz w:val="36"/>
        </w:rPr>
      </w:pPr>
    </w:p>
    <w:p>
      <w:pPr>
        <w:spacing w:line="360" w:lineRule="auto" w:before="0"/>
        <w:ind w:left="1021" w:right="-6" w:firstLine="0"/>
        <w:jc w:val="left"/>
        <w:rPr>
          <w:rFonts w:ascii="Calibri" w:hAnsi="Calibri"/>
          <w:b/>
          <w:i/>
          <w:sz w:val="28"/>
        </w:rPr>
      </w:pPr>
      <w:r>
        <w:rPr>
          <w:rFonts w:ascii="Calibri" w:hAnsi="Calibri"/>
          <w:b/>
          <w:i/>
          <w:color w:val="365F91"/>
          <w:sz w:val="28"/>
          <w:u w:val="thick" w:color="365F91"/>
        </w:rPr>
        <w:t>БЛАГОПОЛУЧИЕ В ПОВСЕДНЕВНОЙ </w:t>
      </w:r>
      <w:r>
        <w:rPr>
          <w:rFonts w:ascii="Calibri" w:hAnsi="Calibri"/>
          <w:b/>
          <w:i/>
          <w:color w:val="365F91"/>
          <w:sz w:val="28"/>
          <w:u w:val="thick" w:color="365F91"/>
        </w:rPr>
        <w:t>ЖИЗНИ</w:t>
      </w:r>
    </w:p>
    <w:p>
      <w:pPr>
        <w:spacing w:line="360" w:lineRule="auto" w:before="217"/>
        <w:ind w:left="914" w:right="1" w:firstLine="0"/>
        <w:jc w:val="center"/>
        <w:rPr>
          <w:b/>
          <w:sz w:val="28"/>
        </w:rPr>
      </w:pPr>
      <w:r>
        <w:rPr/>
        <w:br w:type="column"/>
      </w:r>
      <w:r>
        <w:rPr>
          <w:b/>
          <w:sz w:val="28"/>
        </w:rPr>
        <w:t>совсе м нет</w:t>
      </w:r>
    </w:p>
    <w:p>
      <w:pPr>
        <w:spacing w:line="360" w:lineRule="auto" w:before="217"/>
        <w:ind w:left="178" w:right="-18" w:firstLine="48"/>
        <w:jc w:val="left"/>
        <w:rPr>
          <w:b/>
          <w:sz w:val="28"/>
        </w:rPr>
      </w:pPr>
      <w:r>
        <w:rPr/>
        <w:br w:type="column"/>
      </w:r>
      <w:r>
        <w:rPr>
          <w:b/>
          <w:sz w:val="28"/>
        </w:rPr>
        <w:t>нем ного</w:t>
      </w:r>
    </w:p>
    <w:p>
      <w:pPr>
        <w:spacing w:line="360" w:lineRule="auto" w:before="217"/>
        <w:ind w:left="247" w:right="0" w:hanging="53"/>
        <w:jc w:val="both"/>
        <w:rPr>
          <w:b/>
          <w:sz w:val="28"/>
        </w:rPr>
      </w:pPr>
      <w:r>
        <w:rPr/>
        <w:br w:type="column"/>
      </w:r>
      <w:r>
        <w:rPr>
          <w:b/>
          <w:sz w:val="28"/>
        </w:rPr>
        <w:t>уме- рен но</w:t>
      </w:r>
    </w:p>
    <w:p>
      <w:pPr>
        <w:spacing w:line="360" w:lineRule="auto" w:before="217"/>
        <w:ind w:left="250" w:right="-18" w:firstLine="4"/>
        <w:jc w:val="left"/>
        <w:rPr>
          <w:b/>
          <w:sz w:val="28"/>
        </w:rPr>
      </w:pPr>
      <w:r>
        <w:rPr/>
        <w:br w:type="column"/>
      </w:r>
      <w:r>
        <w:rPr>
          <w:b/>
          <w:sz w:val="28"/>
        </w:rPr>
        <w:t>сил ьно</w:t>
      </w:r>
    </w:p>
    <w:p>
      <w:pPr>
        <w:spacing w:line="360" w:lineRule="auto" w:before="217"/>
        <w:ind w:left="174" w:right="95" w:firstLine="140"/>
        <w:jc w:val="left"/>
        <w:rPr>
          <w:b/>
          <w:sz w:val="28"/>
        </w:rPr>
      </w:pPr>
      <w:r>
        <w:rPr/>
        <w:br w:type="column"/>
      </w:r>
      <w:r>
        <w:rPr>
          <w:b/>
          <w:sz w:val="28"/>
        </w:rPr>
        <w:t>оче нь льно</w:t>
      </w:r>
    </w:p>
    <w:p>
      <w:pPr>
        <w:spacing w:after="0" w:line="360" w:lineRule="auto"/>
        <w:jc w:val="left"/>
        <w:rPr>
          <w:sz w:val="28"/>
        </w:rPr>
        <w:sectPr>
          <w:type w:val="continuous"/>
          <w:pgSz w:w="11900" w:h="16850"/>
          <w:pgMar w:top="1020" w:bottom="280" w:left="1580" w:right="140"/>
          <w:cols w:num="6" w:equalWidth="0">
            <w:col w:w="5307" w:space="40"/>
            <w:col w:w="1581" w:space="40"/>
            <w:col w:w="749" w:space="40"/>
            <w:col w:w="745" w:space="40"/>
            <w:col w:w="702" w:space="40"/>
            <w:col w:w="896"/>
          </w:cols>
        </w:sectPr>
      </w:pPr>
    </w:p>
    <w:p>
      <w:pPr>
        <w:pStyle w:val="BodyText"/>
        <w:rPr>
          <w:b/>
          <w:sz w:val="20"/>
        </w:rPr>
      </w:pPr>
    </w:p>
    <w:p>
      <w:pPr>
        <w:pStyle w:val="BodyText"/>
        <w:rPr>
          <w:b/>
          <w:sz w:val="20"/>
        </w:rPr>
      </w:pPr>
    </w:p>
    <w:p>
      <w:pPr>
        <w:spacing w:after="0"/>
        <w:rPr>
          <w:sz w:val="20"/>
        </w:rPr>
        <w:sectPr>
          <w:type w:val="continuous"/>
          <w:pgSz w:w="11900" w:h="16850"/>
          <w:pgMar w:top="1020" w:bottom="280" w:left="1580" w:right="140"/>
        </w:sectPr>
      </w:pPr>
    </w:p>
    <w:p>
      <w:pPr>
        <w:pStyle w:val="BodyText"/>
        <w:spacing w:line="360" w:lineRule="auto" w:before="225"/>
        <w:ind w:left="930"/>
      </w:pPr>
      <w:r>
        <w:rPr/>
        <w:pict>
          <v:group style="position:absolute;margin-left:84.853996pt;margin-top:10.850293pt;width:23.9pt;height:350.85pt;mso-position-horizontal-relative:page;mso-position-vertical-relative:paragraph;z-index:7144" coordorigin="1697,217" coordsize="478,7017">
            <v:shape style="position:absolute;left:1707;top:232;width:459;height:2334" coordorigin="1707,232" coordsize="459,2334" path="m1810,232l1707,232,1707,2565,1810,2565,1810,232m2165,232l2062,232,2062,232,1810,232,1810,916,1810,1398,1810,1881,1810,2565,2062,2565,2062,2565,2165,2565,2165,232e" filled="true" fillcolor="#f1f1f1" stroked="false">
              <v:path arrowok="t"/>
              <v:fill type="solid"/>
            </v:shape>
            <v:line style="position:absolute" from="1707,227" to="1716,227" stroked="true" strokeweight=".48001pt" strokecolor="#000000">
              <v:stroke dashstyle="solid"/>
            </v:line>
            <v:line style="position:absolute" from="1716,227" to="2165,227" stroked="true" strokeweight=".48001pt" strokecolor="#000000">
              <v:stroke dashstyle="solid"/>
            </v:line>
            <v:shape style="position:absolute;left:1707;top:2565;width:459;height:4665" coordorigin="1707,2565" coordsize="459,4665" path="m1810,4896l1707,4896,1707,7229,1810,7229,1810,4896m1810,2565l1707,2565,1707,4896,1810,4896,1810,2565m2165,4896l2062,4896,2062,4896,1810,4896,1810,5580,1810,6062,1810,6545,1810,6545,1810,7229,2062,7229,2062,7229,2165,7229,2165,4896m2165,2565l2062,2565,2062,2565,1810,2565,1810,3246,1810,3731,2062,3731,2062,3731,1810,3731,1810,4214,1810,4896,2062,4896,2062,4896,2165,4896,2165,2565e" filled="true" fillcolor="#f1f1f1" stroked="false">
              <v:path arrowok="t"/>
              <v:fill type="solid"/>
            </v:shape>
            <v:line style="position:absolute" from="1702,222" to="1702,7229" stroked="true" strokeweight=".48pt" strokecolor="#000000">
              <v:stroke dashstyle="solid"/>
            </v:line>
            <v:line style="position:absolute" from="2170,222" to="2170,7229" stroked="true" strokeweight=".48pt" strokecolor="#000000">
              <v:stroke dashstyle="solid"/>
            </v:line>
            <v:shape style="position:absolute;left:1702;top:227;width:468;height:7003" type="#_x0000_t202" filled="false" stroked="false">
              <v:textbox inset="0,0,0,0">
                <w:txbxContent>
                  <w:p>
                    <w:pPr>
                      <w:spacing w:line="240" w:lineRule="auto" w:before="0"/>
                      <w:rPr>
                        <w:sz w:val="30"/>
                      </w:rPr>
                    </w:pPr>
                  </w:p>
                  <w:p>
                    <w:pPr>
                      <w:spacing w:line="240" w:lineRule="auto" w:before="3"/>
                      <w:rPr>
                        <w:sz w:val="29"/>
                      </w:rPr>
                    </w:pPr>
                  </w:p>
                  <w:p>
                    <w:pPr>
                      <w:spacing w:line="360" w:lineRule="auto" w:before="0"/>
                      <w:ind w:left="131" w:right="131" w:firstLine="0"/>
                      <w:jc w:val="both"/>
                      <w:rPr>
                        <w:sz w:val="28"/>
                      </w:rPr>
                    </w:pPr>
                    <w:r>
                      <w:rPr>
                        <w:sz w:val="28"/>
                      </w:rPr>
                      <w:t>G F 1</w:t>
                    </w:r>
                  </w:p>
                  <w:p>
                    <w:pPr>
                      <w:spacing w:line="240" w:lineRule="auto" w:before="0"/>
                      <w:rPr>
                        <w:sz w:val="30"/>
                      </w:rPr>
                    </w:pPr>
                  </w:p>
                  <w:p>
                    <w:pPr>
                      <w:spacing w:line="240" w:lineRule="auto" w:before="0"/>
                      <w:rPr>
                        <w:sz w:val="30"/>
                      </w:rPr>
                    </w:pPr>
                  </w:p>
                  <w:p>
                    <w:pPr>
                      <w:spacing w:line="360" w:lineRule="auto" w:before="198"/>
                      <w:ind w:left="131" w:right="131" w:firstLine="0"/>
                      <w:jc w:val="both"/>
                      <w:rPr>
                        <w:sz w:val="28"/>
                      </w:rPr>
                    </w:pPr>
                    <w:r>
                      <w:rPr>
                        <w:sz w:val="28"/>
                      </w:rPr>
                      <w:t>G F 2</w:t>
                    </w:r>
                  </w:p>
                  <w:p>
                    <w:pPr>
                      <w:spacing w:line="240" w:lineRule="auto" w:before="0"/>
                      <w:rPr>
                        <w:sz w:val="30"/>
                      </w:rPr>
                    </w:pPr>
                  </w:p>
                  <w:p>
                    <w:pPr>
                      <w:spacing w:line="240" w:lineRule="auto" w:before="0"/>
                      <w:rPr>
                        <w:sz w:val="30"/>
                      </w:rPr>
                    </w:pPr>
                  </w:p>
                  <w:p>
                    <w:pPr>
                      <w:spacing w:line="360" w:lineRule="auto" w:before="198"/>
                      <w:ind w:left="155" w:right="131" w:hanging="24"/>
                      <w:jc w:val="both"/>
                      <w:rPr>
                        <w:sz w:val="28"/>
                      </w:rPr>
                    </w:pPr>
                    <w:r>
                      <w:rPr>
                        <w:sz w:val="28"/>
                      </w:rPr>
                      <w:t>G F 3</w:t>
                    </w:r>
                  </w:p>
                </w:txbxContent>
              </v:textbox>
              <w10:wrap type="none"/>
            </v:shape>
            <w10:wrap type="none"/>
          </v:group>
        </w:pict>
      </w:r>
      <w:r>
        <w:rPr/>
        <w:t>Я способен(-на) работать (включая работу </w:t>
      </w:r>
      <w:r>
        <w:rPr>
          <w:spacing w:val="-1"/>
        </w:rPr>
        <w:t>дома)..................................................................</w:t>
      </w:r>
    </w:p>
    <w:p>
      <w:pPr>
        <w:pStyle w:val="BodyText"/>
        <w:tabs>
          <w:tab w:pos="1104" w:val="left" w:leader="none"/>
          <w:tab w:pos="1897" w:val="left" w:leader="none"/>
          <w:tab w:pos="2689" w:val="left" w:leader="none"/>
          <w:tab w:pos="3481" w:val="left" w:leader="none"/>
        </w:tabs>
        <w:spacing w:before="225"/>
        <w:ind w:left="312"/>
      </w:pPr>
      <w:r>
        <w:rPr/>
        <w:br w:type="column"/>
      </w:r>
      <w:r>
        <w:rPr/>
        <w:t>0</w:t>
        <w:tab/>
        <w:t>1</w:t>
        <w:tab/>
        <w:t>2</w:t>
        <w:tab/>
        <w:t>3</w:t>
        <w:tab/>
        <w:t>4</w:t>
      </w:r>
    </w:p>
    <w:p>
      <w:pPr>
        <w:spacing w:after="0"/>
        <w:sectPr>
          <w:type w:val="continuous"/>
          <w:pgSz w:w="11900" w:h="16850"/>
          <w:pgMar w:top="1020" w:bottom="280" w:left="1580" w:right="140"/>
          <w:cols w:num="2" w:equalWidth="0">
            <w:col w:w="6217" w:space="40"/>
            <w:col w:w="392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1900" w:h="16850"/>
          <w:pgMar w:top="1020" w:bottom="280" w:left="1580" w:right="140"/>
        </w:sectPr>
      </w:pPr>
    </w:p>
    <w:p>
      <w:pPr>
        <w:pStyle w:val="BodyText"/>
        <w:spacing w:line="362" w:lineRule="auto" w:before="215"/>
        <w:ind w:left="930"/>
      </w:pPr>
      <w:r>
        <w:rPr/>
        <w:t>Моя работа (включая работу дома) приносит мне удовлетворение</w:t>
      </w:r>
      <w:r>
        <w:rPr>
          <w:spacing w:val="-33"/>
        </w:rPr>
        <w:t> </w:t>
      </w:r>
      <w:r>
        <w:rPr/>
        <w:t>.......................</w:t>
      </w:r>
    </w:p>
    <w:p>
      <w:pPr>
        <w:pStyle w:val="BodyText"/>
        <w:tabs>
          <w:tab w:pos="1105" w:val="left" w:leader="none"/>
          <w:tab w:pos="1897" w:val="left" w:leader="none"/>
          <w:tab w:pos="2689" w:val="left" w:leader="none"/>
          <w:tab w:pos="3481" w:val="left" w:leader="none"/>
        </w:tabs>
        <w:spacing w:before="356"/>
        <w:ind w:left="313"/>
      </w:pPr>
      <w:r>
        <w:rPr/>
        <w:br w:type="column"/>
      </w:r>
      <w:r>
        <w:rPr>
          <w:position w:val="-9"/>
        </w:rPr>
        <w:t>0</w:t>
        <w:tab/>
      </w:r>
      <w:r>
        <w:rPr/>
        <w:t>1</w:t>
        <w:tab/>
        <w:t>2</w:t>
        <w:tab/>
        <w:t>3</w:t>
        <w:tab/>
        <w:t>4</w:t>
      </w:r>
    </w:p>
    <w:p>
      <w:pPr>
        <w:spacing w:after="0"/>
        <w:sectPr>
          <w:type w:val="continuous"/>
          <w:pgSz w:w="11900" w:h="16850"/>
          <w:pgMar w:top="1020" w:bottom="280" w:left="1580" w:right="140"/>
          <w:cols w:num="2" w:equalWidth="0">
            <w:col w:w="6217" w:space="40"/>
            <w:col w:w="3923"/>
          </w:cols>
        </w:sectPr>
      </w:pPr>
    </w:p>
    <w:p>
      <w:pPr>
        <w:pStyle w:val="BodyText"/>
        <w:rPr>
          <w:sz w:val="20"/>
        </w:rPr>
      </w:pPr>
    </w:p>
    <w:p>
      <w:pPr>
        <w:pStyle w:val="BodyText"/>
        <w:rPr>
          <w:sz w:val="20"/>
        </w:rPr>
      </w:pPr>
    </w:p>
    <w:p>
      <w:pPr>
        <w:pStyle w:val="BodyText"/>
        <w:tabs>
          <w:tab w:pos="6569" w:val="left" w:leader="none"/>
          <w:tab w:pos="7361" w:val="left" w:leader="none"/>
          <w:tab w:pos="8153" w:val="left" w:leader="none"/>
          <w:tab w:pos="8945" w:val="left" w:leader="none"/>
          <w:tab w:pos="9878" w:val="right" w:leader="none"/>
        </w:tabs>
        <w:spacing w:before="224"/>
        <w:ind w:left="930"/>
      </w:pPr>
      <w:r>
        <w:rPr/>
        <w:t>Я способен(-на) радоваться</w:t>
      </w:r>
      <w:r>
        <w:rPr>
          <w:spacing w:val="-9"/>
        </w:rPr>
        <w:t> </w:t>
      </w:r>
      <w:r>
        <w:rPr/>
        <w:t>жизни</w:t>
      </w:r>
      <w:r>
        <w:rPr>
          <w:spacing w:val="-8"/>
        </w:rPr>
        <w:t> </w:t>
      </w:r>
      <w:r>
        <w:rPr/>
        <w:t>................</w:t>
        <w:tab/>
        <w:t>0</w:t>
        <w:tab/>
        <w:t>1</w:t>
        <w:tab/>
        <w:t>2</w:t>
        <w:tab/>
        <w:t>3</w:t>
        <w:tab/>
        <w:t>4</w:t>
      </w:r>
    </w:p>
    <w:p>
      <w:pPr>
        <w:spacing w:after="0"/>
        <w:sectPr>
          <w:type w:val="continuous"/>
          <w:pgSz w:w="11900" w:h="16850"/>
          <w:pgMar w:top="1020" w:bottom="280" w:left="1580" w:right="140"/>
        </w:sect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8"/>
        <w:gridCol w:w="5803"/>
        <w:gridCol w:w="643"/>
        <w:gridCol w:w="792"/>
        <w:gridCol w:w="792"/>
        <w:gridCol w:w="792"/>
        <w:gridCol w:w="666"/>
      </w:tblGrid>
      <w:tr>
        <w:trPr>
          <w:trHeight w:val="600" w:hRule="exact"/>
        </w:trPr>
        <w:tc>
          <w:tcPr>
            <w:tcW w:w="468" w:type="dxa"/>
            <w:tcBorders>
              <w:left w:val="single" w:sz="4" w:space="0" w:color="000000"/>
              <w:right w:val="single" w:sz="4" w:space="0" w:color="000000"/>
            </w:tcBorders>
            <w:shd w:val="clear" w:color="auto" w:fill="F1F1F1"/>
          </w:tcPr>
          <w:p>
            <w:pPr/>
          </w:p>
        </w:tc>
        <w:tc>
          <w:tcPr>
            <w:tcW w:w="5803" w:type="dxa"/>
            <w:tcBorders>
              <w:left w:val="single" w:sz="4" w:space="0" w:color="000000"/>
            </w:tcBorders>
          </w:tcPr>
          <w:p>
            <w:pPr>
              <w:pStyle w:val="TableParagraph"/>
              <w:spacing w:before="192"/>
              <w:ind w:left="335"/>
              <w:rPr>
                <w:sz w:val="28"/>
              </w:rPr>
            </w:pPr>
            <w:r>
              <w:rPr>
                <w:sz w:val="28"/>
              </w:rPr>
              <w:t>Я отношусь к моей болезни спокойно</w:t>
            </w:r>
          </w:p>
        </w:tc>
        <w:tc>
          <w:tcPr>
            <w:tcW w:w="643" w:type="dxa"/>
          </w:tcPr>
          <w:p>
            <w:pPr>
              <w:pStyle w:val="TableParagraph"/>
              <w:spacing w:line="315" w:lineRule="exact"/>
              <w:ind w:left="176"/>
              <w:rPr>
                <w:sz w:val="28"/>
              </w:rPr>
            </w:pPr>
            <w:r>
              <w:rPr>
                <w:w w:val="100"/>
                <w:sz w:val="28"/>
              </w:rPr>
              <w:t>0</w:t>
            </w:r>
          </w:p>
        </w:tc>
        <w:tc>
          <w:tcPr>
            <w:tcW w:w="792" w:type="dxa"/>
          </w:tcPr>
          <w:p>
            <w:pPr>
              <w:pStyle w:val="TableParagraph"/>
              <w:spacing w:line="315" w:lineRule="exact"/>
              <w:jc w:val="center"/>
              <w:rPr>
                <w:sz w:val="28"/>
              </w:rPr>
            </w:pPr>
            <w:r>
              <w:rPr>
                <w:w w:val="100"/>
                <w:sz w:val="28"/>
              </w:rPr>
              <w:t>1</w:t>
            </w:r>
          </w:p>
        </w:tc>
        <w:tc>
          <w:tcPr>
            <w:tcW w:w="792" w:type="dxa"/>
          </w:tcPr>
          <w:p>
            <w:pPr>
              <w:pStyle w:val="TableParagraph"/>
              <w:spacing w:line="315" w:lineRule="exact"/>
              <w:ind w:left="326"/>
              <w:rPr>
                <w:sz w:val="28"/>
              </w:rPr>
            </w:pPr>
            <w:r>
              <w:rPr>
                <w:w w:val="100"/>
                <w:sz w:val="28"/>
              </w:rPr>
              <w:t>2</w:t>
            </w:r>
          </w:p>
        </w:tc>
        <w:tc>
          <w:tcPr>
            <w:tcW w:w="792" w:type="dxa"/>
          </w:tcPr>
          <w:p>
            <w:pPr>
              <w:pStyle w:val="TableParagraph"/>
              <w:spacing w:line="315" w:lineRule="exact"/>
              <w:jc w:val="center"/>
              <w:rPr>
                <w:sz w:val="28"/>
              </w:rPr>
            </w:pPr>
            <w:r>
              <w:rPr>
                <w:w w:val="100"/>
                <w:sz w:val="28"/>
              </w:rPr>
              <w:t>3</w:t>
            </w:r>
          </w:p>
        </w:tc>
        <w:tc>
          <w:tcPr>
            <w:tcW w:w="666" w:type="dxa"/>
          </w:tcPr>
          <w:p>
            <w:pPr>
              <w:pStyle w:val="TableParagraph"/>
              <w:spacing w:line="315" w:lineRule="exact"/>
              <w:ind w:right="198"/>
              <w:jc w:val="right"/>
              <w:rPr>
                <w:sz w:val="28"/>
              </w:rPr>
            </w:pPr>
            <w:r>
              <w:rPr>
                <w:w w:val="100"/>
                <w:sz w:val="28"/>
              </w:rPr>
              <w:t>4</w:t>
            </w:r>
          </w:p>
        </w:tc>
      </w:tr>
      <w:tr>
        <w:trPr>
          <w:trHeight w:val="1549" w:hRule="exact"/>
        </w:trPr>
        <w:tc>
          <w:tcPr>
            <w:tcW w:w="468" w:type="dxa"/>
            <w:tcBorders>
              <w:left w:val="single" w:sz="4" w:space="0" w:color="000000"/>
              <w:right w:val="single" w:sz="4" w:space="0" w:color="000000"/>
            </w:tcBorders>
            <w:shd w:val="clear" w:color="auto" w:fill="F1F1F1"/>
          </w:tcPr>
          <w:p>
            <w:pPr>
              <w:pStyle w:val="TableParagraph"/>
              <w:spacing w:line="360" w:lineRule="auto" w:before="74"/>
              <w:ind w:left="151" w:right="126" w:hanging="24"/>
              <w:jc w:val="both"/>
              <w:rPr>
                <w:sz w:val="28"/>
              </w:rPr>
            </w:pPr>
            <w:r>
              <w:rPr>
                <w:sz w:val="28"/>
              </w:rPr>
              <w:t>G F 4</w:t>
            </w:r>
          </w:p>
        </w:tc>
        <w:tc>
          <w:tcPr>
            <w:tcW w:w="5803" w:type="dxa"/>
            <w:tcBorders>
              <w:left w:val="single" w:sz="4" w:space="0" w:color="000000"/>
            </w:tcBorders>
          </w:tcPr>
          <w:p>
            <w:pPr/>
          </w:p>
        </w:tc>
        <w:tc>
          <w:tcPr>
            <w:tcW w:w="643" w:type="dxa"/>
          </w:tcPr>
          <w:p>
            <w:pPr/>
          </w:p>
        </w:tc>
        <w:tc>
          <w:tcPr>
            <w:tcW w:w="792" w:type="dxa"/>
          </w:tcPr>
          <w:p>
            <w:pPr/>
          </w:p>
        </w:tc>
        <w:tc>
          <w:tcPr>
            <w:tcW w:w="792" w:type="dxa"/>
          </w:tcPr>
          <w:p>
            <w:pPr/>
          </w:p>
        </w:tc>
        <w:tc>
          <w:tcPr>
            <w:tcW w:w="792" w:type="dxa"/>
          </w:tcPr>
          <w:p>
            <w:pPr/>
          </w:p>
        </w:tc>
        <w:tc>
          <w:tcPr>
            <w:tcW w:w="666" w:type="dxa"/>
          </w:tcPr>
          <w:p>
            <w:pPr/>
          </w:p>
        </w:tc>
      </w:tr>
      <w:tr>
        <w:trPr>
          <w:trHeight w:val="683" w:hRule="exact"/>
        </w:trPr>
        <w:tc>
          <w:tcPr>
            <w:tcW w:w="468" w:type="dxa"/>
            <w:tcBorders>
              <w:left w:val="single" w:sz="4" w:space="0" w:color="000000"/>
              <w:right w:val="single" w:sz="4" w:space="0" w:color="000000"/>
            </w:tcBorders>
            <w:shd w:val="clear" w:color="auto" w:fill="F1F1F1"/>
          </w:tcPr>
          <w:p>
            <w:pPr/>
          </w:p>
        </w:tc>
        <w:tc>
          <w:tcPr>
            <w:tcW w:w="5803" w:type="dxa"/>
            <w:tcBorders>
              <w:left w:val="single" w:sz="4" w:space="0" w:color="000000"/>
            </w:tcBorders>
          </w:tcPr>
          <w:p>
            <w:pPr>
              <w:pStyle w:val="TableParagraph"/>
              <w:spacing w:before="174"/>
              <w:ind w:left="335"/>
              <w:rPr>
                <w:sz w:val="28"/>
              </w:rPr>
            </w:pPr>
            <w:r>
              <w:rPr>
                <w:sz w:val="28"/>
              </w:rPr>
              <w:t>Я хорошо сплю.................................................</w:t>
            </w:r>
          </w:p>
        </w:tc>
        <w:tc>
          <w:tcPr>
            <w:tcW w:w="643" w:type="dxa"/>
          </w:tcPr>
          <w:p>
            <w:pPr>
              <w:pStyle w:val="TableParagraph"/>
              <w:spacing w:before="174"/>
              <w:ind w:left="176"/>
              <w:rPr>
                <w:sz w:val="28"/>
              </w:rPr>
            </w:pPr>
            <w:r>
              <w:rPr>
                <w:w w:val="100"/>
                <w:sz w:val="28"/>
              </w:rPr>
              <w:t>0</w:t>
            </w:r>
          </w:p>
        </w:tc>
        <w:tc>
          <w:tcPr>
            <w:tcW w:w="792" w:type="dxa"/>
          </w:tcPr>
          <w:p>
            <w:pPr>
              <w:pStyle w:val="TableParagraph"/>
              <w:spacing w:before="174"/>
              <w:jc w:val="center"/>
              <w:rPr>
                <w:sz w:val="28"/>
              </w:rPr>
            </w:pPr>
            <w:r>
              <w:rPr>
                <w:w w:val="100"/>
                <w:sz w:val="28"/>
              </w:rPr>
              <w:t>1</w:t>
            </w:r>
          </w:p>
        </w:tc>
        <w:tc>
          <w:tcPr>
            <w:tcW w:w="792" w:type="dxa"/>
          </w:tcPr>
          <w:p>
            <w:pPr>
              <w:pStyle w:val="TableParagraph"/>
              <w:spacing w:before="174"/>
              <w:ind w:left="326"/>
              <w:rPr>
                <w:sz w:val="28"/>
              </w:rPr>
            </w:pPr>
            <w:r>
              <w:rPr>
                <w:w w:val="100"/>
                <w:sz w:val="28"/>
              </w:rPr>
              <w:t>2</w:t>
            </w:r>
          </w:p>
        </w:tc>
        <w:tc>
          <w:tcPr>
            <w:tcW w:w="792" w:type="dxa"/>
          </w:tcPr>
          <w:p>
            <w:pPr>
              <w:pStyle w:val="TableParagraph"/>
              <w:spacing w:before="174"/>
              <w:jc w:val="center"/>
              <w:rPr>
                <w:sz w:val="28"/>
              </w:rPr>
            </w:pPr>
            <w:r>
              <w:rPr>
                <w:w w:val="100"/>
                <w:sz w:val="28"/>
              </w:rPr>
              <w:t>3</w:t>
            </w:r>
          </w:p>
        </w:tc>
        <w:tc>
          <w:tcPr>
            <w:tcW w:w="666" w:type="dxa"/>
          </w:tcPr>
          <w:p>
            <w:pPr>
              <w:pStyle w:val="TableParagraph"/>
              <w:spacing w:before="174"/>
              <w:ind w:right="198"/>
              <w:jc w:val="right"/>
              <w:rPr>
                <w:sz w:val="28"/>
              </w:rPr>
            </w:pPr>
            <w:r>
              <w:rPr>
                <w:w w:val="100"/>
                <w:sz w:val="28"/>
              </w:rPr>
              <w:t>4</w:t>
            </w:r>
          </w:p>
        </w:tc>
      </w:tr>
      <w:tr>
        <w:trPr>
          <w:trHeight w:val="1891" w:hRule="exact"/>
        </w:trPr>
        <w:tc>
          <w:tcPr>
            <w:tcW w:w="468" w:type="dxa"/>
            <w:tcBorders>
              <w:left w:val="single" w:sz="4" w:space="0" w:color="000000"/>
              <w:right w:val="single" w:sz="4" w:space="0" w:color="000000"/>
            </w:tcBorders>
            <w:shd w:val="clear" w:color="auto" w:fill="F1F1F1"/>
          </w:tcPr>
          <w:p>
            <w:pPr>
              <w:pStyle w:val="TableParagraph"/>
              <w:spacing w:line="360" w:lineRule="auto" w:before="175"/>
              <w:ind w:left="151" w:right="126" w:hanging="24"/>
              <w:jc w:val="both"/>
              <w:rPr>
                <w:sz w:val="28"/>
              </w:rPr>
            </w:pPr>
            <w:r>
              <w:rPr>
                <w:sz w:val="28"/>
              </w:rPr>
              <w:t>G F 5</w:t>
            </w:r>
          </w:p>
        </w:tc>
        <w:tc>
          <w:tcPr>
            <w:tcW w:w="5803" w:type="dxa"/>
            <w:tcBorders>
              <w:left w:val="single" w:sz="4" w:space="0" w:color="000000"/>
            </w:tcBorders>
          </w:tcPr>
          <w:p>
            <w:pPr/>
          </w:p>
        </w:tc>
        <w:tc>
          <w:tcPr>
            <w:tcW w:w="643" w:type="dxa"/>
          </w:tcPr>
          <w:p>
            <w:pPr/>
          </w:p>
        </w:tc>
        <w:tc>
          <w:tcPr>
            <w:tcW w:w="792" w:type="dxa"/>
          </w:tcPr>
          <w:p>
            <w:pPr/>
          </w:p>
        </w:tc>
        <w:tc>
          <w:tcPr>
            <w:tcW w:w="792" w:type="dxa"/>
          </w:tcPr>
          <w:p>
            <w:pPr/>
          </w:p>
        </w:tc>
        <w:tc>
          <w:tcPr>
            <w:tcW w:w="792" w:type="dxa"/>
          </w:tcPr>
          <w:p>
            <w:pPr/>
          </w:p>
        </w:tc>
        <w:tc>
          <w:tcPr>
            <w:tcW w:w="666" w:type="dxa"/>
          </w:tcPr>
          <w:p>
            <w:pPr/>
          </w:p>
        </w:tc>
      </w:tr>
      <w:tr>
        <w:trPr>
          <w:trHeight w:val="2091" w:hRule="exact"/>
        </w:trPr>
        <w:tc>
          <w:tcPr>
            <w:tcW w:w="468" w:type="dxa"/>
            <w:tcBorders>
              <w:left w:val="single" w:sz="4" w:space="0" w:color="000000"/>
              <w:right w:val="single" w:sz="4" w:space="0" w:color="000000"/>
            </w:tcBorders>
            <w:shd w:val="clear" w:color="auto" w:fill="F1F1F1"/>
          </w:tcPr>
          <w:p>
            <w:pPr>
              <w:pStyle w:val="TableParagraph"/>
              <w:rPr>
                <w:sz w:val="30"/>
              </w:rPr>
            </w:pPr>
          </w:p>
          <w:p>
            <w:pPr>
              <w:pStyle w:val="TableParagraph"/>
              <w:spacing w:before="6"/>
              <w:rPr>
                <w:sz w:val="23"/>
              </w:rPr>
            </w:pPr>
          </w:p>
          <w:p>
            <w:pPr>
              <w:pStyle w:val="TableParagraph"/>
              <w:spacing w:line="360" w:lineRule="auto"/>
              <w:ind w:left="151" w:right="126" w:hanging="24"/>
              <w:jc w:val="both"/>
              <w:rPr>
                <w:sz w:val="28"/>
              </w:rPr>
            </w:pPr>
            <w:r>
              <w:rPr>
                <w:sz w:val="28"/>
              </w:rPr>
              <w:t>G F 6</w:t>
            </w:r>
          </w:p>
        </w:tc>
        <w:tc>
          <w:tcPr>
            <w:tcW w:w="5803" w:type="dxa"/>
            <w:tcBorders>
              <w:left w:val="single" w:sz="4" w:space="0" w:color="000000"/>
            </w:tcBorders>
          </w:tcPr>
          <w:p>
            <w:pPr>
              <w:pStyle w:val="TableParagraph"/>
              <w:spacing w:before="2"/>
              <w:rPr>
                <w:sz w:val="36"/>
              </w:rPr>
            </w:pPr>
          </w:p>
          <w:p>
            <w:pPr>
              <w:pStyle w:val="TableParagraph"/>
              <w:spacing w:line="360" w:lineRule="auto"/>
              <w:ind w:left="103"/>
              <w:rPr>
                <w:sz w:val="28"/>
              </w:rPr>
            </w:pPr>
            <w:r>
              <w:rPr>
                <w:sz w:val="28"/>
              </w:rPr>
              <w:t>Я получаю удовольствие от того, чем я занимаюсь в свободное время</w:t>
            </w:r>
          </w:p>
        </w:tc>
        <w:tc>
          <w:tcPr>
            <w:tcW w:w="643" w:type="dxa"/>
          </w:tcPr>
          <w:p>
            <w:pPr>
              <w:pStyle w:val="TableParagraph"/>
              <w:rPr>
                <w:sz w:val="30"/>
              </w:rPr>
            </w:pPr>
          </w:p>
          <w:p>
            <w:pPr>
              <w:pStyle w:val="TableParagraph"/>
              <w:spacing w:before="7"/>
              <w:rPr>
                <w:sz w:val="44"/>
              </w:rPr>
            </w:pPr>
          </w:p>
          <w:p>
            <w:pPr>
              <w:pStyle w:val="TableParagraph"/>
              <w:ind w:left="176"/>
              <w:rPr>
                <w:sz w:val="28"/>
              </w:rPr>
            </w:pPr>
            <w:r>
              <w:rPr>
                <w:w w:val="100"/>
                <w:sz w:val="28"/>
              </w:rPr>
              <w:t>0</w:t>
            </w:r>
          </w:p>
        </w:tc>
        <w:tc>
          <w:tcPr>
            <w:tcW w:w="792" w:type="dxa"/>
          </w:tcPr>
          <w:p>
            <w:pPr>
              <w:pStyle w:val="TableParagraph"/>
              <w:rPr>
                <w:sz w:val="30"/>
              </w:rPr>
            </w:pPr>
          </w:p>
          <w:p>
            <w:pPr>
              <w:pStyle w:val="TableParagraph"/>
              <w:spacing w:before="9"/>
              <w:rPr>
                <w:sz w:val="35"/>
              </w:rPr>
            </w:pPr>
          </w:p>
          <w:p>
            <w:pPr>
              <w:pStyle w:val="TableParagraph"/>
              <w:spacing w:before="1"/>
              <w:jc w:val="center"/>
              <w:rPr>
                <w:sz w:val="28"/>
              </w:rPr>
            </w:pPr>
            <w:r>
              <w:rPr>
                <w:w w:val="100"/>
                <w:sz w:val="28"/>
              </w:rPr>
              <w:t>1</w:t>
            </w:r>
          </w:p>
        </w:tc>
        <w:tc>
          <w:tcPr>
            <w:tcW w:w="792" w:type="dxa"/>
          </w:tcPr>
          <w:p>
            <w:pPr>
              <w:pStyle w:val="TableParagraph"/>
              <w:rPr>
                <w:sz w:val="30"/>
              </w:rPr>
            </w:pPr>
          </w:p>
          <w:p>
            <w:pPr>
              <w:pStyle w:val="TableParagraph"/>
              <w:spacing w:before="9"/>
              <w:rPr>
                <w:sz w:val="35"/>
              </w:rPr>
            </w:pPr>
          </w:p>
          <w:p>
            <w:pPr>
              <w:pStyle w:val="TableParagraph"/>
              <w:spacing w:before="1"/>
              <w:ind w:left="326"/>
              <w:rPr>
                <w:sz w:val="28"/>
              </w:rPr>
            </w:pPr>
            <w:r>
              <w:rPr>
                <w:w w:val="100"/>
                <w:sz w:val="28"/>
              </w:rPr>
              <w:t>2</w:t>
            </w:r>
          </w:p>
        </w:tc>
        <w:tc>
          <w:tcPr>
            <w:tcW w:w="792" w:type="dxa"/>
          </w:tcPr>
          <w:p>
            <w:pPr>
              <w:pStyle w:val="TableParagraph"/>
              <w:rPr>
                <w:sz w:val="30"/>
              </w:rPr>
            </w:pPr>
          </w:p>
          <w:p>
            <w:pPr>
              <w:pStyle w:val="TableParagraph"/>
              <w:spacing w:before="9"/>
              <w:rPr>
                <w:sz w:val="35"/>
              </w:rPr>
            </w:pPr>
          </w:p>
          <w:p>
            <w:pPr>
              <w:pStyle w:val="TableParagraph"/>
              <w:spacing w:before="1"/>
              <w:jc w:val="center"/>
              <w:rPr>
                <w:sz w:val="28"/>
              </w:rPr>
            </w:pPr>
            <w:r>
              <w:rPr>
                <w:w w:val="100"/>
                <w:sz w:val="28"/>
              </w:rPr>
              <w:t>3</w:t>
            </w:r>
          </w:p>
        </w:tc>
        <w:tc>
          <w:tcPr>
            <w:tcW w:w="666" w:type="dxa"/>
          </w:tcPr>
          <w:p>
            <w:pPr>
              <w:pStyle w:val="TableParagraph"/>
              <w:rPr>
                <w:sz w:val="30"/>
              </w:rPr>
            </w:pPr>
          </w:p>
          <w:p>
            <w:pPr>
              <w:pStyle w:val="TableParagraph"/>
              <w:spacing w:before="9"/>
              <w:rPr>
                <w:sz w:val="35"/>
              </w:rPr>
            </w:pPr>
          </w:p>
          <w:p>
            <w:pPr>
              <w:pStyle w:val="TableParagraph"/>
              <w:spacing w:before="1"/>
              <w:ind w:right="198"/>
              <w:jc w:val="right"/>
              <w:rPr>
                <w:sz w:val="28"/>
              </w:rPr>
            </w:pPr>
            <w:r>
              <w:rPr>
                <w:w w:val="100"/>
                <w:sz w:val="28"/>
              </w:rPr>
              <w:t>4</w:t>
            </w:r>
          </w:p>
        </w:tc>
      </w:tr>
      <w:tr>
        <w:trPr>
          <w:trHeight w:val="1410" w:hRule="exact"/>
        </w:trPr>
        <w:tc>
          <w:tcPr>
            <w:tcW w:w="468" w:type="dxa"/>
            <w:vMerge w:val="restart"/>
            <w:tcBorders>
              <w:left w:val="single" w:sz="4" w:space="0" w:color="000000"/>
              <w:right w:val="single" w:sz="4" w:space="0" w:color="000000"/>
            </w:tcBorders>
            <w:shd w:val="clear" w:color="auto" w:fill="F1F1F1"/>
          </w:tcPr>
          <w:p>
            <w:pPr>
              <w:pStyle w:val="TableParagraph"/>
              <w:rPr>
                <w:sz w:val="30"/>
              </w:rPr>
            </w:pPr>
          </w:p>
          <w:p>
            <w:pPr>
              <w:pStyle w:val="TableParagraph"/>
              <w:spacing w:before="7"/>
              <w:rPr>
                <w:sz w:val="44"/>
              </w:rPr>
            </w:pPr>
          </w:p>
          <w:p>
            <w:pPr>
              <w:pStyle w:val="TableParagraph"/>
              <w:spacing w:line="360" w:lineRule="auto"/>
              <w:ind w:left="151" w:right="126" w:hanging="24"/>
              <w:jc w:val="both"/>
              <w:rPr>
                <w:sz w:val="28"/>
              </w:rPr>
            </w:pPr>
            <w:r>
              <w:rPr>
                <w:sz w:val="28"/>
              </w:rPr>
              <w:t>G F 7</w:t>
            </w:r>
          </w:p>
        </w:tc>
        <w:tc>
          <w:tcPr>
            <w:tcW w:w="5803" w:type="dxa"/>
            <w:tcBorders>
              <w:left w:val="single" w:sz="4" w:space="0" w:color="000000"/>
            </w:tcBorders>
          </w:tcPr>
          <w:p>
            <w:pPr>
              <w:pStyle w:val="TableParagraph"/>
              <w:spacing w:before="174"/>
              <w:ind w:left="335"/>
              <w:rPr>
                <w:sz w:val="28"/>
              </w:rPr>
            </w:pPr>
            <w:r>
              <w:rPr>
                <w:sz w:val="28"/>
              </w:rPr>
              <w:t>Я удовлетворен(-а) качеством моей жизни</w:t>
            </w:r>
          </w:p>
          <w:p>
            <w:pPr>
              <w:pStyle w:val="TableParagraph"/>
              <w:spacing w:before="162"/>
              <w:ind w:left="335"/>
              <w:rPr>
                <w:sz w:val="28"/>
              </w:rPr>
            </w:pPr>
            <w:r>
              <w:rPr>
                <w:sz w:val="28"/>
              </w:rPr>
              <w:t>в данный момент..............................................</w:t>
            </w:r>
          </w:p>
        </w:tc>
        <w:tc>
          <w:tcPr>
            <w:tcW w:w="643" w:type="dxa"/>
          </w:tcPr>
          <w:p>
            <w:pPr/>
          </w:p>
        </w:tc>
        <w:tc>
          <w:tcPr>
            <w:tcW w:w="792" w:type="dxa"/>
          </w:tcPr>
          <w:p>
            <w:pPr/>
          </w:p>
        </w:tc>
        <w:tc>
          <w:tcPr>
            <w:tcW w:w="792" w:type="dxa"/>
          </w:tcPr>
          <w:p>
            <w:pPr/>
          </w:p>
        </w:tc>
        <w:tc>
          <w:tcPr>
            <w:tcW w:w="792" w:type="dxa"/>
          </w:tcPr>
          <w:p>
            <w:pPr/>
          </w:p>
        </w:tc>
        <w:tc>
          <w:tcPr>
            <w:tcW w:w="666" w:type="dxa"/>
          </w:tcPr>
          <w:p>
            <w:pPr/>
          </w:p>
        </w:tc>
      </w:tr>
      <w:tr>
        <w:trPr>
          <w:trHeight w:val="1110" w:hRule="exact"/>
        </w:trPr>
        <w:tc>
          <w:tcPr>
            <w:tcW w:w="468" w:type="dxa"/>
            <w:vMerge/>
            <w:tcBorders>
              <w:left w:val="single" w:sz="4" w:space="0" w:color="000000"/>
              <w:bottom w:val="single" w:sz="4" w:space="0" w:color="000000"/>
              <w:right w:val="single" w:sz="4" w:space="0" w:color="000000"/>
            </w:tcBorders>
            <w:shd w:val="clear" w:color="auto" w:fill="F1F1F1"/>
          </w:tcPr>
          <w:p>
            <w:pPr/>
          </w:p>
        </w:tc>
        <w:tc>
          <w:tcPr>
            <w:tcW w:w="5803" w:type="dxa"/>
            <w:tcBorders>
              <w:left w:val="single" w:sz="4" w:space="0" w:color="000000"/>
            </w:tcBorders>
          </w:tcPr>
          <w:p>
            <w:pPr/>
          </w:p>
        </w:tc>
        <w:tc>
          <w:tcPr>
            <w:tcW w:w="643" w:type="dxa"/>
          </w:tcPr>
          <w:p>
            <w:pPr>
              <w:pStyle w:val="TableParagraph"/>
              <w:spacing w:before="3"/>
              <w:rPr>
                <w:sz w:val="36"/>
              </w:rPr>
            </w:pPr>
          </w:p>
          <w:p>
            <w:pPr>
              <w:pStyle w:val="TableParagraph"/>
              <w:ind w:left="176"/>
              <w:rPr>
                <w:sz w:val="28"/>
              </w:rPr>
            </w:pPr>
            <w:r>
              <w:rPr>
                <w:w w:val="100"/>
                <w:sz w:val="28"/>
              </w:rPr>
              <w:t>0</w:t>
            </w:r>
          </w:p>
        </w:tc>
        <w:tc>
          <w:tcPr>
            <w:tcW w:w="792" w:type="dxa"/>
          </w:tcPr>
          <w:p>
            <w:pPr>
              <w:pStyle w:val="TableParagraph"/>
              <w:spacing w:before="3"/>
              <w:rPr>
                <w:sz w:val="36"/>
              </w:rPr>
            </w:pPr>
          </w:p>
          <w:p>
            <w:pPr>
              <w:pStyle w:val="TableParagraph"/>
              <w:jc w:val="center"/>
              <w:rPr>
                <w:sz w:val="28"/>
              </w:rPr>
            </w:pPr>
            <w:r>
              <w:rPr>
                <w:w w:val="100"/>
                <w:sz w:val="28"/>
              </w:rPr>
              <w:t>1</w:t>
            </w:r>
          </w:p>
        </w:tc>
        <w:tc>
          <w:tcPr>
            <w:tcW w:w="792" w:type="dxa"/>
          </w:tcPr>
          <w:p>
            <w:pPr>
              <w:pStyle w:val="TableParagraph"/>
              <w:spacing w:before="3"/>
              <w:rPr>
                <w:sz w:val="36"/>
              </w:rPr>
            </w:pPr>
          </w:p>
          <w:p>
            <w:pPr>
              <w:pStyle w:val="TableParagraph"/>
              <w:ind w:left="326"/>
              <w:rPr>
                <w:sz w:val="28"/>
              </w:rPr>
            </w:pPr>
            <w:r>
              <w:rPr>
                <w:w w:val="100"/>
                <w:sz w:val="28"/>
              </w:rPr>
              <w:t>2</w:t>
            </w:r>
          </w:p>
        </w:tc>
        <w:tc>
          <w:tcPr>
            <w:tcW w:w="792" w:type="dxa"/>
          </w:tcPr>
          <w:p>
            <w:pPr>
              <w:pStyle w:val="TableParagraph"/>
              <w:spacing w:before="3"/>
              <w:rPr>
                <w:sz w:val="36"/>
              </w:rPr>
            </w:pPr>
          </w:p>
          <w:p>
            <w:pPr>
              <w:pStyle w:val="TableParagraph"/>
              <w:jc w:val="center"/>
              <w:rPr>
                <w:sz w:val="28"/>
              </w:rPr>
            </w:pPr>
            <w:r>
              <w:rPr>
                <w:w w:val="100"/>
                <w:sz w:val="28"/>
              </w:rPr>
              <w:t>3</w:t>
            </w:r>
          </w:p>
        </w:tc>
        <w:tc>
          <w:tcPr>
            <w:tcW w:w="666" w:type="dxa"/>
          </w:tcPr>
          <w:p>
            <w:pPr>
              <w:pStyle w:val="TableParagraph"/>
              <w:spacing w:before="3"/>
              <w:rPr>
                <w:sz w:val="36"/>
              </w:rPr>
            </w:pPr>
          </w:p>
          <w:p>
            <w:pPr>
              <w:pStyle w:val="TableParagraph"/>
              <w:ind w:right="198"/>
              <w:jc w:val="right"/>
              <w:rPr>
                <w:sz w:val="28"/>
              </w:rPr>
            </w:pPr>
            <w:r>
              <w:rPr>
                <w:w w:val="100"/>
                <w:sz w:val="28"/>
              </w:rPr>
              <w:t>4</w:t>
            </w:r>
          </w:p>
        </w:tc>
      </w:tr>
    </w:tbl>
    <w:p>
      <w:pPr>
        <w:spacing w:after="0"/>
        <w:jc w:val="right"/>
        <w:rPr>
          <w:sz w:val="28"/>
        </w:rPr>
        <w:sectPr>
          <w:pgSz w:w="11900" w:h="16850"/>
          <w:pgMar w:header="712" w:footer="0" w:top="1020" w:bottom="280" w:left="1580" w:right="140"/>
        </w:sectPr>
      </w:pPr>
    </w:p>
    <w:p>
      <w:pPr>
        <w:pStyle w:val="BodyText"/>
        <w:rPr>
          <w:sz w:val="20"/>
        </w:rPr>
      </w:pPr>
    </w:p>
    <w:p>
      <w:pPr>
        <w:pStyle w:val="BodyText"/>
        <w:rPr>
          <w:sz w:val="20"/>
        </w:rPr>
      </w:pPr>
    </w:p>
    <w:p>
      <w:pPr>
        <w:pStyle w:val="Heading1"/>
        <w:spacing w:before="228"/>
        <w:ind w:left="2901"/>
      </w:pPr>
      <w:r>
        <w:rPr/>
        <w:t>СПИСОК СОКРАЩЕНИЙ</w:t>
      </w:r>
    </w:p>
    <w:p>
      <w:pPr>
        <w:pStyle w:val="BodyText"/>
        <w:spacing w:line="362" w:lineRule="auto" w:before="241"/>
        <w:ind w:left="102"/>
      </w:pPr>
      <w:r>
        <w:rPr/>
        <w:t>ASA – Американское Сообщество Анестезиологов (American Society of Anesthesiology)</w:t>
      </w:r>
    </w:p>
    <w:p>
      <w:pPr>
        <w:pStyle w:val="BodyText"/>
        <w:spacing w:before="2"/>
        <w:ind w:left="102"/>
        <w:jc w:val="both"/>
      </w:pPr>
      <w:r>
        <w:rPr/>
        <w:t>CA-125 – биомаркер злокачественных опухолей (Cancer antigen 125)</w:t>
      </w:r>
    </w:p>
    <w:p>
      <w:pPr>
        <w:pStyle w:val="BodyText"/>
        <w:spacing w:line="360" w:lineRule="auto" w:before="160"/>
        <w:ind w:left="102"/>
      </w:pPr>
      <w:r>
        <w:rPr/>
        <w:t>ESMO – Европейское Сообщество Онкологии (European Society for Medical Oncology)</w:t>
      </w:r>
    </w:p>
    <w:p>
      <w:pPr>
        <w:pStyle w:val="BodyText"/>
        <w:spacing w:line="362" w:lineRule="auto" w:before="5"/>
        <w:ind w:left="102"/>
      </w:pPr>
      <w:r>
        <w:rPr/>
        <w:t>FIGO – Международная Федерация Акушер-гинекологов (International Federation of Gynecology and Obstetrics)</w:t>
      </w:r>
    </w:p>
    <w:p>
      <w:pPr>
        <w:pStyle w:val="BodyText"/>
        <w:spacing w:line="360" w:lineRule="auto" w:before="2"/>
        <w:ind w:left="102" w:right="104"/>
        <w:jc w:val="both"/>
      </w:pPr>
      <w:r>
        <w:rPr/>
        <w:t>GLOBOCAN – проект Международного Агентства по Исследованию Рака (International Agency for research on Cancer), разработан для оценки распространённости злокачественных опухолей в мире</w:t>
      </w:r>
    </w:p>
    <w:p>
      <w:pPr>
        <w:pStyle w:val="BodyText"/>
        <w:spacing w:line="360" w:lineRule="auto" w:before="7"/>
        <w:ind w:left="102"/>
      </w:pPr>
      <w:r>
        <w:rPr/>
        <w:t>IARC – Международное Агентство по Исследованию Рака (International Agency for Research on Cancer).</w:t>
      </w:r>
    </w:p>
    <w:p>
      <w:pPr>
        <w:pStyle w:val="BodyText"/>
        <w:tabs>
          <w:tab w:pos="953" w:val="left" w:leader="none"/>
          <w:tab w:pos="1417" w:val="left" w:leader="none"/>
          <w:tab w:pos="3043" w:val="left" w:leader="none"/>
          <w:tab w:pos="4906" w:val="left" w:leader="none"/>
          <w:tab w:pos="7292" w:val="left" w:leader="none"/>
          <w:tab w:pos="8431" w:val="left" w:leader="none"/>
        </w:tabs>
        <w:spacing w:line="360" w:lineRule="auto" w:before="5"/>
        <w:ind w:left="102" w:right="100"/>
      </w:pPr>
      <w:r>
        <w:rPr/>
        <w:t>ВОЗ</w:t>
        <w:tab/>
        <w:t>–</w:t>
        <w:tab/>
        <w:t>Всемирная</w:t>
        <w:tab/>
        <w:t>Организация</w:t>
        <w:tab/>
        <w:t>Здравоохранения</w:t>
        <w:tab/>
        <w:t>(World</w:t>
        <w:tab/>
      </w:r>
      <w:r>
        <w:rPr>
          <w:spacing w:val="-1"/>
        </w:rPr>
        <w:t>Health </w:t>
      </w:r>
      <w:r>
        <w:rPr/>
        <w:t>Organization)</w:t>
      </w:r>
    </w:p>
    <w:p>
      <w:pPr>
        <w:pStyle w:val="BodyText"/>
        <w:spacing w:before="7"/>
        <w:ind w:left="102"/>
        <w:jc w:val="both"/>
      </w:pPr>
      <w:r>
        <w:rPr/>
        <w:t>БА – бронхиальная астма</w:t>
      </w:r>
    </w:p>
    <w:p>
      <w:pPr>
        <w:pStyle w:val="BodyText"/>
        <w:spacing w:line="684" w:lineRule="exact" w:before="73"/>
        <w:ind w:left="102" w:right="1774"/>
      </w:pPr>
      <w:r>
        <w:rPr/>
        <w:t>ВРВНК – варикозно-расширенные вены нижних конечностей ГБ – гипертоническая болезнь</w:t>
      </w:r>
    </w:p>
    <w:p>
      <w:pPr>
        <w:pStyle w:val="BodyText"/>
        <w:spacing w:line="360" w:lineRule="auto" w:before="83"/>
        <w:ind w:left="102" w:right="4853"/>
      </w:pPr>
      <w:r>
        <w:rPr/>
        <w:t>ИБС – ишемическая болезнь сердца ИМТ – индекс массы тела</w:t>
      </w:r>
    </w:p>
    <w:p>
      <w:pPr>
        <w:pStyle w:val="BodyText"/>
        <w:spacing w:before="4"/>
        <w:ind w:left="102"/>
        <w:jc w:val="both"/>
      </w:pPr>
      <w:r>
        <w:rPr/>
        <w:t>ИР - индекс резистентности</w:t>
      </w:r>
    </w:p>
    <w:p>
      <w:pPr>
        <w:pStyle w:val="BodyText"/>
        <w:spacing w:line="360" w:lineRule="auto" w:before="162"/>
        <w:ind w:left="102" w:right="5302"/>
      </w:pPr>
      <w:r>
        <w:rPr/>
        <w:t>КТ – компьютерная томография ЛС – лапароскопия</w:t>
      </w:r>
    </w:p>
    <w:p>
      <w:pPr>
        <w:pStyle w:val="BodyText"/>
        <w:spacing w:before="5"/>
        <w:ind w:left="102"/>
        <w:jc w:val="both"/>
      </w:pPr>
      <w:r>
        <w:rPr/>
        <w:t>ЛТ – лапаротомия</w:t>
      </w:r>
    </w:p>
    <w:p>
      <w:pPr>
        <w:pStyle w:val="BodyText"/>
        <w:spacing w:before="160"/>
        <w:ind w:left="102"/>
        <w:jc w:val="both"/>
      </w:pPr>
      <w:r>
        <w:rPr/>
        <w:t>МПА – медоксипрогестерона ацетат</w:t>
      </w:r>
    </w:p>
    <w:p>
      <w:pPr>
        <w:pStyle w:val="BodyText"/>
        <w:spacing w:before="162"/>
        <w:ind w:left="102"/>
        <w:jc w:val="both"/>
      </w:pPr>
      <w:r>
        <w:rPr/>
        <w:t>МРТ – магнитно – резонансная томография</w:t>
      </w:r>
    </w:p>
    <w:p>
      <w:pPr>
        <w:pStyle w:val="BodyText"/>
        <w:spacing w:before="3"/>
        <w:rPr>
          <w:sz w:val="31"/>
        </w:rPr>
      </w:pPr>
    </w:p>
    <w:p>
      <w:pPr>
        <w:pStyle w:val="BodyText"/>
        <w:ind w:left="102"/>
        <w:jc w:val="both"/>
      </w:pPr>
      <w:r>
        <w:rPr/>
        <w:t>ОНМК – острое нарушение мозгового кровообращения</w:t>
      </w:r>
    </w:p>
    <w:p>
      <w:pPr>
        <w:spacing w:after="0"/>
        <w:jc w:val="both"/>
        <w:sectPr>
          <w:pgSz w:w="11900" w:h="16850"/>
          <w:pgMar w:header="712" w:footer="0" w:top="1020" w:bottom="280" w:left="1600" w:right="1020"/>
        </w:sectPr>
      </w:pPr>
    </w:p>
    <w:p>
      <w:pPr>
        <w:pStyle w:val="BodyText"/>
        <w:rPr>
          <w:sz w:val="20"/>
        </w:rPr>
      </w:pPr>
    </w:p>
    <w:p>
      <w:pPr>
        <w:pStyle w:val="BodyText"/>
        <w:spacing w:line="360" w:lineRule="auto" w:before="252"/>
        <w:ind w:left="102" w:right="4964"/>
      </w:pPr>
      <w:r>
        <w:rPr/>
        <w:t>ОР – относительный риск РМЖ – рак молочной железы РЭ – рак эндометрия</w:t>
      </w:r>
    </w:p>
    <w:p>
      <w:pPr>
        <w:pStyle w:val="BodyText"/>
        <w:spacing w:line="360" w:lineRule="auto" w:before="5"/>
        <w:ind w:left="171" w:right="5506" w:hanging="70"/>
      </w:pPr>
      <w:r>
        <w:rPr/>
        <w:t>РШМ – рак шейки матки РЯ – рак яичников</w:t>
      </w:r>
    </w:p>
    <w:p>
      <w:pPr>
        <w:pStyle w:val="BodyText"/>
        <w:spacing w:before="7"/>
        <w:ind w:left="102"/>
      </w:pPr>
      <w:r>
        <w:rPr/>
        <w:t>СД – сахарный диабет</w:t>
      </w:r>
    </w:p>
    <w:p>
      <w:pPr>
        <w:pStyle w:val="BodyText"/>
        <w:spacing w:before="159"/>
        <w:ind w:left="102"/>
      </w:pPr>
      <w:r>
        <w:rPr/>
        <w:t>УЗИ – ультразвуковое исследование</w:t>
      </w:r>
    </w:p>
    <w:p>
      <w:pPr>
        <w:pStyle w:val="BodyText"/>
        <w:spacing w:before="3"/>
        <w:rPr>
          <w:sz w:val="31"/>
        </w:rPr>
      </w:pPr>
    </w:p>
    <w:p>
      <w:pPr>
        <w:pStyle w:val="BodyText"/>
        <w:ind w:left="102"/>
      </w:pPr>
      <w:r>
        <w:rPr/>
        <w:t>ХОБЛ – хроническая обструктивная болезнь легких</w:t>
      </w:r>
    </w:p>
    <w:p>
      <w:pPr>
        <w:pStyle w:val="BodyText"/>
        <w:spacing w:before="5"/>
        <w:rPr>
          <w:sz w:val="31"/>
        </w:rPr>
      </w:pPr>
    </w:p>
    <w:p>
      <w:pPr>
        <w:pStyle w:val="BodyText"/>
        <w:spacing w:line="360" w:lineRule="auto"/>
        <w:ind w:left="171" w:right="2880" w:hanging="70"/>
      </w:pPr>
      <w:r>
        <w:rPr/>
        <w:t>ХПН – хроническая почечная недостаточность ЦДК -  цветное допплеровское картирование</w:t>
      </w:r>
    </w:p>
    <w:p>
      <w:pPr>
        <w:spacing w:after="0" w:line="360" w:lineRule="auto"/>
        <w:sectPr>
          <w:pgSz w:w="11900" w:h="16850"/>
          <w:pgMar w:header="712" w:footer="0" w:top="1020" w:bottom="280" w:left="1600" w:right="1680"/>
        </w:sect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Heading1"/>
        <w:spacing w:before="89"/>
        <w:ind w:left="2885"/>
      </w:pPr>
      <w:r>
        <w:rPr/>
        <w:t>СПИСОК ЛИТЕРАТУРЫ</w:t>
      </w:r>
    </w:p>
    <w:p>
      <w:pPr>
        <w:pStyle w:val="BodyText"/>
        <w:rPr>
          <w:b/>
          <w:sz w:val="36"/>
        </w:rPr>
      </w:pPr>
    </w:p>
    <w:p>
      <w:pPr>
        <w:pStyle w:val="ListParagraph"/>
        <w:numPr>
          <w:ilvl w:val="2"/>
          <w:numId w:val="55"/>
        </w:numPr>
        <w:tabs>
          <w:tab w:pos="882" w:val="left" w:leader="none"/>
        </w:tabs>
        <w:spacing w:line="360" w:lineRule="auto" w:before="0" w:after="0"/>
        <w:ind w:left="742" w:right="102" w:hanging="360"/>
        <w:jc w:val="both"/>
        <w:rPr>
          <w:sz w:val="28"/>
        </w:rPr>
      </w:pPr>
      <w:r>
        <w:rPr>
          <w:sz w:val="28"/>
        </w:rPr>
        <w:t>Алексеева М.Л., Андреева Е.Н., Новиков Е.А. и др. Определение антигенов СА-125, СА-19-9 и РЭА у гинекологических больных для дифференциальной диагностики и оценки эффективности оперативного лечения и последующего мониторинга // Акуш. и   </w:t>
      </w:r>
      <w:r>
        <w:rPr>
          <w:spacing w:val="45"/>
          <w:sz w:val="28"/>
        </w:rPr>
        <w:t> </w:t>
      </w:r>
      <w:r>
        <w:rPr>
          <w:sz w:val="28"/>
        </w:rPr>
        <w:t>гин.</w:t>
      </w:r>
    </w:p>
    <w:p>
      <w:pPr>
        <w:pStyle w:val="BodyText"/>
        <w:spacing w:before="5"/>
        <w:ind w:left="741"/>
      </w:pPr>
      <w:r>
        <w:rPr/>
        <w:t>— 1995. — № 5. — С. 25–28.</w:t>
      </w:r>
    </w:p>
    <w:p>
      <w:pPr>
        <w:pStyle w:val="ListParagraph"/>
        <w:numPr>
          <w:ilvl w:val="2"/>
          <w:numId w:val="55"/>
        </w:numPr>
        <w:tabs>
          <w:tab w:pos="882" w:val="left" w:leader="none"/>
        </w:tabs>
        <w:spacing w:line="360" w:lineRule="auto" w:before="162" w:after="0"/>
        <w:ind w:left="742" w:right="98" w:hanging="360"/>
        <w:jc w:val="both"/>
        <w:rPr>
          <w:sz w:val="28"/>
        </w:rPr>
      </w:pPr>
      <w:r>
        <w:rPr>
          <w:sz w:val="28"/>
        </w:rPr>
        <w:t>Алексеева М.Л., Фанченко Н.Д., Новиков Е.А., Маргиани Ф.Р. Опухолевые маркеры в гинекологии // Акуш. и гин. — 1995. — №   </w:t>
      </w:r>
      <w:r>
        <w:rPr>
          <w:spacing w:val="8"/>
          <w:sz w:val="28"/>
        </w:rPr>
        <w:t> </w:t>
      </w:r>
      <w:r>
        <w:rPr>
          <w:sz w:val="28"/>
        </w:rPr>
        <w:t>5.</w:t>
      </w:r>
    </w:p>
    <w:p>
      <w:pPr>
        <w:pStyle w:val="BodyText"/>
        <w:spacing w:before="5"/>
        <w:ind w:left="741"/>
      </w:pPr>
      <w:r>
        <w:rPr/>
        <w:t>— С. 35–37.</w:t>
      </w:r>
    </w:p>
    <w:p>
      <w:pPr>
        <w:pStyle w:val="ListParagraph"/>
        <w:numPr>
          <w:ilvl w:val="2"/>
          <w:numId w:val="55"/>
        </w:numPr>
        <w:tabs>
          <w:tab w:pos="742" w:val="left" w:leader="none"/>
        </w:tabs>
        <w:spacing w:line="360" w:lineRule="auto" w:before="160" w:after="0"/>
        <w:ind w:left="742" w:right="199" w:hanging="360"/>
        <w:jc w:val="both"/>
        <w:rPr>
          <w:sz w:val="28"/>
        </w:rPr>
      </w:pPr>
      <w:r>
        <w:rPr>
          <w:sz w:val="28"/>
        </w:rPr>
        <w:t>Антипов В.А. Радикальная абдоминальная  трахелэктомия (показания, методологические аспекты и результаты): дис. д-ра мед.наук: 14.01.12 / М., 2011. –</w:t>
      </w:r>
      <w:r>
        <w:rPr>
          <w:spacing w:val="-10"/>
          <w:sz w:val="28"/>
        </w:rPr>
        <w:t> </w:t>
      </w:r>
      <w:r>
        <w:rPr>
          <w:sz w:val="28"/>
        </w:rPr>
        <w:t>251с.</w:t>
      </w:r>
    </w:p>
    <w:p>
      <w:pPr>
        <w:pStyle w:val="ListParagraph"/>
        <w:numPr>
          <w:ilvl w:val="2"/>
          <w:numId w:val="55"/>
        </w:numPr>
        <w:tabs>
          <w:tab w:pos="742" w:val="left" w:leader="none"/>
        </w:tabs>
        <w:spacing w:line="360" w:lineRule="auto" w:before="5" w:after="0"/>
        <w:ind w:left="742" w:right="205" w:hanging="360"/>
        <w:jc w:val="both"/>
        <w:rPr>
          <w:sz w:val="28"/>
        </w:rPr>
      </w:pPr>
      <w:r>
        <w:rPr>
          <w:sz w:val="28"/>
        </w:rPr>
        <w:t>Ашрафян Л.А., Харченко Н.В., Огрызкова В.Л., Антонова И.Б. Принципы лечения пре- и микроинвазивного рака шейки матки. // Практ. онкол. - 2002. - т.3 - №3 -</w:t>
      </w:r>
      <w:r>
        <w:rPr>
          <w:spacing w:val="-15"/>
          <w:sz w:val="28"/>
        </w:rPr>
        <w:t> </w:t>
      </w:r>
      <w:r>
        <w:rPr>
          <w:sz w:val="28"/>
        </w:rPr>
        <w:t>с.173-177.</w:t>
      </w:r>
    </w:p>
    <w:p>
      <w:pPr>
        <w:pStyle w:val="ListParagraph"/>
        <w:numPr>
          <w:ilvl w:val="2"/>
          <w:numId w:val="55"/>
        </w:numPr>
        <w:tabs>
          <w:tab w:pos="742" w:val="left" w:leader="none"/>
        </w:tabs>
        <w:spacing w:line="360" w:lineRule="auto" w:before="5" w:after="0"/>
        <w:ind w:left="742" w:right="203" w:hanging="360"/>
        <w:jc w:val="both"/>
        <w:rPr>
          <w:sz w:val="28"/>
        </w:rPr>
      </w:pPr>
      <w:r>
        <w:rPr>
          <w:sz w:val="28"/>
        </w:rPr>
        <w:t>Ашрафян Л.А., Тё С.А., Огрызкова В.Л. Возможности современных ультразвуковых технологий в уточняющей диагностике рака эндометрия // Мед. визуал. – 2003. – №4. – С. 96 –</w:t>
      </w:r>
      <w:r>
        <w:rPr>
          <w:spacing w:val="-14"/>
          <w:sz w:val="28"/>
        </w:rPr>
        <w:t> </w:t>
      </w:r>
      <w:r>
        <w:rPr>
          <w:sz w:val="28"/>
        </w:rPr>
        <w:t>102.</w:t>
      </w:r>
    </w:p>
    <w:p>
      <w:pPr>
        <w:pStyle w:val="ListParagraph"/>
        <w:numPr>
          <w:ilvl w:val="2"/>
          <w:numId w:val="55"/>
        </w:numPr>
        <w:tabs>
          <w:tab w:pos="742" w:val="left" w:leader="none"/>
        </w:tabs>
        <w:spacing w:line="360" w:lineRule="auto" w:before="8" w:after="0"/>
        <w:ind w:left="742" w:right="198" w:hanging="360"/>
        <w:jc w:val="both"/>
        <w:rPr>
          <w:sz w:val="28"/>
        </w:rPr>
      </w:pPr>
      <w:r>
        <w:rPr>
          <w:sz w:val="28"/>
        </w:rPr>
        <w:t>Байдо С. В. Первый опыт тотальной лапароскопической гистерэктомии в сочетании с тазовой лимфаденэктомией. // Эндоскопия и альтернативные подходы в хирургическом лечении женских болезней (гинекология, акушерство, урогинекология, онкогинекология). Под ред. акад. РАМН, В. И. Кулакова; члена-корр. РАМН, Л. В. Адамян, - М. − 2001. - С.</w:t>
      </w:r>
      <w:r>
        <w:rPr>
          <w:spacing w:val="-13"/>
          <w:sz w:val="28"/>
        </w:rPr>
        <w:t> </w:t>
      </w:r>
      <w:r>
        <w:rPr>
          <w:sz w:val="28"/>
        </w:rPr>
        <w:t>489—491.</w:t>
      </w:r>
    </w:p>
    <w:p>
      <w:pPr>
        <w:pStyle w:val="ListParagraph"/>
        <w:numPr>
          <w:ilvl w:val="2"/>
          <w:numId w:val="55"/>
        </w:numPr>
        <w:tabs>
          <w:tab w:pos="742" w:val="left" w:leader="none"/>
        </w:tabs>
        <w:spacing w:line="360" w:lineRule="auto" w:before="5" w:after="0"/>
        <w:ind w:left="742" w:right="206" w:hanging="360"/>
        <w:jc w:val="both"/>
        <w:rPr>
          <w:sz w:val="28"/>
        </w:rPr>
      </w:pPr>
      <w:r>
        <w:rPr>
          <w:sz w:val="28"/>
        </w:rPr>
        <w:t>Балахонцева О.С. Состояние репродуктивного здоровья и восстановление   фертильности   после   радикальной</w:t>
      </w:r>
      <w:r>
        <w:rPr>
          <w:spacing w:val="15"/>
          <w:sz w:val="28"/>
        </w:rPr>
        <w:t> </w:t>
      </w:r>
      <w:r>
        <w:rPr>
          <w:sz w:val="28"/>
        </w:rPr>
        <w:t>абдоминальной</w:t>
      </w:r>
    </w:p>
    <w:p>
      <w:pPr>
        <w:spacing w:after="0" w:line="360" w:lineRule="auto"/>
        <w:jc w:val="both"/>
        <w:rPr>
          <w:sz w:val="28"/>
        </w:rPr>
        <w:sectPr>
          <w:pgSz w:w="11900" w:h="16850"/>
          <w:pgMar w:header="712" w:footer="0" w:top="1020" w:bottom="280" w:left="1680" w:right="920"/>
        </w:sectPr>
      </w:pPr>
    </w:p>
    <w:p>
      <w:pPr>
        <w:pStyle w:val="BodyText"/>
        <w:tabs>
          <w:tab w:pos="4767" w:val="left" w:leader="none"/>
        </w:tabs>
        <w:spacing w:line="360" w:lineRule="auto"/>
        <w:ind w:left="741" w:right="105"/>
      </w:pPr>
      <w:r>
        <w:rPr/>
        <w:t>трахелэктомии:</w:t>
      </w:r>
      <w:r>
        <w:rPr>
          <w:spacing w:val="37"/>
        </w:rPr>
        <w:t> </w:t>
      </w:r>
      <w:r>
        <w:rPr/>
        <w:t>автореф.</w:t>
      </w:r>
      <w:r>
        <w:rPr>
          <w:spacing w:val="37"/>
        </w:rPr>
        <w:t> </w:t>
      </w:r>
      <w:r>
        <w:rPr/>
        <w:t>дис.</w:t>
        <w:tab/>
        <w:t>канд.  мед.  наук:</w:t>
      </w:r>
      <w:r>
        <w:rPr>
          <w:spacing w:val="-22"/>
        </w:rPr>
        <w:t> </w:t>
      </w:r>
      <w:r>
        <w:rPr/>
        <w:t>14.01.12,</w:t>
      </w:r>
      <w:r>
        <w:rPr>
          <w:spacing w:val="36"/>
        </w:rPr>
        <w:t> </w:t>
      </w:r>
      <w:r>
        <w:rPr/>
        <w:t>14.00.01/</w:t>
      </w:r>
      <w:r>
        <w:rPr>
          <w:w w:val="100"/>
        </w:rPr>
        <w:t> </w:t>
      </w:r>
      <w:r>
        <w:rPr/>
        <w:t>Москва, 2011. –</w:t>
      </w:r>
      <w:r>
        <w:rPr>
          <w:spacing w:val="-6"/>
        </w:rPr>
        <w:t> </w:t>
      </w:r>
      <w:r>
        <w:rPr/>
        <w:t>34с.</w:t>
      </w:r>
    </w:p>
    <w:p>
      <w:pPr>
        <w:pStyle w:val="ListParagraph"/>
        <w:numPr>
          <w:ilvl w:val="2"/>
          <w:numId w:val="55"/>
        </w:numPr>
        <w:tabs>
          <w:tab w:pos="742" w:val="left" w:leader="none"/>
        </w:tabs>
        <w:spacing w:line="360" w:lineRule="auto" w:before="8" w:after="0"/>
        <w:ind w:left="742" w:right="104" w:hanging="360"/>
        <w:jc w:val="both"/>
        <w:rPr>
          <w:sz w:val="28"/>
        </w:rPr>
      </w:pPr>
      <w:r>
        <w:rPr>
          <w:sz w:val="28"/>
        </w:rPr>
        <w:t>Бахидзе Е.В. Опухоли яичника у беременных. Журн. акушерства и женских болезней. 2011; LX (3):</w:t>
      </w:r>
      <w:r>
        <w:rPr>
          <w:spacing w:val="-13"/>
          <w:sz w:val="28"/>
        </w:rPr>
        <w:t> </w:t>
      </w:r>
      <w:r>
        <w:rPr>
          <w:sz w:val="28"/>
        </w:rPr>
        <w:t>190–196.</w:t>
      </w:r>
    </w:p>
    <w:p>
      <w:pPr>
        <w:pStyle w:val="ListParagraph"/>
        <w:numPr>
          <w:ilvl w:val="2"/>
          <w:numId w:val="55"/>
        </w:numPr>
        <w:tabs>
          <w:tab w:pos="742" w:val="left" w:leader="none"/>
        </w:tabs>
        <w:spacing w:line="360" w:lineRule="auto" w:before="5" w:after="0"/>
        <w:ind w:left="742" w:right="101" w:hanging="360"/>
        <w:jc w:val="both"/>
        <w:rPr>
          <w:sz w:val="28"/>
        </w:rPr>
      </w:pPr>
      <w:r>
        <w:rPr>
          <w:sz w:val="28"/>
        </w:rPr>
        <w:t>Бахидзе Е.В., Чепик О.Ф., Гедерим М.Н. Органосохраняющее лечение больных раком тела матки и яичников. // Пособие для  врачей «Яблочко» СПб. -2000, -38</w:t>
      </w:r>
      <w:r>
        <w:rPr>
          <w:spacing w:val="-12"/>
          <w:sz w:val="28"/>
        </w:rPr>
        <w:t> </w:t>
      </w:r>
      <w:r>
        <w:rPr>
          <w:sz w:val="28"/>
        </w:rPr>
        <w:t>с.</w:t>
      </w:r>
    </w:p>
    <w:p>
      <w:pPr>
        <w:pStyle w:val="BodyText"/>
        <w:spacing w:line="360" w:lineRule="auto" w:before="5"/>
        <w:ind w:left="741" w:right="99" w:hanging="360"/>
        <w:jc w:val="both"/>
      </w:pPr>
      <w:r>
        <w:rPr/>
        <w:t>10.Бахидзе Е.В., Чепик О.Ф., Гедерим М.Н., Максимов С.Я. Сохранение фертильности у больных начальным раком яичников. Рос. вестн. акушера-гинеколога. 2004; 1: 49–54.</w:t>
      </w:r>
    </w:p>
    <w:p>
      <w:pPr>
        <w:pStyle w:val="BodyText"/>
        <w:spacing w:line="360" w:lineRule="auto" w:before="5"/>
        <w:ind w:left="741" w:right="100" w:hanging="360"/>
        <w:jc w:val="both"/>
      </w:pPr>
      <w:r>
        <w:rPr/>
        <w:t>11.Берлев И.В. с соавт. Индоцианин зеленый (ICG) в детекции сигнальных лимфатических узлов при раке эндометрия и шейки матки. Вопросы онкологии. – 2015- выпуск 3, том 61, С. 471-477.</w:t>
      </w:r>
    </w:p>
    <w:p>
      <w:pPr>
        <w:pStyle w:val="BodyText"/>
        <w:spacing w:line="360" w:lineRule="auto" w:before="5"/>
        <w:ind w:left="741" w:right="99" w:hanging="360"/>
        <w:jc w:val="both"/>
      </w:pPr>
      <w:r>
        <w:rPr/>
        <w:t>12.Берлев И.В., Максимов С.Я., Каргополова М.В., Хаджимба А.С. и др Роль лапароскопии в диагностике и лечении больных местно - распространенным раком шейки матки / Вопросы онкологии. –</w:t>
      </w:r>
      <w:r>
        <w:rPr>
          <w:spacing w:val="51"/>
        </w:rPr>
        <w:t> </w:t>
      </w:r>
      <w:r>
        <w:rPr/>
        <w:t>2012.</w:t>
      </w:r>
    </w:p>
    <w:p>
      <w:pPr>
        <w:pStyle w:val="BodyText"/>
        <w:spacing w:before="5"/>
        <w:ind w:left="741"/>
      </w:pPr>
      <w:r>
        <w:rPr/>
        <w:t>- Т.58, Вып.2. – С.222-226.</w:t>
      </w:r>
    </w:p>
    <w:p>
      <w:pPr>
        <w:pStyle w:val="BodyText"/>
        <w:spacing w:line="360" w:lineRule="auto" w:before="160"/>
        <w:ind w:left="741" w:right="101" w:hanging="360"/>
        <w:jc w:val="both"/>
      </w:pPr>
      <w:r>
        <w:rPr/>
        <w:t>13.Бохман Я.В. Клиника и лечение рака шейки матки. - Кишинев: Штиинца, 1976. – 234с.</w:t>
      </w:r>
    </w:p>
    <w:p>
      <w:pPr>
        <w:pStyle w:val="BodyText"/>
        <w:spacing w:line="360" w:lineRule="auto" w:before="7"/>
        <w:ind w:left="741" w:right="106" w:hanging="360"/>
        <w:jc w:val="both"/>
      </w:pPr>
      <w:r>
        <w:rPr/>
        <w:t>14.Бохман Я.В., Бахидзе Е.В., Максимов С.Я. Репродуктивная функция и рак / Пробл. Репродукции. – 1995. - № 3. – С.42 - 47. </w:t>
      </w:r>
      <w:r>
        <w:rPr>
          <w:spacing w:val="48"/>
        </w:rPr>
        <w:t> </w:t>
      </w:r>
      <w:r>
        <w:rPr/>
        <w:t>250.</w:t>
      </w:r>
    </w:p>
    <w:p>
      <w:pPr>
        <w:pStyle w:val="BodyText"/>
        <w:spacing w:line="360" w:lineRule="auto" w:before="5"/>
        <w:ind w:left="741" w:right="101" w:hanging="360"/>
        <w:jc w:val="both"/>
      </w:pPr>
      <w:r>
        <w:rPr/>
        <w:t>15.Бохман Я.В. Руководство по онкогинекологии. – Ленинград.: Медицина, 1989. – 463 с.</w:t>
      </w:r>
    </w:p>
    <w:p>
      <w:pPr>
        <w:pStyle w:val="BodyText"/>
        <w:spacing w:line="360" w:lineRule="auto" w:before="8"/>
        <w:ind w:left="741" w:right="108" w:hanging="360"/>
        <w:jc w:val="both"/>
      </w:pPr>
      <w:r>
        <w:rPr/>
        <w:t>16.Бохман Я.В., Бонте Я., Вишневский А.С. с соавт. Гормонотерапия рака эндометрия. // СПб. - 1992. – 163 с.</w:t>
      </w:r>
    </w:p>
    <w:p>
      <w:pPr>
        <w:pStyle w:val="BodyText"/>
        <w:spacing w:line="360" w:lineRule="auto" w:before="5"/>
        <w:ind w:left="741" w:right="107" w:hanging="360"/>
        <w:jc w:val="both"/>
      </w:pPr>
      <w:r>
        <w:rPr/>
        <w:t>17.Бохман Я.В., Лившиц М.А., Винокуров В.Л. с соавт. Новые подходы к лечению гинекологического рака. // СПб. - 1993. – 225 с.</w:t>
      </w:r>
    </w:p>
    <w:p>
      <w:pPr>
        <w:pStyle w:val="BodyText"/>
        <w:spacing w:before="5"/>
        <w:ind w:left="381"/>
      </w:pPr>
      <w:r>
        <w:rPr/>
        <w:t>18.Бохман Я.В., Лютра У.К. Рак шейки матки. Кишинев, «ШТИИНЦА».</w:t>
      </w:r>
    </w:p>
    <w:p>
      <w:pPr>
        <w:pStyle w:val="BodyText"/>
        <w:spacing w:before="163"/>
        <w:ind w:left="741"/>
      </w:pPr>
      <w:r>
        <w:rPr/>
        <w:t>– 1991.– 239с.</w:t>
      </w:r>
    </w:p>
    <w:p>
      <w:pPr>
        <w:pStyle w:val="BodyText"/>
        <w:spacing w:before="161"/>
        <w:ind w:left="381"/>
      </w:pPr>
      <w:r>
        <w:rPr/>
        <w:t>19.Бохман</w:t>
      </w:r>
      <w:r>
        <w:rPr>
          <w:spacing w:val="53"/>
        </w:rPr>
        <w:t> </w:t>
      </w:r>
      <w:r>
        <w:rPr/>
        <w:t>Я.В.,</w:t>
      </w:r>
      <w:r>
        <w:rPr>
          <w:spacing w:val="51"/>
        </w:rPr>
        <w:t> </w:t>
      </w:r>
      <w:r>
        <w:rPr/>
        <w:t>Максимов</w:t>
      </w:r>
      <w:r>
        <w:rPr>
          <w:spacing w:val="51"/>
        </w:rPr>
        <w:t> </w:t>
      </w:r>
      <w:r>
        <w:rPr/>
        <w:t>С.Я.,</w:t>
      </w:r>
      <w:r>
        <w:rPr>
          <w:spacing w:val="51"/>
        </w:rPr>
        <w:t> </w:t>
      </w:r>
      <w:r>
        <w:rPr/>
        <w:t>Волкова А.Т.</w:t>
      </w:r>
      <w:r>
        <w:rPr>
          <w:spacing w:val="53"/>
        </w:rPr>
        <w:t> </w:t>
      </w:r>
      <w:r>
        <w:rPr/>
        <w:t>Планирование</w:t>
      </w:r>
      <w:r>
        <w:rPr>
          <w:spacing w:val="52"/>
        </w:rPr>
        <w:t> </w:t>
      </w:r>
      <w:r>
        <w:rPr/>
        <w:t>лечения</w:t>
      </w:r>
    </w:p>
    <w:p>
      <w:pPr>
        <w:spacing w:after="0"/>
        <w:sectPr>
          <w:headerReference w:type="default" r:id="rId183"/>
          <w:pgSz w:w="11900" w:h="16850"/>
          <w:pgMar w:header="712" w:footer="0" w:top="1020" w:bottom="280" w:left="1680" w:right="1020"/>
          <w:pgNumType w:start="290"/>
        </w:sectPr>
      </w:pPr>
    </w:p>
    <w:p>
      <w:pPr>
        <w:pStyle w:val="BodyText"/>
        <w:tabs>
          <w:tab w:pos="4767" w:val="left" w:leader="none"/>
          <w:tab w:pos="5357" w:val="left" w:leader="none"/>
          <w:tab w:pos="5707" w:val="left" w:leader="none"/>
          <w:tab w:pos="6362" w:val="left" w:leader="none"/>
          <w:tab w:pos="8568" w:val="left" w:leader="none"/>
        </w:tabs>
        <w:spacing w:line="360" w:lineRule="auto"/>
        <w:ind w:left="741" w:right="223"/>
      </w:pPr>
      <w:r>
        <w:rPr/>
        <w:t>больных раком</w:t>
      </w:r>
      <w:r>
        <w:rPr>
          <w:spacing w:val="14"/>
        </w:rPr>
        <w:t> </w:t>
      </w:r>
      <w:r>
        <w:rPr/>
        <w:t>эндометрия.</w:t>
      </w:r>
      <w:r>
        <w:rPr>
          <w:spacing w:val="6"/>
        </w:rPr>
        <w:t> </w:t>
      </w:r>
      <w:r>
        <w:rPr/>
        <w:t>//</w:t>
        <w:tab/>
        <w:t>Гл.</w:t>
        <w:tab/>
        <w:t>в</w:t>
        <w:tab/>
        <w:t>кн.:</w:t>
        <w:tab/>
        <w:t>Гормонотерапия</w:t>
        <w:tab/>
        <w:t>рака эндометрия. СПб.: Гиппократ. — 1992. —</w:t>
      </w:r>
      <w:r>
        <w:rPr>
          <w:spacing w:val="-13"/>
        </w:rPr>
        <w:t> </w:t>
      </w:r>
      <w:r>
        <w:rPr/>
        <w:t>с.58-71.</w:t>
      </w:r>
    </w:p>
    <w:p>
      <w:pPr>
        <w:pStyle w:val="BodyText"/>
        <w:spacing w:line="360" w:lineRule="auto" w:before="8"/>
        <w:ind w:left="741" w:right="223" w:hanging="360"/>
        <w:jc w:val="both"/>
      </w:pPr>
      <w:r>
        <w:rPr/>
        <w:t>20.Бохман Я.В., Урманчеева А.Ф., Бахидзе Е.В. Рак и беременность. // В кн. Клиническая онкология для семейного врача. / Под ред. Н.П.Напалкова, Я.В.Бохмана, А.М.Гранова, М.Л.Гершановича.  СПб.</w:t>
      </w:r>
    </w:p>
    <w:p>
      <w:pPr>
        <w:pStyle w:val="BodyText"/>
        <w:spacing w:before="5"/>
        <w:ind w:left="741"/>
      </w:pPr>
      <w:r>
        <w:rPr/>
        <w:t>«Гиппократ». – 1995. -</w:t>
      </w:r>
      <w:r>
        <w:rPr>
          <w:spacing w:val="56"/>
        </w:rPr>
        <w:t> </w:t>
      </w:r>
      <w:r>
        <w:rPr/>
        <w:t>с.136-146.</w:t>
      </w:r>
    </w:p>
    <w:p>
      <w:pPr>
        <w:pStyle w:val="BodyText"/>
        <w:spacing w:line="360" w:lineRule="auto" w:before="162"/>
        <w:ind w:left="741" w:right="221" w:hanging="360"/>
        <w:jc w:val="both"/>
      </w:pPr>
      <w:r>
        <w:rPr/>
        <w:t>21.Бохман, Я.В. Рак тела матки / Я.В. Бохман // Кишинев. – 1972. – </w:t>
      </w:r>
      <w:r>
        <w:rPr>
          <w:spacing w:val="-2"/>
        </w:rPr>
        <w:t>218 </w:t>
      </w:r>
      <w:r>
        <w:rPr/>
        <w:t>с.</w:t>
      </w:r>
    </w:p>
    <w:p>
      <w:pPr>
        <w:pStyle w:val="BodyText"/>
        <w:spacing w:line="360" w:lineRule="auto" w:before="5"/>
        <w:ind w:left="741" w:right="225" w:hanging="360"/>
        <w:jc w:val="both"/>
      </w:pPr>
      <w:r>
        <w:rPr/>
        <w:t>22.Буланов М.Н. Ультразвуковая диагностика патологии шейки матки: Автореферат дис. д-ра мед. наук: 14.00.19 / Рос. мед. акад. последиплом. образования. - М., 2004. - 40 с.</w:t>
      </w:r>
    </w:p>
    <w:p>
      <w:pPr>
        <w:pStyle w:val="BodyText"/>
        <w:spacing w:line="360" w:lineRule="auto" w:before="7"/>
        <w:ind w:left="741" w:right="224" w:hanging="360"/>
        <w:jc w:val="both"/>
      </w:pPr>
      <w:r>
        <w:rPr/>
        <w:t>23.Важенин A.B., Жаров A.B., Шимоткина И.Г. Актуальные вопросы клинической онкогинекологии. – М., 2010. - С. 6-33.</w:t>
      </w:r>
    </w:p>
    <w:p>
      <w:pPr>
        <w:pStyle w:val="BodyText"/>
        <w:spacing w:line="360" w:lineRule="auto" w:before="5"/>
        <w:ind w:left="741" w:right="327" w:hanging="360"/>
      </w:pPr>
      <w:r>
        <w:rPr/>
        <w:t>24.Вассерман Л.И., Трифонова Е.А. Методология исследования качества жизни в контексте психосоматических и соматопсихических соотношений / // Обозрение психиатрии и медицинской психологии им. В.М. Бехтерева, 2006. – № 4. – 12-15 с.</w:t>
      </w:r>
    </w:p>
    <w:p>
      <w:pPr>
        <w:pStyle w:val="BodyText"/>
        <w:spacing w:line="360" w:lineRule="auto" w:before="5"/>
        <w:ind w:left="741" w:right="230" w:hanging="360"/>
        <w:jc w:val="both"/>
      </w:pPr>
      <w:r>
        <w:rPr/>
        <w:t>25.Вернер П., Зедерль Ю. Радикальная операция Вертгейма при раке шейки матки.- М.: Медицина, 1960.</w:t>
      </w:r>
    </w:p>
    <w:p>
      <w:pPr>
        <w:pStyle w:val="BodyText"/>
        <w:spacing w:line="360" w:lineRule="auto" w:before="7"/>
        <w:ind w:left="741" w:right="218" w:hanging="360"/>
        <w:jc w:val="both"/>
      </w:pPr>
      <w:r>
        <w:rPr/>
        <w:t>26.Винокуров В.А., Нечаева И.Д., Юркова Л.Е. и соавт. Рак яичников:, пути оптимизации хирургического химиотерапевтического и лучевого компонентов лечения // В кн.: Опухоли яичников.- Иркутск.,1990.-С. 192-200.</w:t>
      </w:r>
    </w:p>
    <w:p>
      <w:pPr>
        <w:pStyle w:val="BodyText"/>
        <w:spacing w:line="360" w:lineRule="auto" w:before="7"/>
        <w:ind w:left="741" w:right="116" w:hanging="360"/>
        <w:jc w:val="both"/>
      </w:pPr>
      <w:r>
        <w:rPr/>
        <w:t>27.Винокуров В.Л. Рак яичников: закономерности метастазирования и выбора адекватного лечения больных. —  СПб.:  Фолиант,  2004. —  С.</w:t>
      </w:r>
      <w:r>
        <w:rPr>
          <w:spacing w:val="-2"/>
        </w:rPr>
        <w:t> </w:t>
      </w:r>
      <w:r>
        <w:rPr/>
        <w:t>336.</w:t>
      </w:r>
    </w:p>
    <w:p>
      <w:pPr>
        <w:pStyle w:val="BodyText"/>
        <w:spacing w:line="360" w:lineRule="auto" w:before="5"/>
        <w:ind w:left="741" w:right="226" w:hanging="360"/>
        <w:jc w:val="both"/>
      </w:pPr>
      <w:r>
        <w:rPr/>
        <w:t>28.Винокуров В.Л., Юркова Л.Е., Загольская В.А. Степень дифференцировки и клиническое течение рака яичников // Вопр. онкологии. – 1985. - № 3. – С. 53-63.</w:t>
      </w:r>
    </w:p>
    <w:p>
      <w:pPr>
        <w:pStyle w:val="BodyText"/>
        <w:spacing w:before="6"/>
        <w:ind w:left="381"/>
      </w:pPr>
      <w:r>
        <w:rPr/>
        <w:t>29.Вишневский А.С.,  Бонте Я., Максимов  С.Я. с  соавт.    Оптимизация</w:t>
      </w:r>
    </w:p>
    <w:p>
      <w:pPr>
        <w:spacing w:after="0"/>
        <w:sectPr>
          <w:headerReference w:type="default" r:id="rId184"/>
          <w:pgSz w:w="11900" w:h="16850"/>
          <w:pgMar w:header="712" w:footer="0" w:top="1020" w:bottom="280" w:left="1680" w:right="900"/>
          <w:pgNumType w:start="291"/>
        </w:sectPr>
      </w:pPr>
    </w:p>
    <w:p>
      <w:pPr>
        <w:pStyle w:val="BodyText"/>
        <w:tabs>
          <w:tab w:pos="2564" w:val="left" w:leader="none"/>
          <w:tab w:pos="3461" w:val="left" w:leader="none"/>
          <w:tab w:pos="4659" w:val="left" w:leader="none"/>
          <w:tab w:pos="4767" w:val="left" w:leader="none"/>
          <w:tab w:pos="5472" w:val="left" w:leader="none"/>
          <w:tab w:pos="6779" w:val="left" w:leader="none"/>
          <w:tab w:pos="8566" w:val="left" w:leader="none"/>
        </w:tabs>
        <w:spacing w:line="360" w:lineRule="auto"/>
        <w:ind w:left="381" w:right="103" w:firstLine="360"/>
        <w:jc w:val="right"/>
      </w:pPr>
      <w:r>
        <w:rPr/>
        <w:t>адъювантной</w:t>
        <w:tab/>
        <w:tab/>
        <w:tab/>
        <w:tab/>
        <w:t>гормонотерапии рака</w:t>
      </w:r>
      <w:r>
        <w:rPr>
          <w:spacing w:val="-2"/>
        </w:rPr>
        <w:t> </w:t>
      </w:r>
      <w:r>
        <w:rPr/>
        <w:t>эндометрия.</w:t>
      </w:r>
      <w:r>
        <w:rPr>
          <w:spacing w:val="-1"/>
        </w:rPr>
        <w:t> </w:t>
      </w:r>
      <w:r>
        <w:rPr/>
        <w:t>//</w:t>
      </w:r>
      <w:r>
        <w:rPr>
          <w:w w:val="100"/>
        </w:rPr>
        <w:t> </w:t>
      </w:r>
      <w:r>
        <w:rPr/>
        <w:t>В кн. «Гормонотерапия рака эндометрия». - СПб. - 1992. - с. 92</w:t>
      </w:r>
      <w:r>
        <w:rPr>
          <w:spacing w:val="-21"/>
        </w:rPr>
        <w:t> </w:t>
      </w:r>
      <w:r>
        <w:rPr/>
        <w:t>-</w:t>
      </w:r>
      <w:r>
        <w:rPr>
          <w:spacing w:val="-3"/>
        </w:rPr>
        <w:t> </w:t>
      </w:r>
      <w:r>
        <w:rPr/>
        <w:t>112.</w:t>
      </w:r>
      <w:r>
        <w:rPr>
          <w:w w:val="100"/>
        </w:rPr>
        <w:t> </w:t>
      </w:r>
      <w:r>
        <w:rPr/>
        <w:t>30.Вишневский</w:t>
        <w:tab/>
        <w:t>А.С.,</w:t>
        <w:tab/>
        <w:t>Бохман</w:t>
        <w:tab/>
        <w:t>Я.В.</w:t>
        <w:tab/>
        <w:t>Лечение</w:t>
        <w:tab/>
        <w:t>эстрогенами</w:t>
        <w:tab/>
      </w:r>
      <w:r>
        <w:rPr>
          <w:spacing w:val="-1"/>
        </w:rPr>
        <w:t>рака</w:t>
      </w:r>
    </w:p>
    <w:p>
      <w:pPr>
        <w:pStyle w:val="BodyText"/>
        <w:spacing w:before="6"/>
        <w:ind w:left="741"/>
      </w:pPr>
      <w:r>
        <w:rPr/>
        <w:t>эндометрия // Акуш. и гинекол.- 1980-№6 - с.11-16.</w:t>
      </w:r>
    </w:p>
    <w:p>
      <w:pPr>
        <w:pStyle w:val="BodyText"/>
        <w:spacing w:line="360" w:lineRule="auto" w:before="160"/>
        <w:ind w:left="741" w:right="107" w:hanging="360"/>
        <w:jc w:val="both"/>
      </w:pPr>
      <w:r>
        <w:rPr/>
        <w:t>31.Вишневский А.С., Бохман Я.В., Максимов С.Я., Цырлина Е.В. и соавт. Влияние гистерэктомии и комбинированного лечения на гормональный  профиль  больных  раком  тела  матки  в    </w:t>
      </w:r>
      <w:r>
        <w:rPr>
          <w:spacing w:val="59"/>
        </w:rPr>
        <w:t> </w:t>
      </w:r>
      <w:r>
        <w:rPr/>
        <w:t>ремиссии.</w:t>
      </w:r>
    </w:p>
    <w:p>
      <w:pPr>
        <w:pStyle w:val="BodyText"/>
        <w:spacing w:before="5"/>
        <w:ind w:left="741"/>
      </w:pPr>
      <w:r>
        <w:rPr/>
        <w:t>//Российский онкол. журнал. 1998. - № 1. - С. 4-8.</w:t>
      </w:r>
    </w:p>
    <w:p>
      <w:pPr>
        <w:pStyle w:val="BodyText"/>
        <w:spacing w:line="360" w:lineRule="auto" w:before="161"/>
        <w:ind w:left="741" w:right="107" w:hanging="360"/>
        <w:jc w:val="both"/>
      </w:pPr>
      <w:r>
        <w:rPr/>
        <w:t>32.ВОЗ. Комплексная борьба с раком шейки матки / Краткое практическое руководство: ВОЗ, 2008. – 290 с.</w:t>
      </w:r>
    </w:p>
    <w:p>
      <w:pPr>
        <w:pStyle w:val="BodyText"/>
        <w:spacing w:line="360" w:lineRule="auto" w:before="5"/>
        <w:ind w:left="741" w:right="105" w:hanging="360"/>
        <w:jc w:val="both"/>
      </w:pPr>
      <w:r>
        <w:rPr/>
        <w:t>33.Гарин, А. М. Скромные успехи лекарственного лечения трех диссеминированных или местнораспространенных форм опухолей, считавшихся в начале 90-х годов химиорезистентными / А. М. Гарин</w:t>
      </w:r>
    </w:p>
    <w:p>
      <w:pPr>
        <w:pStyle w:val="BodyText"/>
        <w:spacing w:before="5"/>
        <w:ind w:left="741"/>
      </w:pPr>
      <w:r>
        <w:rPr/>
        <w:t>// Совр. онкология. 2000. - Т. 2, №4. - С. 104 - 107.</w:t>
      </w:r>
    </w:p>
    <w:p>
      <w:pPr>
        <w:pStyle w:val="BodyText"/>
        <w:spacing w:before="3"/>
        <w:rPr>
          <w:sz w:val="31"/>
        </w:rPr>
      </w:pPr>
    </w:p>
    <w:p>
      <w:pPr>
        <w:pStyle w:val="BodyText"/>
        <w:spacing w:line="360" w:lineRule="auto"/>
        <w:ind w:left="741" w:right="107" w:hanging="360"/>
        <w:jc w:val="both"/>
      </w:pPr>
      <w:r>
        <w:rPr/>
        <w:t>34.Гедерим М.Н., Бахидзе Е.В. Возможности и пределы органосохраняющего лечения рака яичников // Вопросы онкологии, 1999г., №6, с. 674-680.</w:t>
      </w:r>
    </w:p>
    <w:p>
      <w:pPr>
        <w:pStyle w:val="BodyText"/>
        <w:spacing w:line="362" w:lineRule="auto" w:before="5"/>
        <w:ind w:left="741" w:right="108" w:hanging="360"/>
        <w:jc w:val="both"/>
      </w:pPr>
      <w:r>
        <w:rPr/>
        <w:t>35.Гилязутдинова, 3. Ш. Онкогинекология: руководство для врачей /  М.: МЕДпресс, 2000. - 384</w:t>
      </w:r>
      <w:r>
        <w:rPr>
          <w:spacing w:val="-8"/>
        </w:rPr>
        <w:t> </w:t>
      </w:r>
      <w:r>
        <w:rPr/>
        <w:t>с.</w:t>
      </w:r>
    </w:p>
    <w:p>
      <w:pPr>
        <w:pStyle w:val="BodyText"/>
        <w:spacing w:line="360" w:lineRule="auto" w:before="2"/>
        <w:ind w:left="741" w:right="102" w:hanging="360"/>
        <w:jc w:val="both"/>
      </w:pPr>
      <w:r>
        <w:rPr/>
        <w:t>36.Гуло Е.И., Максимов С.Я., Лившиц М.А., Щербаков А.М. Операция типа «Second-look» и диагностические лапароскопии в комбинированном и комплексном лечении больных раком яичников. Вопр. Онкол. — 1998. — Т. 44. — № 2.</w:t>
      </w:r>
    </w:p>
    <w:p>
      <w:pPr>
        <w:pStyle w:val="BodyText"/>
        <w:spacing w:line="360" w:lineRule="auto" w:before="5"/>
        <w:ind w:left="741" w:right="105" w:hanging="360"/>
        <w:jc w:val="both"/>
      </w:pPr>
      <w:r>
        <w:rPr/>
        <w:t>37.Двойрин В. В., Аксель Е. М., Трапезников Н. Н.; Заболеваемость злокачественными новообразованиями и смертность от них населения стран СНГ в 1995 г. / ОНЦ РАМН. – М., 1996. – 286 с.</w:t>
      </w:r>
    </w:p>
    <w:p>
      <w:pPr>
        <w:pStyle w:val="BodyText"/>
        <w:spacing w:line="360" w:lineRule="auto" w:before="7"/>
        <w:ind w:left="741" w:right="99" w:hanging="360"/>
        <w:jc w:val="both"/>
      </w:pPr>
      <w:r>
        <w:rPr/>
        <w:t>38.Девятченко Т.Ф., Филатова Н.С., Коротина Л.А. и др. Особенности локализации и диагностики рецидивов рака шейки матки // Частные вопросы практической онкологии. — Волгоград, 1995. -Т.51(№3). С.50-53.</w:t>
      </w:r>
    </w:p>
    <w:p>
      <w:pPr>
        <w:spacing w:after="0" w:line="360" w:lineRule="auto"/>
        <w:jc w:val="both"/>
        <w:sectPr>
          <w:pgSz w:w="11900" w:h="16850"/>
          <w:pgMar w:header="712" w:footer="0" w:top="1020" w:bottom="280" w:left="1680" w:right="1020"/>
        </w:sectPr>
      </w:pPr>
    </w:p>
    <w:p>
      <w:pPr>
        <w:pStyle w:val="BodyText"/>
        <w:spacing w:line="360" w:lineRule="auto"/>
        <w:ind w:left="741" w:right="104" w:hanging="360"/>
        <w:jc w:val="both"/>
      </w:pPr>
      <w:r>
        <w:rPr/>
        <w:t>39.Загольская В.Н., Винокуров В.Л., Нечаева И.Д. и др. Степень дифференцировки рака яичников и её клиническое значение // Вопр. онкологии. – 1985. – Т. 21. - № 9. – С. 62-70.</w:t>
      </w:r>
    </w:p>
    <w:p>
      <w:pPr>
        <w:pStyle w:val="BodyText"/>
        <w:tabs>
          <w:tab w:pos="1784" w:val="left" w:leader="none"/>
          <w:tab w:pos="2605" w:val="left" w:leader="none"/>
          <w:tab w:pos="3030" w:val="left" w:leader="none"/>
          <w:tab w:pos="3238" w:val="left" w:leader="none"/>
          <w:tab w:pos="4793" w:val="left" w:leader="none"/>
          <w:tab w:pos="4824" w:val="left" w:leader="none"/>
          <w:tab w:pos="5584" w:val="left" w:leader="none"/>
          <w:tab w:pos="5718" w:val="left" w:leader="none"/>
          <w:tab w:pos="6244" w:val="left" w:leader="none"/>
          <w:tab w:pos="6286" w:val="left" w:leader="none"/>
          <w:tab w:pos="6724" w:val="left" w:leader="none"/>
          <w:tab w:pos="7102" w:val="left" w:leader="none"/>
          <w:tab w:pos="7565" w:val="left" w:leader="none"/>
          <w:tab w:pos="7832" w:val="left" w:leader="none"/>
          <w:tab w:pos="8133" w:val="left" w:leader="none"/>
        </w:tabs>
        <w:spacing w:line="360" w:lineRule="auto" w:before="6"/>
        <w:ind w:left="381" w:right="105"/>
        <w:jc w:val="right"/>
      </w:pPr>
      <w:r>
        <w:rPr/>
        <w:t>40.Злокачественные</w:t>
        <w:tab/>
        <w:tab/>
        <w:t>новообразования</w:t>
        <w:tab/>
        <w:tab/>
        <w:t>в</w:t>
        <w:tab/>
        <w:tab/>
        <w:t>России</w:t>
        <w:tab/>
        <w:t>в</w:t>
        <w:tab/>
        <w:tab/>
      </w:r>
      <w:r>
        <w:rPr>
          <w:spacing w:val="-1"/>
        </w:rPr>
        <w:t>200году </w:t>
      </w:r>
      <w:r>
        <w:rPr/>
        <w:t>(заболеваемость</w:t>
        <w:tab/>
        <w:t>и</w:t>
        <w:tab/>
        <w:t>смертность).</w:t>
        <w:tab/>
        <w:tab/>
        <w:t>Под</w:t>
        <w:tab/>
        <w:t>редакцией</w:t>
        <w:tab/>
      </w:r>
      <w:r>
        <w:rPr>
          <w:spacing w:val="-1"/>
        </w:rPr>
        <w:t>А.Д.Каприна, </w:t>
      </w:r>
      <w:r>
        <w:rPr/>
        <w:t>В.В.Старинского, Г.В.Петровой. Москва: РИИС ФИАН, -2015,</w:t>
      </w:r>
      <w:r>
        <w:rPr>
          <w:spacing w:val="-16"/>
        </w:rPr>
        <w:t> </w:t>
      </w:r>
      <w:r>
        <w:rPr/>
        <w:t>249</w:t>
      </w:r>
      <w:r>
        <w:rPr>
          <w:spacing w:val="-2"/>
        </w:rPr>
        <w:t> </w:t>
      </w:r>
      <w:r>
        <w:rPr/>
        <w:t>с.</w:t>
      </w:r>
      <w:r>
        <w:rPr>
          <w:w w:val="100"/>
        </w:rPr>
        <w:t> </w:t>
      </w:r>
      <w:r>
        <w:rPr/>
        <w:t>41.Иржанов С.И., Петров А.Н. Прогностическое</w:t>
      </w:r>
      <w:r>
        <w:rPr>
          <w:spacing w:val="56"/>
        </w:rPr>
        <w:t> </w:t>
      </w:r>
      <w:r>
        <w:rPr/>
        <w:t>значение</w:t>
      </w:r>
      <w:r>
        <w:rPr>
          <w:spacing w:val="51"/>
        </w:rPr>
        <w:t> </w:t>
      </w:r>
      <w:r>
        <w:rPr/>
        <w:t>степени</w:t>
      </w:r>
      <w:r>
        <w:rPr>
          <w:w w:val="100"/>
        </w:rPr>
        <w:t> </w:t>
      </w:r>
      <w:r>
        <w:rPr/>
        <w:t>дифференцировки опухоли при ранних и поздних стадиях</w:t>
      </w:r>
      <w:r>
        <w:rPr>
          <w:spacing w:val="34"/>
        </w:rPr>
        <w:t> </w:t>
      </w:r>
      <w:r>
        <w:rPr/>
        <w:t>у</w:t>
      </w:r>
      <w:r>
        <w:rPr>
          <w:spacing w:val="3"/>
        </w:rPr>
        <w:t> </w:t>
      </w:r>
      <w:r>
        <w:rPr/>
        <w:t>больных</w:t>
      </w:r>
      <w:r>
        <w:rPr>
          <w:w w:val="100"/>
        </w:rPr>
        <w:t> </w:t>
      </w:r>
      <w:r>
        <w:rPr/>
        <w:t>серозной</w:t>
        <w:tab/>
        <w:t>цистаденокарциномой</w:t>
        <w:tab/>
        <w:t>яичников</w:t>
        <w:tab/>
        <w:t>//</w:t>
        <w:tab/>
        <w:t>Новые</w:t>
        <w:tab/>
        <w:tab/>
      </w:r>
      <w:r>
        <w:rPr>
          <w:spacing w:val="-1"/>
        </w:rPr>
        <w:t>методы</w:t>
      </w:r>
    </w:p>
    <w:p>
      <w:pPr>
        <w:pStyle w:val="BodyText"/>
        <w:spacing w:before="5"/>
        <w:ind w:left="741"/>
        <w:jc w:val="both"/>
      </w:pPr>
      <w:r>
        <w:rPr/>
        <w:t>диагностики и лечения в медицине. – Тбилиси, 1980. – С. 168.</w:t>
      </w:r>
    </w:p>
    <w:p>
      <w:pPr>
        <w:pStyle w:val="BodyText"/>
        <w:spacing w:line="360" w:lineRule="auto" w:before="160"/>
        <w:ind w:left="741" w:right="100" w:hanging="360"/>
        <w:jc w:val="both"/>
      </w:pPr>
      <w:r>
        <w:rPr/>
        <w:t>42.Каргополова М.В. Роль лапароскопии в диагностике отдаленных метастазов рака шейки матки / М.В.Каргополова // </w:t>
      </w:r>
      <w:hyperlink r:id="rId186">
        <w:r>
          <w:rPr>
            <w:color w:val="0000FF"/>
            <w:u w:val="single" w:color="0000FF"/>
          </w:rPr>
          <w:t>www.MEDLINE.RU</w:t>
        </w:r>
      </w:hyperlink>
      <w:r>
        <w:rPr/>
        <w:t>.Онкология.  –  2012,  24  дек.  –  Т.13,  СТ.83.   </w:t>
      </w:r>
      <w:r>
        <w:rPr>
          <w:spacing w:val="61"/>
        </w:rPr>
        <w:t> </w:t>
      </w:r>
      <w:r>
        <w:rPr/>
        <w:t>–</w:t>
      </w:r>
    </w:p>
    <w:p>
      <w:pPr>
        <w:pStyle w:val="BodyText"/>
        <w:tabs>
          <w:tab w:pos="3448" w:val="left" w:leader="none"/>
          <w:tab w:pos="6334" w:val="left" w:leader="none"/>
          <w:tab w:pos="8457" w:val="left" w:leader="none"/>
        </w:tabs>
        <w:spacing w:line="360" w:lineRule="auto" w:before="5"/>
        <w:ind w:left="741" w:right="100"/>
        <w:jc w:val="both"/>
      </w:pPr>
      <w:r>
        <w:rPr/>
        <w:t>С.1002-1010.</w:t>
        <w:tab/>
        <w:t>[Электронный</w:t>
        <w:tab/>
        <w:t>ресурс].</w:t>
        <w:tab/>
        <w:t>URL: </w:t>
      </w:r>
      <w:hyperlink r:id="rId187">
        <w:r>
          <w:rPr>
            <w:color w:val="0000FF"/>
            <w:u w:val="single" w:color="0000FF"/>
          </w:rPr>
          <w:t>http://www.medline.ru/public/art/tom13/art83.html</w:t>
        </w:r>
      </w:hyperlink>
      <w:r>
        <w:rPr>
          <w:color w:val="0000FF"/>
          <w:u w:val="single" w:color="0000FF"/>
        </w:rPr>
        <w:t> </w:t>
      </w:r>
      <w:r>
        <w:rPr/>
        <w:t>(дата обращения: 26.04.2015).</w:t>
      </w:r>
    </w:p>
    <w:p>
      <w:pPr>
        <w:pStyle w:val="BodyText"/>
        <w:spacing w:line="360" w:lineRule="auto" w:before="5"/>
        <w:ind w:left="741" w:right="102" w:hanging="360"/>
        <w:jc w:val="both"/>
      </w:pPr>
      <w:r>
        <w:rPr/>
        <w:t>43.Киселёв С.И. Гистерэктомия (исторический экскурс) / Онкогинекология. – 2012. - №1. – С.5-17. [Электронный ресурс]. URL: </w:t>
      </w:r>
      <w:hyperlink r:id="rId188">
        <w:r>
          <w:rPr/>
          <w:t>http://osors.com/Journal/j_01_2012.htm</w:t>
        </w:r>
      </w:hyperlink>
      <w:r>
        <w:rPr/>
        <w:t> (дата обращения: 07.05.2015).</w:t>
      </w:r>
    </w:p>
    <w:p>
      <w:pPr>
        <w:pStyle w:val="BodyText"/>
        <w:spacing w:line="352" w:lineRule="auto" w:before="5"/>
        <w:ind w:left="741" w:right="99" w:hanging="360"/>
        <w:jc w:val="both"/>
      </w:pPr>
      <w:r>
        <w:rPr>
          <w:spacing w:val="-3"/>
        </w:rPr>
        <w:t>44.Косников </w:t>
      </w:r>
      <w:r>
        <w:rPr>
          <w:spacing w:val="-4"/>
        </w:rPr>
        <w:t>А.Г., Баранов С.Б., </w:t>
      </w:r>
      <w:r>
        <w:rPr>
          <w:spacing w:val="-5"/>
        </w:rPr>
        <w:t>Зельдович Д.Р. </w:t>
      </w:r>
      <w:r>
        <w:rPr/>
        <w:t>и </w:t>
      </w:r>
      <w:r>
        <w:rPr>
          <w:spacing w:val="-3"/>
        </w:rPr>
        <w:t>др. </w:t>
      </w:r>
      <w:r>
        <w:rPr/>
        <w:t>- </w:t>
      </w:r>
      <w:r>
        <w:rPr>
          <w:spacing w:val="-4"/>
        </w:rPr>
        <w:t>Выбор </w:t>
      </w:r>
      <w:r>
        <w:rPr>
          <w:spacing w:val="-5"/>
        </w:rPr>
        <w:t>адекватного лечения </w:t>
      </w:r>
      <w:r>
        <w:rPr>
          <w:spacing w:val="-4"/>
        </w:rPr>
        <w:t>больных раком шейки </w:t>
      </w:r>
      <w:r>
        <w:rPr>
          <w:spacing w:val="-5"/>
        </w:rPr>
        <w:t>матки </w:t>
      </w:r>
      <w:r>
        <w:rPr>
          <w:spacing w:val="-4"/>
        </w:rPr>
        <w:t>Т</w:t>
      </w:r>
      <w:r>
        <w:rPr>
          <w:spacing w:val="-4"/>
          <w:position w:val="-3"/>
          <w:sz w:val="18"/>
        </w:rPr>
        <w:t>1</w:t>
      </w:r>
      <w:r>
        <w:rPr>
          <w:spacing w:val="-4"/>
        </w:rPr>
        <w:t>NoMo. </w:t>
      </w:r>
      <w:r>
        <w:rPr/>
        <w:t>// </w:t>
      </w:r>
      <w:r>
        <w:rPr>
          <w:spacing w:val="-3"/>
        </w:rPr>
        <w:t>Сб. </w:t>
      </w:r>
      <w:r>
        <w:rPr>
          <w:spacing w:val="-5"/>
        </w:rPr>
        <w:t>Акт.вопросы </w:t>
      </w:r>
      <w:r>
        <w:rPr>
          <w:spacing w:val="-4"/>
        </w:rPr>
        <w:t>онкол. Мат. Междун. симп. СПб. 1996. </w:t>
      </w:r>
      <w:r>
        <w:rPr/>
        <w:t>C. </w:t>
      </w:r>
      <w:r>
        <w:rPr>
          <w:spacing w:val="-4"/>
        </w:rPr>
        <w:t>193-195.</w:t>
      </w:r>
    </w:p>
    <w:p>
      <w:pPr>
        <w:pStyle w:val="BodyText"/>
        <w:spacing w:line="360" w:lineRule="auto" w:before="16"/>
        <w:ind w:left="741" w:right="100" w:hanging="360"/>
        <w:jc w:val="both"/>
      </w:pPr>
      <w:r>
        <w:rPr/>
        <w:t>45.Кузнецов В.В., Морхов К.Ю., Лебедев А.И. и др. Радикальные операции при раке шейки матки // Материалы VIII Российского онкологического конгресса, Москва, 23-25 ноября 2004г. – Москва; 2004</w:t>
      </w:r>
      <w:r>
        <w:rPr>
          <w:spacing w:val="67"/>
        </w:rPr>
        <w:t> </w:t>
      </w:r>
      <w:r>
        <w:rPr/>
        <w:t>203.</w:t>
      </w:r>
    </w:p>
    <w:p>
      <w:pPr>
        <w:pStyle w:val="BodyText"/>
        <w:spacing w:line="362" w:lineRule="auto" w:before="4"/>
        <w:ind w:left="741" w:right="99" w:hanging="360"/>
        <w:jc w:val="both"/>
      </w:pPr>
      <w:r>
        <w:rPr/>
        <w:t>46.Кулаков В.И. Значение применения эхографии перед проведением оперативной лапароскопии // Акушерство и гинекология.  – 1996.     -</w:t>
      </w:r>
    </w:p>
    <w:p>
      <w:pPr>
        <w:pStyle w:val="BodyText"/>
        <w:spacing w:before="2"/>
        <w:ind w:left="741"/>
        <w:jc w:val="both"/>
      </w:pPr>
      <w:r>
        <w:rPr/>
        <w:t>№5. - С.15-19.</w:t>
      </w:r>
    </w:p>
    <w:p>
      <w:pPr>
        <w:spacing w:after="0"/>
        <w:jc w:val="both"/>
        <w:sectPr>
          <w:headerReference w:type="default" r:id="rId185"/>
          <w:pgSz w:w="11900" w:h="16850"/>
          <w:pgMar w:header="712" w:footer="0" w:top="1020" w:bottom="280" w:left="1680" w:right="1020"/>
          <w:pgNumType w:start="293"/>
        </w:sectPr>
      </w:pPr>
    </w:p>
    <w:p>
      <w:pPr>
        <w:pStyle w:val="BodyText"/>
        <w:tabs>
          <w:tab w:pos="5885" w:val="left" w:leader="none"/>
          <w:tab w:pos="7799" w:val="left" w:leader="none"/>
          <w:tab w:pos="8833" w:val="left" w:leader="none"/>
        </w:tabs>
        <w:spacing w:line="360" w:lineRule="auto"/>
        <w:ind w:left="741" w:right="101" w:hanging="360"/>
        <w:jc w:val="both"/>
      </w:pPr>
      <w:r>
        <w:rPr/>
        <w:t>47.Максимов С. Я., Лоскутова</w:t>
      </w:r>
      <w:r>
        <w:rPr>
          <w:spacing w:val="25"/>
        </w:rPr>
        <w:t> </w:t>
      </w:r>
      <w:r>
        <w:rPr/>
        <w:t>Г.     </w:t>
      </w:r>
      <w:r>
        <w:rPr>
          <w:spacing w:val="4"/>
        </w:rPr>
        <w:t> </w:t>
      </w:r>
      <w:r>
        <w:rPr/>
        <w:t>П.,</w:t>
        <w:tab/>
        <w:t>Кузнецов</w:t>
        <w:tab/>
        <w:t>В.</w:t>
        <w:tab/>
        <w:t>В. Эндокринологические подходы к селективному скринингу рака эндометрия//Гормонотерапия рака эндометрия. — С-Пб: Гиппократ, 1992. — С.</w:t>
      </w:r>
      <w:r>
        <w:rPr>
          <w:spacing w:val="-4"/>
        </w:rPr>
        <w:t> </w:t>
      </w:r>
      <w:r>
        <w:rPr/>
        <w:t>28—38.</w:t>
      </w:r>
    </w:p>
    <w:p>
      <w:pPr>
        <w:pStyle w:val="BodyText"/>
        <w:spacing w:line="360" w:lineRule="auto" w:before="6"/>
        <w:ind w:left="741" w:right="101" w:hanging="360"/>
        <w:jc w:val="both"/>
      </w:pPr>
      <w:r>
        <w:rPr/>
        <w:t>48.Максимов С.Я. Минимальный рак эндометрия. СПб: Гиппократ, 1994. -152с.</w:t>
      </w:r>
    </w:p>
    <w:p>
      <w:pPr>
        <w:pStyle w:val="BodyText"/>
        <w:spacing w:line="360" w:lineRule="auto" w:before="8"/>
        <w:ind w:left="741" w:right="101" w:hanging="360"/>
        <w:jc w:val="both"/>
      </w:pPr>
      <w:r>
        <w:rPr/>
        <w:t>49.Максимов С.Я. Органосохраняющее лечение больных локализованными формами рака шейки матки IA – IB стадий // Материалы Всероссийской научно – практической конференции с международным участием «Организационные вопросы реализации Национальной онкологической программы РФ», Казань, июнь 2011г.</w:t>
      </w:r>
    </w:p>
    <w:p>
      <w:pPr>
        <w:pStyle w:val="BodyText"/>
        <w:spacing w:before="8"/>
        <w:ind w:left="741"/>
      </w:pPr>
      <w:r>
        <w:rPr/>
        <w:t>-  Поволжский онкологический вестник. Казань, 1′2011. – С.64-65.</w:t>
      </w:r>
    </w:p>
    <w:p>
      <w:pPr>
        <w:pStyle w:val="BodyText"/>
        <w:spacing w:line="360" w:lineRule="auto" w:before="160"/>
        <w:ind w:left="741" w:right="102" w:hanging="360"/>
        <w:jc w:val="both"/>
      </w:pPr>
      <w:r>
        <w:rPr/>
        <w:t>50.Марьина Л.А. Клинические особенности и лечение больных злокачественными опухолями яичников I стадии // Под ред. И.Д. Нечаевой, Д.Г. Котовой. – Л., 1980.-15с.</w:t>
      </w:r>
    </w:p>
    <w:p>
      <w:pPr>
        <w:pStyle w:val="BodyText"/>
        <w:spacing w:line="360" w:lineRule="auto" w:before="7"/>
        <w:ind w:left="741" w:right="107" w:hanging="360"/>
        <w:jc w:val="both"/>
      </w:pPr>
      <w:r>
        <w:rPr/>
        <w:t>51.Мерабишвили В.М. Выживаемость онкологических больных. СПб: Коста. — 2011. — Вып. II, Часть I. — C. 332.</w:t>
      </w:r>
    </w:p>
    <w:p>
      <w:pPr>
        <w:pStyle w:val="BodyText"/>
        <w:spacing w:line="360" w:lineRule="auto" w:before="4"/>
        <w:ind w:left="741" w:right="99" w:hanging="360"/>
        <w:jc w:val="both"/>
      </w:pPr>
      <w:r>
        <w:rPr/>
        <w:t>52.Мерабишвили В.М. Злокачественные новообразования в мире, России, Санкт-Петербурге. СПб: ООО «Издательско- полиграфическая компания «КОСТА»; 2007.   253 с.</w:t>
      </w:r>
    </w:p>
    <w:p>
      <w:pPr>
        <w:pStyle w:val="BodyText"/>
        <w:spacing w:line="360" w:lineRule="auto" w:before="4"/>
        <w:ind w:left="741" w:right="99" w:hanging="360"/>
        <w:jc w:val="both"/>
      </w:pPr>
      <w:r>
        <w:rPr/>
        <w:t>53.Мерабишвили В.М. Онкологическая служба Санкт – Петербурга (оперативная отчётность за 2010 год, углублённая разработка базы данных регистра по международным стандартам). Ежегодник Популяционного ракового регистра (№ 17) / Под ред. Проф. Ю.А.Щербука, проф. А.М.Беляева. – СПб.: ООО «Издательско- полиграфическая компания «КОСТА», 2011. 336с.</w:t>
      </w:r>
    </w:p>
    <w:p>
      <w:pPr>
        <w:pStyle w:val="BodyText"/>
        <w:spacing w:line="360" w:lineRule="auto" w:before="4"/>
        <w:ind w:left="741" w:right="98" w:hanging="360"/>
        <w:jc w:val="both"/>
      </w:pPr>
      <w:r>
        <w:rPr/>
        <w:t>54.Мерабишвили В.М. Онкологическая служба Санкт-Петербурга (оперативная отчетность за 2011–2012 годы, углубленная разработка базы данных регистра по международным стандартам). Популяционный  раковый  регистр  (IACR  No221)  /  Под  ред.   В.М.</w:t>
      </w:r>
    </w:p>
    <w:p>
      <w:pPr>
        <w:spacing w:after="0" w:line="360" w:lineRule="auto"/>
        <w:jc w:val="both"/>
        <w:sectPr>
          <w:pgSz w:w="11900" w:h="16850"/>
          <w:pgMar w:header="712" w:footer="0" w:top="1020" w:bottom="280" w:left="1680" w:right="1020"/>
        </w:sectPr>
      </w:pPr>
    </w:p>
    <w:p>
      <w:pPr>
        <w:pStyle w:val="BodyText"/>
        <w:tabs>
          <w:tab w:pos="2492" w:val="left" w:leader="none"/>
          <w:tab w:pos="3342" w:val="left" w:leader="none"/>
          <w:tab w:pos="4767" w:val="left" w:leader="none"/>
        </w:tabs>
        <w:spacing w:line="321" w:lineRule="exact"/>
        <w:ind w:left="741"/>
      </w:pPr>
      <w:r>
        <w:rPr/>
        <w:t>Колабутина,</w:t>
        <w:tab/>
        <w:t>А.М.</w:t>
        <w:tab/>
        <w:t>Беляева.</w:t>
        <w:tab/>
        <w:t>СПб, 2013. Т. 18. 368</w:t>
      </w:r>
      <w:r>
        <w:rPr>
          <w:spacing w:val="-9"/>
        </w:rPr>
        <w:t> </w:t>
      </w:r>
      <w:r>
        <w:rPr/>
        <w:t>с.</w:t>
      </w:r>
    </w:p>
    <w:p>
      <w:pPr>
        <w:pStyle w:val="BodyText"/>
        <w:spacing w:before="9"/>
        <w:rPr>
          <w:sz w:val="34"/>
        </w:rPr>
      </w:pPr>
    </w:p>
    <w:p>
      <w:pPr>
        <w:pStyle w:val="BodyText"/>
        <w:spacing w:line="362" w:lineRule="auto" w:before="1"/>
        <w:ind w:left="741" w:right="120" w:hanging="360"/>
        <w:jc w:val="both"/>
      </w:pPr>
      <w:r>
        <w:rPr/>
        <w:t>55.Неродо Г.А. О прогнозе при раке яичников // Вопр. онкологии. – 1974. – Т. 20. - № 8. – С. 45-50.</w:t>
      </w:r>
    </w:p>
    <w:p>
      <w:pPr>
        <w:pStyle w:val="BodyText"/>
        <w:tabs>
          <w:tab w:pos="1948" w:val="left" w:leader="none"/>
          <w:tab w:pos="2783" w:val="left" w:leader="none"/>
          <w:tab w:pos="4330" w:val="left" w:leader="none"/>
          <w:tab w:pos="5078" w:val="left" w:leader="none"/>
          <w:tab w:pos="5515" w:val="left" w:leader="none"/>
          <w:tab w:pos="7690" w:val="left" w:leader="none"/>
          <w:tab w:pos="8059" w:val="left" w:leader="none"/>
        </w:tabs>
        <w:spacing w:line="360" w:lineRule="auto" w:before="2"/>
        <w:ind w:left="381" w:right="127"/>
      </w:pPr>
      <w:r>
        <w:rPr/>
        <w:t>56.Нечаева И.Д. Опухоли яичников. – Л. Медицина. - 1987. – 216 с. 57.Нечаева</w:t>
        <w:tab/>
        <w:t>И.Д.,</w:t>
        <w:tab/>
        <w:t>Винокуров</w:t>
        <w:tab/>
        <w:t>В.Л.</w:t>
        <w:tab/>
        <w:t>О</w:t>
        <w:tab/>
        <w:t>релапаротомиях</w:t>
        <w:tab/>
        <w:t>у</w:t>
        <w:tab/>
        <w:t>больных</w:t>
      </w:r>
    </w:p>
    <w:p>
      <w:pPr>
        <w:pStyle w:val="BodyText"/>
        <w:spacing w:line="362" w:lineRule="auto" w:before="5"/>
        <w:ind w:left="741" w:right="256"/>
      </w:pPr>
      <w:r>
        <w:rPr/>
        <w:t>злокачественными опухолями яичников // Вопр. онкол. -1972.-№ 5.- С. 41-45.</w:t>
      </w:r>
    </w:p>
    <w:p>
      <w:pPr>
        <w:pStyle w:val="BodyText"/>
        <w:spacing w:line="360" w:lineRule="auto" w:before="2"/>
        <w:ind w:left="741" w:right="125" w:hanging="360"/>
        <w:jc w:val="both"/>
      </w:pPr>
      <w:r>
        <w:rPr/>
        <w:t>58.Нечушкина В. М., Кузнецов В. В., Баринов В. В., Бокина Л. И. // Рак тела матки / Лекции по онкогинекологии / Под общ. ред. М. И. Давыдова, В. В. Кузнецова; под ред. В. М. Нечушкиной. М.:МЕДпресс-информ,2009.—С.226—254.</w:t>
      </w:r>
    </w:p>
    <w:p>
      <w:pPr>
        <w:pStyle w:val="BodyText"/>
        <w:spacing w:line="360" w:lineRule="auto" w:before="127"/>
        <w:ind w:left="217" w:right="119"/>
        <w:jc w:val="right"/>
      </w:pPr>
      <w:r>
        <w:rPr/>
        <w:t>59.Новик А.А., Ионова Т.И. Руководство по исследованию качества</w:t>
      </w:r>
      <w:r>
        <w:rPr>
          <w:w w:val="100"/>
        </w:rPr>
        <w:t> </w:t>
      </w:r>
      <w:r>
        <w:rPr/>
        <w:t>жизни в медицине // СПб: Издательский Дом «Нева», 2002. –</w:t>
      </w:r>
      <w:r>
        <w:rPr>
          <w:spacing w:val="58"/>
        </w:rPr>
        <w:t> </w:t>
      </w:r>
      <w:r>
        <w:rPr/>
        <w:t>320 С.</w:t>
      </w:r>
      <w:r>
        <w:rPr>
          <w:w w:val="100"/>
        </w:rPr>
        <w:t> </w:t>
      </w:r>
      <w:r>
        <w:rPr/>
        <w:t>60.Новик В.И. Эпидемиология рака шейки матки, факторы риска,</w:t>
      </w:r>
      <w:r>
        <w:rPr>
          <w:w w:val="100"/>
        </w:rPr>
        <w:t> </w:t>
      </w:r>
      <w:r>
        <w:rPr/>
        <w:t>скрининг / В.И. Новик // Практ. Онкол. – 2002. – Т. 3, №3. – С.156-</w:t>
      </w:r>
    </w:p>
    <w:p>
      <w:pPr>
        <w:pStyle w:val="BodyText"/>
        <w:spacing w:before="7"/>
        <w:ind w:left="741"/>
      </w:pPr>
      <w:r>
        <w:rPr/>
        <w:t>165.</w:t>
      </w:r>
    </w:p>
    <w:p>
      <w:pPr>
        <w:pStyle w:val="BodyText"/>
        <w:spacing w:line="360" w:lineRule="auto" w:before="160"/>
        <w:ind w:left="741" w:right="126" w:hanging="360"/>
        <w:jc w:val="both"/>
      </w:pPr>
      <w:r>
        <w:rPr/>
        <w:t>61.Новикова Е.Г., Антипов В.А., Шевчук А.С. Лапароскопическая транспозиция яичников в комбинированном лечении больных местнораспространенным раком шейки матки // Журнал акушерства и женских болезней. – 2009. –  Том LVIII, №5. – С.88.</w:t>
      </w:r>
    </w:p>
    <w:p>
      <w:pPr>
        <w:pStyle w:val="BodyText"/>
        <w:spacing w:line="360" w:lineRule="auto" w:before="5"/>
        <w:ind w:left="741" w:right="115" w:hanging="360"/>
        <w:jc w:val="both"/>
      </w:pPr>
      <w:r>
        <w:rPr/>
        <w:t>62.Новикова Е.Г. Органосохраняющее лечение больных начальными формами рака шейки матки. //Автореф. дис. д-ра мед. наук. – М. – 1989.</w:t>
      </w:r>
    </w:p>
    <w:p>
      <w:pPr>
        <w:pStyle w:val="BodyText"/>
        <w:spacing w:line="360" w:lineRule="auto" w:before="7"/>
        <w:ind w:left="741" w:right="125" w:hanging="360"/>
        <w:jc w:val="both"/>
      </w:pPr>
      <w:r>
        <w:rPr/>
        <w:t>63.Новикова Е.Г. с соавт. Концепция органосохранного лечения в онкогинекологии. Практическая онкология. 2009, Т 10, №2, с. 86-92.</w:t>
      </w:r>
    </w:p>
    <w:p>
      <w:pPr>
        <w:pStyle w:val="BodyText"/>
        <w:spacing w:line="360" w:lineRule="auto" w:before="5"/>
        <w:ind w:left="741" w:right="122" w:hanging="360"/>
        <w:jc w:val="both"/>
      </w:pPr>
      <w:r>
        <w:rPr/>
        <w:t>64.Новикова Е.Г. с соавт. Репродуктивная функция как показатель обоснованности и эффективности органосохраняющего лечения онкогинекологических больных // Российский онкологический журнал. – 2006. №2. - С.4-10.</w:t>
      </w:r>
    </w:p>
    <w:p>
      <w:pPr>
        <w:spacing w:after="0" w:line="360" w:lineRule="auto"/>
        <w:jc w:val="both"/>
        <w:sectPr>
          <w:pgSz w:w="11900" w:h="16850"/>
          <w:pgMar w:header="712" w:footer="0" w:top="1020" w:bottom="280" w:left="1680" w:right="1000"/>
        </w:sectPr>
      </w:pPr>
    </w:p>
    <w:p>
      <w:pPr>
        <w:pStyle w:val="BodyText"/>
        <w:tabs>
          <w:tab w:pos="7272" w:val="left" w:leader="none"/>
        </w:tabs>
        <w:spacing w:line="360" w:lineRule="auto"/>
        <w:ind w:left="741" w:right="123" w:hanging="360"/>
        <w:jc w:val="both"/>
      </w:pPr>
      <w:r>
        <w:rPr/>
        <w:t>65.Новикова     Е.Г.     с    </w:t>
      </w:r>
      <w:r>
        <w:rPr>
          <w:spacing w:val="16"/>
        </w:rPr>
        <w:t> </w:t>
      </w:r>
      <w:r>
        <w:rPr/>
        <w:t>соавт.,     </w:t>
      </w:r>
      <w:r>
        <w:rPr>
          <w:spacing w:val="1"/>
        </w:rPr>
        <w:t> </w:t>
      </w:r>
      <w:r>
        <w:rPr/>
        <w:t>Радикальная</w:t>
        <w:tab/>
      </w:r>
      <w:r>
        <w:rPr>
          <w:spacing w:val="-1"/>
        </w:rPr>
        <w:t>абдоминальная </w:t>
      </w:r>
      <w:r>
        <w:rPr/>
        <w:t>трахелэктомия. Москва, Практическая медицина, 2012,</w:t>
      </w:r>
      <w:r>
        <w:rPr>
          <w:spacing w:val="-19"/>
        </w:rPr>
        <w:t> </w:t>
      </w:r>
      <w:r>
        <w:rPr/>
        <w:t>112с.</w:t>
      </w:r>
    </w:p>
    <w:p>
      <w:pPr>
        <w:pStyle w:val="BodyText"/>
        <w:spacing w:line="360" w:lineRule="auto" w:before="8"/>
        <w:ind w:left="741" w:right="117" w:hanging="360"/>
        <w:jc w:val="both"/>
      </w:pPr>
      <w:r>
        <w:rPr/>
        <w:t>66.Новикова Е.Г., Баталова Г.Ю. Пограничные опухоли яичников. - М., 2007. -159 с.</w:t>
      </w:r>
    </w:p>
    <w:p>
      <w:pPr>
        <w:pStyle w:val="BodyText"/>
        <w:spacing w:line="360" w:lineRule="auto" w:before="5"/>
        <w:ind w:left="741" w:right="120" w:hanging="360"/>
        <w:jc w:val="both"/>
      </w:pPr>
      <w:r>
        <w:rPr/>
        <w:t>67.Новикова Е.Г., Чиссов В.И., Чулкова О.В., Ронина Е.А.,  Антипов В.А. Органосохраняющее лечение в онкогинекологии. - М.: Издательский дом ВИДАР-М, 2000. - 112 с., ил.</w:t>
      </w:r>
    </w:p>
    <w:p>
      <w:pPr>
        <w:pStyle w:val="BodyText"/>
        <w:spacing w:line="360" w:lineRule="auto" w:before="5"/>
        <w:ind w:left="741" w:right="119" w:hanging="360"/>
        <w:jc w:val="both"/>
      </w:pPr>
      <w:r>
        <w:rPr/>
        <w:t>68.Оловянный В.Е. Лапароскопическая хирургия в России: этапы становления, проблемы и пути развития: автореф. дис. д-ра мед.  наук: 07.00.10, 14.01.17 – М., 2012. –</w:t>
      </w:r>
      <w:r>
        <w:rPr>
          <w:spacing w:val="-16"/>
        </w:rPr>
        <w:t> </w:t>
      </w:r>
      <w:r>
        <w:rPr/>
        <w:t>49с.</w:t>
      </w:r>
    </w:p>
    <w:p>
      <w:pPr>
        <w:pStyle w:val="BodyText"/>
        <w:spacing w:line="360" w:lineRule="auto" w:before="5"/>
        <w:ind w:left="741" w:right="119" w:hanging="360"/>
        <w:jc w:val="both"/>
      </w:pPr>
      <w:r>
        <w:rPr/>
        <w:t>69.Петерсон Б.Е., Чиссов В.И., Кузьмин И.В. Группы повышенного онкологического риска // В кн. «Ранняя онкологическая патология». - М.-1985.-с.5-26.</w:t>
      </w:r>
    </w:p>
    <w:p>
      <w:pPr>
        <w:pStyle w:val="BodyText"/>
        <w:spacing w:line="360" w:lineRule="auto" w:before="5"/>
        <w:ind w:left="741" w:right="121" w:hanging="360"/>
        <w:jc w:val="both"/>
      </w:pPr>
      <w:r>
        <w:rPr/>
        <w:t>70.Поддубный Б.К., Губин А.Н., Блюменберг А.Г., Вакурова Е.А. Лапароскопия в диагностике рака яичников и его рецидивов на современном этапе // Тезисы докладов VII Российского онкологического конгресса. — М., 2003. — С. 196–197.</w:t>
      </w:r>
    </w:p>
    <w:p>
      <w:pPr>
        <w:pStyle w:val="BodyText"/>
        <w:spacing w:before="5"/>
        <w:ind w:left="381"/>
      </w:pPr>
      <w:r>
        <w:rPr/>
        <w:t>71.Пожарисский К.М. Современные представления о предраке // В    кн.</w:t>
      </w:r>
    </w:p>
    <w:p>
      <w:pPr>
        <w:pStyle w:val="BodyText"/>
        <w:spacing w:before="160"/>
        <w:ind w:left="741"/>
      </w:pPr>
      <w:r>
        <w:rPr/>
        <w:t>«Общая онкология». - Л.-1989.-с.193-210.</w:t>
      </w:r>
    </w:p>
    <w:p>
      <w:pPr>
        <w:pStyle w:val="BodyText"/>
        <w:spacing w:line="360" w:lineRule="auto" w:before="162"/>
        <w:ind w:left="741" w:right="124" w:hanging="360"/>
        <w:jc w:val="both"/>
      </w:pPr>
      <w:r>
        <w:rPr/>
        <w:t>72.Рамараджапаулли М.Л.  Возможности  дооперационного стадирования аденокарциномы шейки матки // Вестн. онкол. научн. центра АМН России. –  1992. –  №1. – С.42-46.</w:t>
      </w:r>
    </w:p>
    <w:p>
      <w:pPr>
        <w:pStyle w:val="BodyText"/>
        <w:tabs>
          <w:tab w:pos="2172" w:val="left" w:leader="none"/>
          <w:tab w:pos="8488" w:val="left" w:leader="none"/>
        </w:tabs>
        <w:spacing w:line="360" w:lineRule="auto" w:before="5"/>
        <w:ind w:left="741" w:right="119" w:hanging="360"/>
        <w:jc w:val="both"/>
      </w:pPr>
      <w:r>
        <w:rPr/>
        <w:t>73.Рубцова Н.А., Новикова Е.Г., Синицын В.Е., Пузаков К.Б. / МРТ в предоперационной оценке распространенности инвазивного рака шейки матки: роль методики интравагинального контратирования // REJR | </w:t>
      </w:r>
      <w:hyperlink r:id="rId189">
        <w:r>
          <w:rPr/>
          <w:t>www.rejr.ru</w:t>
        </w:r>
      </w:hyperlink>
      <w:r>
        <w:rPr/>
        <w:t> | - 2012. – Т.2, №3. – 48с. [Электронный ресурс]. URL:</w:t>
        <w:tab/>
      </w:r>
      <w:hyperlink r:id="rId190">
        <w:r>
          <w:rPr>
            <w:color w:val="0000FF"/>
            <w:u w:val="single" w:color="0000FF"/>
          </w:rPr>
          <w:t>http://rejr.ru/volume/7/REJR_%E2%84%967.pdf</w:t>
        </w:r>
      </w:hyperlink>
      <w:r>
        <w:rPr>
          <w:color w:val="0000FF"/>
        </w:rPr>
        <w:tab/>
      </w:r>
      <w:r>
        <w:rPr/>
        <w:t>(дата обращения:</w:t>
      </w:r>
      <w:r>
        <w:rPr>
          <w:spacing w:val="-8"/>
        </w:rPr>
        <w:t> </w:t>
      </w:r>
      <w:r>
        <w:rPr/>
        <w:t>15.04.2015).</w:t>
      </w:r>
    </w:p>
    <w:p>
      <w:pPr>
        <w:pStyle w:val="BodyText"/>
        <w:spacing w:line="360" w:lineRule="auto" w:before="7"/>
        <w:ind w:left="741" w:right="127" w:hanging="360"/>
        <w:jc w:val="both"/>
      </w:pPr>
      <w:r>
        <w:rPr/>
        <w:t>74.Сагайдак В.Н., Комарова Л.Е. Рак шейки матки и цитологический скрининг. – М. 1994.</w:t>
      </w:r>
    </w:p>
    <w:p>
      <w:pPr>
        <w:spacing w:after="0" w:line="360" w:lineRule="auto"/>
        <w:jc w:val="both"/>
        <w:sectPr>
          <w:pgSz w:w="11900" w:h="16850"/>
          <w:pgMar w:header="712" w:footer="0" w:top="1020" w:bottom="280" w:left="1680" w:right="1000"/>
        </w:sectPr>
      </w:pPr>
    </w:p>
    <w:p>
      <w:pPr>
        <w:pStyle w:val="BodyText"/>
        <w:tabs>
          <w:tab w:pos="6260" w:val="left" w:leader="none"/>
          <w:tab w:pos="8517" w:val="left" w:leader="none"/>
        </w:tabs>
        <w:spacing w:line="360" w:lineRule="auto"/>
        <w:ind w:left="741" w:right="221" w:hanging="360"/>
        <w:jc w:val="both"/>
      </w:pPr>
      <w:r>
        <w:rPr/>
        <w:t>75.Семиглазов     В.Ф..    </w:t>
      </w:r>
      <w:r>
        <w:rPr>
          <w:spacing w:val="2"/>
        </w:rPr>
        <w:t> </w:t>
      </w:r>
      <w:r>
        <w:rPr/>
        <w:t>Веснин     </w:t>
      </w:r>
      <w:r>
        <w:rPr>
          <w:spacing w:val="2"/>
        </w:rPr>
        <w:t> </w:t>
      </w:r>
      <w:r>
        <w:rPr/>
        <w:t>А.Г.,</w:t>
        <w:tab/>
        <w:t>Моисеенко</w:t>
        <w:tab/>
        <w:t>В.М. Минимальный рак молочной железы // СПб. - 1992. -240</w:t>
      </w:r>
      <w:r>
        <w:rPr>
          <w:spacing w:val="-14"/>
        </w:rPr>
        <w:t> </w:t>
      </w:r>
      <w:r>
        <w:rPr/>
        <w:t>с.</w:t>
      </w:r>
    </w:p>
    <w:p>
      <w:pPr>
        <w:pStyle w:val="BodyText"/>
        <w:spacing w:line="360" w:lineRule="auto" w:before="8"/>
        <w:ind w:left="741" w:right="212" w:hanging="360"/>
        <w:jc w:val="both"/>
      </w:pPr>
      <w:r>
        <w:rPr/>
        <w:t>76.Сергеева Н.С., Ермошина Н.В., Ахмедова С.А., Мишунина М.П. Опухолеассоциированный антиген СА-125 в норме, при раке яичников и других патологических состояниях // Лаборатория. — 2001. — № 3. — С. 3–6.</w:t>
      </w:r>
    </w:p>
    <w:p>
      <w:pPr>
        <w:pStyle w:val="BodyText"/>
        <w:spacing w:line="360" w:lineRule="auto" w:before="7"/>
        <w:ind w:left="381" w:right="603"/>
      </w:pPr>
      <w:r>
        <w:rPr/>
        <w:t>77.Серебров А.И. Оперативная онкогинекология. Л., Медицина, 1965 78.Серебров А.И. Рак матки. – Л. 1957. (1 изд.), 1968 (2 изд.).</w:t>
      </w:r>
    </w:p>
    <w:p>
      <w:pPr>
        <w:pStyle w:val="BodyText"/>
        <w:spacing w:line="360" w:lineRule="auto" w:before="5"/>
        <w:ind w:left="741" w:right="116" w:hanging="360"/>
        <w:jc w:val="both"/>
      </w:pPr>
      <w:r>
        <w:rPr/>
        <w:t>79.Соломатина А.А, Духин А.О., Кафаров И.Г. и др. Значение дополнительных методов обследования в определении варианта оперативного лечения (лапаротомия — лапароскопия) у пациенток с объемными образованиями яичников // Акуш. и гин. — 1996. — №    5. — С.</w:t>
      </w:r>
      <w:r>
        <w:rPr>
          <w:spacing w:val="-4"/>
        </w:rPr>
        <w:t> </w:t>
      </w:r>
      <w:r>
        <w:rPr/>
        <w:t>20–22.</w:t>
      </w:r>
    </w:p>
    <w:p>
      <w:pPr>
        <w:pStyle w:val="BodyText"/>
        <w:spacing w:line="360" w:lineRule="auto" w:before="5"/>
        <w:ind w:left="741" w:right="231" w:hanging="360"/>
        <w:jc w:val="both"/>
      </w:pPr>
      <w:r>
        <w:rPr/>
        <w:t>80.Сухин В.С. Метастатическое поражение яичников при раке шейки матки / Онкология. – 2008. – Т.10, № 3. – С.374-376.</w:t>
      </w:r>
    </w:p>
    <w:p>
      <w:pPr>
        <w:pStyle w:val="BodyText"/>
        <w:spacing w:line="360" w:lineRule="auto" w:before="8"/>
        <w:ind w:left="741" w:right="221" w:hanging="360"/>
        <w:jc w:val="both"/>
      </w:pPr>
      <w:r>
        <w:rPr/>
        <w:t>81.Тобилевич В.П., Бохман Я.В. Эволюция методов лучевого лечения больных раком шейки матки с региональными метастазами. В кн.: Современные проблемы онкологии. Л.: -1971, с. 174-182.</w:t>
      </w:r>
    </w:p>
    <w:p>
      <w:pPr>
        <w:pStyle w:val="BodyText"/>
        <w:spacing w:line="362" w:lineRule="auto" w:before="5"/>
        <w:ind w:left="741" w:right="125" w:hanging="360"/>
        <w:jc w:val="both"/>
      </w:pPr>
      <w:r>
        <w:rPr/>
        <w:t>82.Тюляндин С.А. Рак яичников: химиотерапия второй линии // Практ. онкол. — 2000. — № 4. — С. 32–37.</w:t>
      </w:r>
    </w:p>
    <w:p>
      <w:pPr>
        <w:pStyle w:val="BodyText"/>
        <w:spacing w:line="360" w:lineRule="auto" w:before="2"/>
        <w:ind w:left="741" w:right="220" w:hanging="360"/>
        <w:jc w:val="both"/>
      </w:pPr>
      <w:r>
        <w:rPr/>
        <w:t>83.Урманчеева А.Ф. Рак шейки матки и беременность. // Практ. онкол. – т.3, - №3, - 2002, с. 183-193.</w:t>
      </w:r>
    </w:p>
    <w:p>
      <w:pPr>
        <w:pStyle w:val="BodyText"/>
        <w:spacing w:line="362" w:lineRule="auto" w:before="5"/>
        <w:ind w:left="381" w:right="106"/>
      </w:pPr>
      <w:r>
        <w:rPr/>
        <w:t>84.Хачкарузов С.Г. УЗИ в гинекологии. — СПб.; ЛБИ, 2000. — 656 с. 85.Цыпурдеева А.А. Роль лапароскопии в оптимизации диагностики    и</w:t>
      </w:r>
    </w:p>
    <w:p>
      <w:pPr>
        <w:pStyle w:val="BodyText"/>
        <w:spacing w:line="360" w:lineRule="auto" w:before="1"/>
        <w:ind w:left="741" w:right="629"/>
      </w:pPr>
      <w:r>
        <w:rPr/>
        <w:t>лечения новообразований яичников. Автореферет дис. кан. мед.  наук. –</w:t>
      </w:r>
      <w:r>
        <w:rPr>
          <w:spacing w:val="-5"/>
        </w:rPr>
        <w:t> </w:t>
      </w:r>
      <w:r>
        <w:rPr/>
        <w:t>2004.</w:t>
      </w:r>
    </w:p>
    <w:p>
      <w:pPr>
        <w:pStyle w:val="BodyText"/>
        <w:spacing w:line="360" w:lineRule="auto" w:before="5"/>
        <w:ind w:left="741" w:right="217" w:hanging="360"/>
        <w:jc w:val="both"/>
      </w:pPr>
      <w:r>
        <w:rPr/>
        <w:t>86.Чакалова Г.Б., Карагозов А.И. - Метастазы в костях у больных раком шейки матки. // Вопр. онкол. 1992. T. 38. N 11. C. 1372-1375.</w:t>
      </w:r>
    </w:p>
    <w:p>
      <w:pPr>
        <w:pStyle w:val="BodyText"/>
        <w:spacing w:line="360" w:lineRule="auto" w:before="8"/>
        <w:ind w:left="741" w:right="218" w:hanging="360"/>
        <w:jc w:val="both"/>
      </w:pPr>
      <w:r>
        <w:rPr>
          <w:spacing w:val="-3"/>
        </w:rPr>
        <w:t>87.Чакалова </w:t>
      </w:r>
      <w:r>
        <w:rPr>
          <w:spacing w:val="-4"/>
        </w:rPr>
        <w:t>Г.Б., Михайлов М.А. </w:t>
      </w:r>
      <w:r>
        <w:rPr/>
        <w:t>- </w:t>
      </w:r>
      <w:r>
        <w:rPr>
          <w:spacing w:val="-4"/>
        </w:rPr>
        <w:t>Стеноз </w:t>
      </w:r>
      <w:r>
        <w:rPr>
          <w:spacing w:val="-5"/>
        </w:rPr>
        <w:t>мочеточника </w:t>
      </w:r>
      <w:r>
        <w:rPr/>
        <w:t>и </w:t>
      </w:r>
      <w:r>
        <w:rPr>
          <w:spacing w:val="-4"/>
        </w:rPr>
        <w:t>гидронефроз </w:t>
      </w:r>
      <w:r>
        <w:rPr>
          <w:spacing w:val="-3"/>
        </w:rPr>
        <w:t>при </w:t>
      </w:r>
      <w:r>
        <w:rPr>
          <w:spacing w:val="-5"/>
        </w:rPr>
        <w:t>распространенном </w:t>
      </w:r>
      <w:r>
        <w:rPr>
          <w:spacing w:val="-4"/>
        </w:rPr>
        <w:t>рака шейки матки. </w:t>
      </w:r>
      <w:r>
        <w:rPr/>
        <w:t>// </w:t>
      </w:r>
      <w:r>
        <w:rPr>
          <w:spacing w:val="-5"/>
        </w:rPr>
        <w:t>Онкология. </w:t>
      </w:r>
      <w:r>
        <w:rPr>
          <w:spacing w:val="-4"/>
        </w:rPr>
        <w:t>1993., </w:t>
      </w:r>
      <w:r>
        <w:rPr>
          <w:spacing w:val="-3"/>
        </w:rPr>
        <w:t>T. 30.  </w:t>
      </w:r>
      <w:r>
        <w:rPr>
          <w:spacing w:val="7"/>
        </w:rPr>
        <w:t> </w:t>
      </w:r>
      <w:r>
        <w:rPr/>
        <w:t>N</w:t>
      </w:r>
    </w:p>
    <w:p>
      <w:pPr>
        <w:spacing w:after="0" w:line="360" w:lineRule="auto"/>
        <w:jc w:val="both"/>
        <w:sectPr>
          <w:pgSz w:w="11900" w:h="16850"/>
          <w:pgMar w:header="712" w:footer="0" w:top="1020" w:bottom="280" w:left="1680" w:right="900"/>
        </w:sectPr>
      </w:pPr>
    </w:p>
    <w:p>
      <w:pPr>
        <w:pStyle w:val="BodyText"/>
        <w:spacing w:line="321" w:lineRule="exact"/>
        <w:ind w:left="741"/>
      </w:pPr>
      <w:r>
        <w:rPr/>
        <w:t>1. C. 90.</w:t>
      </w:r>
    </w:p>
    <w:p>
      <w:pPr>
        <w:pStyle w:val="BodyText"/>
        <w:spacing w:line="360" w:lineRule="auto" w:before="161"/>
        <w:ind w:left="741" w:right="120" w:hanging="360"/>
        <w:jc w:val="both"/>
      </w:pPr>
      <w:r>
        <w:rPr/>
        <w:t>88.Чарквиани Л.И., Читиашвили Р.А., Пагава Е.М., Цинцадзе И.Т., Чарквиани Т.Л. Опухоли яичников в Грузии – распространение, профилактика, диагностика, лечение // В кн.: «Опухоли яичников». – Иркутск, 1990. – С. 61-71.</w:t>
      </w:r>
    </w:p>
    <w:p>
      <w:pPr>
        <w:pStyle w:val="BodyText"/>
        <w:spacing w:line="360" w:lineRule="auto" w:before="5"/>
        <w:ind w:left="741" w:right="256" w:hanging="360"/>
      </w:pPr>
      <w:r>
        <w:rPr/>
        <w:t>89.Черкасова Е.А., Кром И.Л., Новичкова И.Ю. Оценка качества жизни у больных с онкопатологией //. Бюллетень Национального Научно- исследовательского института здоровья им.Н.А.Семашко. Т.3 2005. С.133 – 139.</w:t>
      </w:r>
    </w:p>
    <w:p>
      <w:pPr>
        <w:pStyle w:val="BodyText"/>
        <w:spacing w:line="360" w:lineRule="auto" w:before="5"/>
        <w:ind w:left="741" w:right="120" w:hanging="360"/>
        <w:jc w:val="both"/>
      </w:pPr>
      <w:r>
        <w:rPr/>
        <w:t>90.Чиссов В.И., Старинский В.В., Петрова Г.В. Злокачественные новообразования в России в 2008 году (заболеваемость  и смертность) /– М.: ФГУ «МНИОИ им. П.А. Герцена Росмедтехнологий», 2010.−</w:t>
      </w:r>
      <w:r>
        <w:rPr>
          <w:spacing w:val="-16"/>
        </w:rPr>
        <w:t> </w:t>
      </w:r>
      <w:r>
        <w:rPr/>
        <w:t>256с.</w:t>
      </w:r>
    </w:p>
    <w:p>
      <w:pPr>
        <w:pStyle w:val="BodyText"/>
        <w:spacing w:line="360" w:lineRule="auto" w:before="5"/>
        <w:ind w:left="741" w:right="120" w:hanging="360"/>
        <w:jc w:val="both"/>
      </w:pPr>
      <w:r>
        <w:rPr/>
        <w:t>91.Шавладзе З.Н. Клинико-диагностические аспекты магнитно – резонансного стадирования рака шейки матки // Мед.визуализ. – 2009. – №5. - С.80-90.</w:t>
      </w:r>
    </w:p>
    <w:p>
      <w:pPr>
        <w:pStyle w:val="BodyText"/>
        <w:spacing w:line="360" w:lineRule="auto" w:before="5"/>
        <w:ind w:left="741" w:right="116" w:hanging="360"/>
        <w:jc w:val="both"/>
      </w:pPr>
      <w:r>
        <w:rPr/>
        <w:t>92.Шуваева Н.И., Вехова Л.И., Новикова Е.Г. с соавт. Органосохраняющее лечение в онкогинекологии.// Вопр. онкологии- 1987.-N10. с.38-52.</w:t>
      </w:r>
    </w:p>
    <w:p>
      <w:pPr>
        <w:pStyle w:val="ListParagraph"/>
        <w:numPr>
          <w:ilvl w:val="0"/>
          <w:numId w:val="56"/>
        </w:numPr>
        <w:tabs>
          <w:tab w:pos="742" w:val="left" w:leader="none"/>
        </w:tabs>
        <w:spacing w:line="360" w:lineRule="auto" w:before="8" w:after="0"/>
        <w:ind w:left="742" w:right="120" w:hanging="360"/>
        <w:jc w:val="both"/>
        <w:rPr>
          <w:sz w:val="28"/>
        </w:rPr>
      </w:pPr>
      <w:r>
        <w:rPr>
          <w:sz w:val="28"/>
        </w:rPr>
        <w:t>Aburel E. Sub – corporeal extended colpohysterectomy in therapy of incipient cancer of cervix / E.Aburel // C.R.Soc.Fr.Gynecol. – 1957. – Vol.27, №6. –</w:t>
      </w:r>
      <w:r>
        <w:rPr>
          <w:spacing w:val="-10"/>
          <w:sz w:val="28"/>
        </w:rPr>
        <w:t> </w:t>
      </w:r>
      <w:r>
        <w:rPr>
          <w:sz w:val="28"/>
        </w:rPr>
        <w:t>P.237-243.</w:t>
      </w:r>
    </w:p>
    <w:p>
      <w:pPr>
        <w:pStyle w:val="ListParagraph"/>
        <w:numPr>
          <w:ilvl w:val="0"/>
          <w:numId w:val="56"/>
        </w:numPr>
        <w:tabs>
          <w:tab w:pos="742" w:val="left" w:leader="none"/>
        </w:tabs>
        <w:spacing w:line="362" w:lineRule="auto" w:before="6" w:after="0"/>
        <w:ind w:left="742" w:right="126" w:hanging="360"/>
        <w:jc w:val="both"/>
        <w:rPr>
          <w:sz w:val="28"/>
        </w:rPr>
      </w:pPr>
      <w:r>
        <w:rPr>
          <w:sz w:val="28"/>
        </w:rPr>
        <w:t>Andersen E.S., Nielsen K. Adenocarcinoma in situ of the cervix: a prospective study of conization as definitive treatment. // Gynecol. </w:t>
      </w:r>
      <w:r>
        <w:rPr>
          <w:spacing w:val="12"/>
          <w:sz w:val="28"/>
        </w:rPr>
        <w:t> </w:t>
      </w:r>
      <w:r>
        <w:rPr>
          <w:sz w:val="28"/>
        </w:rPr>
        <w:t>oncol.</w:t>
      </w:r>
    </w:p>
    <w:p>
      <w:pPr>
        <w:pStyle w:val="BodyText"/>
        <w:spacing w:before="2"/>
        <w:ind w:left="741"/>
      </w:pPr>
      <w:r>
        <w:rPr/>
        <w:t>–  2002. – Sep. – 86(3). – p.365-369.</w:t>
      </w:r>
    </w:p>
    <w:p>
      <w:pPr>
        <w:pStyle w:val="ListParagraph"/>
        <w:numPr>
          <w:ilvl w:val="0"/>
          <w:numId w:val="56"/>
        </w:numPr>
        <w:tabs>
          <w:tab w:pos="742" w:val="left" w:leader="none"/>
        </w:tabs>
        <w:spacing w:line="360" w:lineRule="auto" w:before="160" w:after="0"/>
        <w:ind w:left="742" w:right="120" w:hanging="360"/>
        <w:jc w:val="both"/>
        <w:rPr>
          <w:sz w:val="28"/>
        </w:rPr>
      </w:pPr>
      <w:r>
        <w:rPr>
          <w:sz w:val="28"/>
        </w:rPr>
        <w:t>Angel C., Beecham Jackson B. et al. Magnetic resonance imaging and pathologic correlation in Stage IB cervix cancers // Gynecol. Oncol. – 1987. - Vol.27, №3 –</w:t>
      </w:r>
      <w:r>
        <w:rPr>
          <w:spacing w:val="-15"/>
          <w:sz w:val="28"/>
        </w:rPr>
        <w:t> </w:t>
      </w:r>
      <w:r>
        <w:rPr>
          <w:sz w:val="28"/>
        </w:rPr>
        <w:t>P.357-365.</w:t>
      </w:r>
    </w:p>
    <w:p>
      <w:pPr>
        <w:pStyle w:val="ListParagraph"/>
        <w:numPr>
          <w:ilvl w:val="0"/>
          <w:numId w:val="56"/>
        </w:numPr>
        <w:tabs>
          <w:tab w:pos="742" w:val="left" w:leader="none"/>
        </w:tabs>
        <w:spacing w:line="360" w:lineRule="auto" w:before="7" w:after="0"/>
        <w:ind w:left="742" w:right="117" w:hanging="360"/>
        <w:jc w:val="both"/>
        <w:rPr>
          <w:sz w:val="28"/>
        </w:rPr>
      </w:pPr>
      <w:r>
        <w:rPr>
          <w:spacing w:val="-5"/>
          <w:sz w:val="28"/>
        </w:rPr>
        <w:t>Ash </w:t>
      </w:r>
      <w:r>
        <w:rPr>
          <w:spacing w:val="-6"/>
          <w:sz w:val="28"/>
        </w:rPr>
        <w:t>A.K., </w:t>
      </w:r>
      <w:r>
        <w:rPr>
          <w:spacing w:val="-5"/>
          <w:sz w:val="28"/>
        </w:rPr>
        <w:t>Badawy </w:t>
      </w:r>
      <w:r>
        <w:rPr>
          <w:spacing w:val="-4"/>
          <w:sz w:val="28"/>
        </w:rPr>
        <w:t>A., </w:t>
      </w:r>
      <w:r>
        <w:rPr>
          <w:spacing w:val="-6"/>
          <w:sz w:val="28"/>
        </w:rPr>
        <w:t>Mohammed </w:t>
      </w:r>
      <w:r>
        <w:rPr>
          <w:spacing w:val="-4"/>
          <w:sz w:val="28"/>
        </w:rPr>
        <w:t>H., </w:t>
      </w:r>
      <w:r>
        <w:rPr>
          <w:spacing w:val="-5"/>
          <w:sz w:val="28"/>
        </w:rPr>
        <w:t>Magos </w:t>
      </w:r>
      <w:r>
        <w:rPr>
          <w:spacing w:val="-6"/>
          <w:sz w:val="28"/>
        </w:rPr>
        <w:t>A.L. Laparoscopy </w:t>
      </w:r>
      <w:r>
        <w:rPr>
          <w:spacing w:val="-5"/>
          <w:sz w:val="28"/>
        </w:rPr>
        <w:t>and </w:t>
      </w:r>
      <w:r>
        <w:rPr>
          <w:spacing w:val="-6"/>
          <w:sz w:val="28"/>
        </w:rPr>
        <w:t>spread </w:t>
      </w:r>
      <w:r>
        <w:rPr>
          <w:spacing w:val="-3"/>
          <w:sz w:val="28"/>
        </w:rPr>
        <w:t>of </w:t>
      </w:r>
      <w:r>
        <w:rPr>
          <w:spacing w:val="-6"/>
          <w:sz w:val="28"/>
        </w:rPr>
        <w:t>ovarian cancer </w:t>
      </w:r>
      <w:r>
        <w:rPr>
          <w:spacing w:val="-4"/>
          <w:sz w:val="28"/>
        </w:rPr>
        <w:t>// </w:t>
      </w:r>
      <w:r>
        <w:rPr>
          <w:spacing w:val="-6"/>
          <w:sz w:val="28"/>
        </w:rPr>
        <w:t>Lancet. </w:t>
      </w:r>
      <w:r>
        <w:rPr>
          <w:spacing w:val="-4"/>
          <w:sz w:val="28"/>
        </w:rPr>
        <w:t>346 </w:t>
      </w:r>
      <w:r>
        <w:rPr>
          <w:spacing w:val="-6"/>
          <w:sz w:val="28"/>
        </w:rPr>
        <w:t>(8976): </w:t>
      </w:r>
      <w:r>
        <w:rPr>
          <w:spacing w:val="-5"/>
          <w:sz w:val="28"/>
        </w:rPr>
        <w:t>709-10, </w:t>
      </w:r>
      <w:r>
        <w:rPr>
          <w:spacing w:val="-6"/>
          <w:sz w:val="28"/>
        </w:rPr>
        <w:t>-1995.</w:t>
      </w:r>
      <w:r>
        <w:rPr>
          <w:spacing w:val="-45"/>
          <w:sz w:val="28"/>
        </w:rPr>
        <w:t> </w:t>
      </w:r>
      <w:r>
        <w:rPr>
          <w:spacing w:val="-6"/>
          <w:sz w:val="28"/>
        </w:rPr>
        <w:t>-Sep.9.</w:t>
      </w:r>
    </w:p>
    <w:p>
      <w:pPr>
        <w:spacing w:after="0" w:line="360" w:lineRule="auto"/>
        <w:jc w:val="both"/>
        <w:rPr>
          <w:sz w:val="28"/>
        </w:rPr>
        <w:sectPr>
          <w:pgSz w:w="11900" w:h="16850"/>
          <w:pgMar w:header="712" w:footer="0" w:top="1020" w:bottom="280" w:left="1680" w:right="1000"/>
        </w:sectPr>
      </w:pPr>
    </w:p>
    <w:p>
      <w:pPr>
        <w:pStyle w:val="ListParagraph"/>
        <w:numPr>
          <w:ilvl w:val="0"/>
          <w:numId w:val="56"/>
        </w:numPr>
        <w:tabs>
          <w:tab w:pos="742" w:val="left" w:leader="none"/>
        </w:tabs>
        <w:spacing w:line="360" w:lineRule="auto" w:before="0" w:after="0"/>
        <w:ind w:left="742" w:right="100" w:hanging="360"/>
        <w:jc w:val="both"/>
        <w:rPr>
          <w:sz w:val="28"/>
        </w:rPr>
      </w:pPr>
      <w:r>
        <w:rPr>
          <w:sz w:val="28"/>
        </w:rPr>
        <w:t>AUendorf J.D.F., Bessler M., Kayton  M.L.,  Oesterling  S.D.,  Treat M.R., Nowygrod R., Whelan R.L. Increased tumour establishment and growth after laparotomy vs laparoscopy in a murine model. Arch Surg. 1995;</w:t>
      </w:r>
      <w:r>
        <w:rPr>
          <w:spacing w:val="-26"/>
          <w:sz w:val="28"/>
        </w:rPr>
        <w:t> </w:t>
      </w:r>
      <w:r>
        <w:rPr>
          <w:sz w:val="28"/>
        </w:rPr>
        <w:t>130:649-53.</w:t>
      </w:r>
    </w:p>
    <w:p>
      <w:pPr>
        <w:pStyle w:val="ListParagraph"/>
        <w:numPr>
          <w:ilvl w:val="0"/>
          <w:numId w:val="56"/>
        </w:numPr>
        <w:tabs>
          <w:tab w:pos="742" w:val="left" w:leader="none"/>
        </w:tabs>
        <w:spacing w:line="360" w:lineRule="auto" w:before="6" w:after="0"/>
        <w:ind w:left="742" w:right="99" w:hanging="360"/>
        <w:jc w:val="both"/>
        <w:rPr>
          <w:sz w:val="28"/>
        </w:rPr>
      </w:pPr>
      <w:r>
        <w:rPr>
          <w:sz w:val="28"/>
        </w:rPr>
        <w:t>Averette Hervy E. Donato Daniel M., Lovecchio John L.Surgical staging of gynecologic malignancies // Cancer. – 1987. - Vol.60, №8. – P.2010- 2020.</w:t>
      </w:r>
    </w:p>
    <w:p>
      <w:pPr>
        <w:pStyle w:val="ListParagraph"/>
        <w:numPr>
          <w:ilvl w:val="0"/>
          <w:numId w:val="56"/>
        </w:numPr>
        <w:tabs>
          <w:tab w:pos="742" w:val="left" w:leader="none"/>
        </w:tabs>
        <w:spacing w:line="360" w:lineRule="auto" w:before="5" w:after="0"/>
        <w:ind w:left="742" w:right="100" w:hanging="360"/>
        <w:jc w:val="both"/>
        <w:rPr>
          <w:sz w:val="28"/>
        </w:rPr>
      </w:pPr>
      <w:r>
        <w:rPr>
          <w:sz w:val="28"/>
        </w:rPr>
        <w:t>Ayhan Ali., Selcuktuncer Z. J. Radical hysterectomy with lymphadenectomy for treatment of early stade cervical cancer: Clinical experience</w:t>
      </w:r>
      <w:r>
        <w:rPr>
          <w:spacing w:val="36"/>
          <w:sz w:val="28"/>
        </w:rPr>
        <w:t> </w:t>
      </w:r>
      <w:r>
        <w:rPr>
          <w:sz w:val="28"/>
        </w:rPr>
        <w:t>of</w:t>
      </w:r>
      <w:r>
        <w:rPr>
          <w:spacing w:val="38"/>
          <w:sz w:val="28"/>
        </w:rPr>
        <w:t> </w:t>
      </w:r>
      <w:r>
        <w:rPr>
          <w:sz w:val="28"/>
        </w:rPr>
        <w:t>278</w:t>
      </w:r>
      <w:r>
        <w:rPr>
          <w:spacing w:val="38"/>
          <w:sz w:val="28"/>
        </w:rPr>
        <w:t> </w:t>
      </w:r>
      <w:r>
        <w:rPr>
          <w:sz w:val="28"/>
        </w:rPr>
        <w:t>cases</w:t>
      </w:r>
      <w:r>
        <w:rPr>
          <w:spacing w:val="36"/>
          <w:sz w:val="28"/>
        </w:rPr>
        <w:t> </w:t>
      </w:r>
      <w:r>
        <w:rPr>
          <w:sz w:val="28"/>
        </w:rPr>
        <w:t>/</w:t>
      </w:r>
      <w:r>
        <w:rPr>
          <w:spacing w:val="38"/>
          <w:sz w:val="28"/>
        </w:rPr>
        <w:t> </w:t>
      </w:r>
      <w:r>
        <w:rPr>
          <w:sz w:val="28"/>
        </w:rPr>
        <w:t>Ali</w:t>
      </w:r>
      <w:r>
        <w:rPr>
          <w:spacing w:val="38"/>
          <w:sz w:val="28"/>
        </w:rPr>
        <w:t> </w:t>
      </w:r>
      <w:r>
        <w:rPr>
          <w:sz w:val="28"/>
        </w:rPr>
        <w:t>Ayhan,</w:t>
      </w:r>
      <w:r>
        <w:rPr>
          <w:spacing w:val="35"/>
          <w:sz w:val="28"/>
        </w:rPr>
        <w:t> </w:t>
      </w:r>
      <w:r>
        <w:rPr>
          <w:sz w:val="28"/>
        </w:rPr>
        <w:t>//</w:t>
      </w:r>
      <w:r>
        <w:rPr>
          <w:spacing w:val="36"/>
          <w:sz w:val="28"/>
        </w:rPr>
        <w:t> </w:t>
      </w:r>
      <w:r>
        <w:rPr>
          <w:sz w:val="28"/>
        </w:rPr>
        <w:t>Surg.</w:t>
      </w:r>
      <w:r>
        <w:rPr>
          <w:spacing w:val="37"/>
          <w:sz w:val="28"/>
        </w:rPr>
        <w:t> </w:t>
      </w:r>
      <w:r>
        <w:rPr>
          <w:sz w:val="28"/>
        </w:rPr>
        <w:t>Oncol.</w:t>
      </w:r>
      <w:r>
        <w:rPr>
          <w:spacing w:val="44"/>
          <w:sz w:val="28"/>
        </w:rPr>
        <w:t> </w:t>
      </w:r>
      <w:r>
        <w:rPr>
          <w:sz w:val="28"/>
        </w:rPr>
        <w:t>–</w:t>
      </w:r>
      <w:r>
        <w:rPr>
          <w:spacing w:val="37"/>
          <w:sz w:val="28"/>
        </w:rPr>
        <w:t> </w:t>
      </w:r>
      <w:r>
        <w:rPr>
          <w:sz w:val="28"/>
        </w:rPr>
        <w:t>1991.</w:t>
      </w:r>
      <w:r>
        <w:rPr>
          <w:spacing w:val="35"/>
          <w:sz w:val="28"/>
        </w:rPr>
        <w:t> </w:t>
      </w:r>
      <w:r>
        <w:rPr>
          <w:sz w:val="28"/>
        </w:rPr>
        <w:t>-</w:t>
      </w:r>
      <w:r>
        <w:rPr>
          <w:spacing w:val="38"/>
          <w:sz w:val="28"/>
        </w:rPr>
        <w:t> </w:t>
      </w:r>
      <w:r>
        <w:rPr>
          <w:sz w:val="28"/>
        </w:rPr>
        <w:t>Vol.47,</w:t>
      </w:r>
    </w:p>
    <w:p>
      <w:pPr>
        <w:pStyle w:val="BodyText"/>
        <w:spacing w:before="5"/>
        <w:ind w:left="741"/>
      </w:pPr>
      <w:r>
        <w:rPr/>
        <w:t>№3. – P.175-177.</w:t>
      </w:r>
    </w:p>
    <w:p>
      <w:pPr>
        <w:pStyle w:val="ListParagraph"/>
        <w:numPr>
          <w:ilvl w:val="0"/>
          <w:numId w:val="56"/>
        </w:numPr>
        <w:tabs>
          <w:tab w:pos="1438" w:val="left" w:leader="none"/>
        </w:tabs>
        <w:spacing w:line="360" w:lineRule="auto" w:before="163" w:after="0"/>
        <w:ind w:left="742" w:right="100" w:hanging="360"/>
        <w:jc w:val="both"/>
        <w:rPr>
          <w:sz w:val="28"/>
        </w:rPr>
      </w:pPr>
      <w:r>
        <w:rPr>
          <w:sz w:val="28"/>
        </w:rPr>
        <w:t>Babilonti, L. Di Pietro G., La Fianza A., Complications of pelvic lymphadenectomy in patients with endometrial adenocarcinoma // European Journal of Gynaecological Oncology. – 1989. – Vol. 10, № 2. – Р. 131 –</w:t>
      </w:r>
      <w:r>
        <w:rPr>
          <w:spacing w:val="-4"/>
          <w:sz w:val="28"/>
        </w:rPr>
        <w:t> </w:t>
      </w:r>
      <w:r>
        <w:rPr>
          <w:sz w:val="28"/>
        </w:rPr>
        <w:t>133.</w:t>
      </w:r>
    </w:p>
    <w:p>
      <w:pPr>
        <w:pStyle w:val="ListParagraph"/>
        <w:numPr>
          <w:ilvl w:val="0"/>
          <w:numId w:val="56"/>
        </w:numPr>
        <w:tabs>
          <w:tab w:pos="1438" w:val="left" w:leader="none"/>
        </w:tabs>
        <w:spacing w:line="360" w:lineRule="auto" w:before="8" w:after="0"/>
        <w:ind w:left="742" w:right="100" w:hanging="360"/>
        <w:jc w:val="both"/>
        <w:rPr>
          <w:sz w:val="28"/>
        </w:rPr>
      </w:pPr>
      <w:r>
        <w:rPr>
          <w:sz w:val="28"/>
        </w:rPr>
        <w:t>Bar-Am A., Daniel Y., Ron I.G., Niv J., Kupferminc M.J., Bornstein J., Lessing J.B. Combined colposcopy, loop conization, and laser vaporization reduces recurrent abnormal cytology and residual disease in cervical dysplasia. // Gynecol. oncol. – 2000. – Jul.78(1). – p.47-51.</w:t>
      </w:r>
    </w:p>
    <w:p>
      <w:pPr>
        <w:pStyle w:val="ListParagraph"/>
        <w:numPr>
          <w:ilvl w:val="0"/>
          <w:numId w:val="56"/>
        </w:numPr>
        <w:tabs>
          <w:tab w:pos="1438" w:val="left" w:leader="none"/>
        </w:tabs>
        <w:spacing w:line="360" w:lineRule="auto" w:before="5" w:after="0"/>
        <w:ind w:left="742" w:right="102" w:hanging="360"/>
        <w:jc w:val="both"/>
        <w:rPr>
          <w:sz w:val="28"/>
        </w:rPr>
      </w:pPr>
      <w:r>
        <w:rPr>
          <w:sz w:val="28"/>
        </w:rPr>
        <w:t>Bartoli J.M., G.Moulin, D.Di Stefano-ouineau, J. Y.Cancers Du col utérin: stsdification par imagerie par resonance  magnétique  //  Ann. radiol. – 1990. - Vol. 33, №4-5. –</w:t>
      </w:r>
      <w:r>
        <w:rPr>
          <w:spacing w:val="-22"/>
          <w:sz w:val="28"/>
        </w:rPr>
        <w:t> </w:t>
      </w:r>
      <w:r>
        <w:rPr>
          <w:sz w:val="28"/>
        </w:rPr>
        <w:t>P.241-247.</w:t>
      </w:r>
    </w:p>
    <w:p>
      <w:pPr>
        <w:pStyle w:val="ListParagraph"/>
        <w:numPr>
          <w:ilvl w:val="0"/>
          <w:numId w:val="56"/>
        </w:numPr>
        <w:tabs>
          <w:tab w:pos="1438" w:val="left" w:leader="none"/>
        </w:tabs>
        <w:spacing w:line="360" w:lineRule="auto" w:before="7" w:after="0"/>
        <w:ind w:left="742" w:right="100" w:hanging="360"/>
        <w:jc w:val="both"/>
        <w:rPr>
          <w:sz w:val="28"/>
        </w:rPr>
      </w:pPr>
      <w:r>
        <w:rPr>
          <w:sz w:val="28"/>
        </w:rPr>
        <w:t>Bell D.E., Scully R.E. Ovarian serous borderline tumors with stromal microinvasion. A report of 21 cases // Human Pathol. – 1990. – Vol. 21, № 4. – Р.</w:t>
      </w:r>
      <w:r>
        <w:rPr>
          <w:spacing w:val="-11"/>
          <w:sz w:val="28"/>
        </w:rPr>
        <w:t> </w:t>
      </w:r>
      <w:r>
        <w:rPr>
          <w:sz w:val="28"/>
        </w:rPr>
        <w:t>397-403.</w:t>
      </w:r>
    </w:p>
    <w:p>
      <w:pPr>
        <w:pStyle w:val="ListParagraph"/>
        <w:numPr>
          <w:ilvl w:val="0"/>
          <w:numId w:val="56"/>
        </w:numPr>
        <w:tabs>
          <w:tab w:pos="1438" w:val="left" w:leader="none"/>
        </w:tabs>
        <w:spacing w:line="360" w:lineRule="auto" w:before="4" w:after="0"/>
        <w:ind w:left="742" w:right="109" w:hanging="360"/>
        <w:jc w:val="both"/>
        <w:rPr>
          <w:sz w:val="28"/>
        </w:rPr>
      </w:pPr>
      <w:r>
        <w:rPr>
          <w:sz w:val="28"/>
        </w:rPr>
        <w:t>Berek J.S. Second-look versus second nature. Gynecol Oncol 1992; 44:l-2.</w:t>
      </w:r>
    </w:p>
    <w:p>
      <w:pPr>
        <w:spacing w:after="0" w:line="360" w:lineRule="auto"/>
        <w:jc w:val="both"/>
        <w:rPr>
          <w:sz w:val="28"/>
        </w:rPr>
        <w:sectPr>
          <w:pgSz w:w="11900" w:h="16850"/>
          <w:pgMar w:header="712" w:footer="0" w:top="1020" w:bottom="280" w:left="1680" w:right="1020"/>
        </w:sectPr>
      </w:pPr>
    </w:p>
    <w:p>
      <w:pPr>
        <w:pStyle w:val="BodyText"/>
        <w:spacing w:line="322" w:lineRule="exact" w:before="60"/>
        <w:ind w:left="375" w:right="456"/>
        <w:jc w:val="center"/>
      </w:pPr>
      <w:r>
        <w:rPr/>
        <w:t>300</w:t>
      </w:r>
    </w:p>
    <w:p>
      <w:pPr>
        <w:pStyle w:val="ListParagraph"/>
        <w:numPr>
          <w:ilvl w:val="0"/>
          <w:numId w:val="57"/>
        </w:numPr>
        <w:tabs>
          <w:tab w:pos="1438" w:val="left" w:leader="none"/>
        </w:tabs>
        <w:spacing w:line="360" w:lineRule="auto" w:before="0" w:after="0"/>
        <w:ind w:left="742" w:right="100" w:hanging="360"/>
        <w:jc w:val="both"/>
        <w:rPr>
          <w:sz w:val="28"/>
        </w:rPr>
      </w:pPr>
      <w:r>
        <w:rPr>
          <w:sz w:val="28"/>
        </w:rPr>
        <w:t>Bonnier P., Piana L. Les traitements des cancers invasifs du col uterrin // Mises jour gynecol. et obstet.: 14 emes Journees Nat., Paris. – 1990. -</w:t>
      </w:r>
      <w:r>
        <w:rPr>
          <w:spacing w:val="-6"/>
          <w:sz w:val="28"/>
        </w:rPr>
        <w:t> </w:t>
      </w:r>
      <w:r>
        <w:rPr>
          <w:sz w:val="28"/>
        </w:rPr>
        <w:t>P.409-439.</w:t>
      </w:r>
    </w:p>
    <w:p>
      <w:pPr>
        <w:pStyle w:val="ListParagraph"/>
        <w:numPr>
          <w:ilvl w:val="0"/>
          <w:numId w:val="57"/>
        </w:numPr>
        <w:tabs>
          <w:tab w:pos="1438" w:val="left" w:leader="none"/>
        </w:tabs>
        <w:spacing w:line="360" w:lineRule="auto" w:before="5" w:after="0"/>
        <w:ind w:left="742" w:right="98" w:hanging="360"/>
        <w:jc w:val="both"/>
        <w:rPr>
          <w:sz w:val="28"/>
        </w:rPr>
      </w:pPr>
      <w:r>
        <w:rPr>
          <w:sz w:val="28"/>
        </w:rPr>
        <w:t>Bonte J., Jacobelli R.J., King, H.R. Hormonal dependence of endometrial adenocarcinoma and its hormonal sensivity to progestogens and antiestrogens //In: “Hormones and Cancer”. Ed. S. Linder, M. E. Lippman. - Raven Press, New York.- 1980.- p.</w:t>
      </w:r>
      <w:r>
        <w:rPr>
          <w:spacing w:val="-19"/>
          <w:sz w:val="28"/>
        </w:rPr>
        <w:t> </w:t>
      </w:r>
      <w:r>
        <w:rPr>
          <w:sz w:val="28"/>
        </w:rPr>
        <w:t>443-455.</w:t>
      </w:r>
    </w:p>
    <w:p>
      <w:pPr>
        <w:pStyle w:val="ListParagraph"/>
        <w:numPr>
          <w:ilvl w:val="0"/>
          <w:numId w:val="57"/>
        </w:numPr>
        <w:tabs>
          <w:tab w:pos="1438" w:val="left" w:leader="none"/>
        </w:tabs>
        <w:spacing w:line="360" w:lineRule="auto" w:before="124" w:after="0"/>
        <w:ind w:left="742" w:right="100" w:hanging="360"/>
        <w:jc w:val="both"/>
        <w:rPr>
          <w:sz w:val="28"/>
        </w:rPr>
      </w:pPr>
      <w:r>
        <w:rPr>
          <w:sz w:val="28"/>
        </w:rPr>
        <w:t>Bonte J. Hormone dependency and hormone responsiveness of endometrial adenocarcinoma to estrogens, and antiestrogens// In: “Role of Medroxyprogesterone in Endocrine-Relate Tumors”, Ed. II, Hrsg. Von L. Campio. - Raven Press, New York. -</w:t>
      </w:r>
      <w:r>
        <w:rPr>
          <w:spacing w:val="-15"/>
          <w:sz w:val="28"/>
        </w:rPr>
        <w:t> </w:t>
      </w:r>
      <w:r>
        <w:rPr>
          <w:sz w:val="28"/>
        </w:rPr>
        <w:t>1983.</w:t>
      </w:r>
    </w:p>
    <w:p>
      <w:pPr>
        <w:pStyle w:val="ListParagraph"/>
        <w:numPr>
          <w:ilvl w:val="0"/>
          <w:numId w:val="57"/>
        </w:numPr>
        <w:tabs>
          <w:tab w:pos="1438" w:val="left" w:leader="none"/>
        </w:tabs>
        <w:spacing w:line="360" w:lineRule="auto" w:before="7" w:after="0"/>
        <w:ind w:left="742" w:right="98" w:hanging="360"/>
        <w:jc w:val="both"/>
        <w:rPr>
          <w:sz w:val="28"/>
        </w:rPr>
      </w:pPr>
      <w:r>
        <w:rPr>
          <w:sz w:val="28"/>
        </w:rPr>
        <w:t>Bonte J., Decoster J. M., Ide P. Vaginal cytologlc evaluation as a practical link between hormone blood levels and tumor hormone dependency in exclusive medroxyprogesterone treatment of recurrent or metastatic endometrial adenocarcinoma // Acta Cytol. - 1977.-Vol. 21.- p. 218-224.</w:t>
      </w:r>
    </w:p>
    <w:p>
      <w:pPr>
        <w:pStyle w:val="ListParagraph"/>
        <w:numPr>
          <w:ilvl w:val="0"/>
          <w:numId w:val="57"/>
        </w:numPr>
        <w:tabs>
          <w:tab w:pos="1438" w:val="left" w:leader="none"/>
        </w:tabs>
        <w:spacing w:line="360" w:lineRule="auto" w:before="5" w:after="0"/>
        <w:ind w:left="742" w:right="106" w:hanging="360"/>
        <w:jc w:val="both"/>
        <w:rPr>
          <w:sz w:val="28"/>
        </w:rPr>
      </w:pPr>
      <w:r>
        <w:rPr>
          <w:sz w:val="28"/>
        </w:rPr>
        <w:t>Bretelle F., Cravello L., Yang L., Benmoura D., Roger V., Blanc B. Conization with positive margins: what strategy should be adopted? // Ann. chir. – 2000. – Jun. -№125 (5). – p.</w:t>
      </w:r>
      <w:r>
        <w:rPr>
          <w:spacing w:val="-22"/>
          <w:sz w:val="28"/>
        </w:rPr>
        <w:t> </w:t>
      </w:r>
      <w:r>
        <w:rPr>
          <w:sz w:val="28"/>
        </w:rPr>
        <w:t>444-449.</w:t>
      </w:r>
    </w:p>
    <w:p>
      <w:pPr>
        <w:pStyle w:val="ListParagraph"/>
        <w:numPr>
          <w:ilvl w:val="0"/>
          <w:numId w:val="57"/>
        </w:numPr>
        <w:tabs>
          <w:tab w:pos="1438" w:val="left" w:leader="none"/>
        </w:tabs>
        <w:spacing w:line="360" w:lineRule="auto" w:before="7" w:after="0"/>
        <w:ind w:left="742" w:right="107" w:hanging="360"/>
        <w:jc w:val="both"/>
        <w:rPr>
          <w:sz w:val="28"/>
        </w:rPr>
      </w:pPr>
      <w:r>
        <w:rPr>
          <w:sz w:val="28"/>
        </w:rPr>
        <w:t>Brinton L., Lacey J., Sherman M. Epidemiology of gynecologic cancers Principles and Practice of Gynecologic Oncology // Philadelphia: Lippincott Williams &amp; Wilkins. – 2005. – 332</w:t>
      </w:r>
      <w:r>
        <w:rPr>
          <w:spacing w:val="-25"/>
          <w:sz w:val="28"/>
        </w:rPr>
        <w:t> </w:t>
      </w:r>
      <w:r>
        <w:rPr>
          <w:sz w:val="28"/>
        </w:rPr>
        <w:t>Р.</w:t>
      </w:r>
    </w:p>
    <w:p>
      <w:pPr>
        <w:pStyle w:val="ListParagraph"/>
        <w:numPr>
          <w:ilvl w:val="0"/>
          <w:numId w:val="57"/>
        </w:numPr>
        <w:tabs>
          <w:tab w:pos="1438" w:val="left" w:leader="none"/>
        </w:tabs>
        <w:spacing w:line="362" w:lineRule="auto" w:before="5" w:after="0"/>
        <w:ind w:left="742" w:right="101" w:hanging="360"/>
        <w:jc w:val="both"/>
        <w:rPr>
          <w:sz w:val="28"/>
        </w:rPr>
      </w:pPr>
      <w:r>
        <w:rPr>
          <w:sz w:val="28"/>
        </w:rPr>
        <w:t>Broders A.C. Carcinoma in situ contrasted with bening epithelium. JAMA 1932; 99:</w:t>
      </w:r>
      <w:r>
        <w:rPr>
          <w:spacing w:val="-10"/>
          <w:sz w:val="28"/>
        </w:rPr>
        <w:t> </w:t>
      </w:r>
      <w:r>
        <w:rPr>
          <w:sz w:val="28"/>
        </w:rPr>
        <w:t>p.1670-1674.</w:t>
      </w:r>
    </w:p>
    <w:p>
      <w:pPr>
        <w:pStyle w:val="ListParagraph"/>
        <w:numPr>
          <w:ilvl w:val="0"/>
          <w:numId w:val="57"/>
        </w:numPr>
        <w:tabs>
          <w:tab w:pos="1438" w:val="left" w:leader="none"/>
        </w:tabs>
        <w:spacing w:line="360" w:lineRule="auto" w:before="2" w:after="0"/>
        <w:ind w:left="742" w:right="108" w:hanging="360"/>
        <w:jc w:val="both"/>
        <w:rPr>
          <w:sz w:val="28"/>
        </w:rPr>
      </w:pPr>
      <w:r>
        <w:rPr>
          <w:sz w:val="28"/>
        </w:rPr>
        <w:t>Bruce J. Ramshaw M.D. Laparascopic Surgery for Cancer Patients// CA Cancer J. Clin. -1997;47:</w:t>
      </w:r>
      <w:r>
        <w:rPr>
          <w:spacing w:val="-14"/>
          <w:sz w:val="28"/>
        </w:rPr>
        <w:t> </w:t>
      </w:r>
      <w:r>
        <w:rPr>
          <w:sz w:val="28"/>
        </w:rPr>
        <w:t>327-350.</w:t>
      </w:r>
    </w:p>
    <w:p>
      <w:pPr>
        <w:pStyle w:val="ListParagraph"/>
        <w:numPr>
          <w:ilvl w:val="0"/>
          <w:numId w:val="57"/>
        </w:numPr>
        <w:tabs>
          <w:tab w:pos="1437" w:val="left" w:leader="none"/>
          <w:tab w:pos="1438" w:val="left" w:leader="none"/>
        </w:tabs>
        <w:spacing w:line="240" w:lineRule="auto" w:before="5" w:after="0"/>
        <w:ind w:left="1438" w:right="0" w:hanging="1056"/>
        <w:jc w:val="left"/>
        <w:rPr>
          <w:sz w:val="28"/>
        </w:rPr>
      </w:pPr>
      <w:r>
        <w:rPr>
          <w:sz w:val="28"/>
        </w:rPr>
        <w:t>Brugghe J., Baak J.P.A., Wiltshaw E., Broeckaert M.A.M.,   </w:t>
      </w:r>
      <w:r>
        <w:rPr>
          <w:spacing w:val="30"/>
          <w:sz w:val="28"/>
        </w:rPr>
        <w:t> </w:t>
      </w:r>
      <w:r>
        <w:rPr>
          <w:sz w:val="28"/>
        </w:rPr>
        <w:t>Fisher</w:t>
      </w:r>
    </w:p>
    <w:p>
      <w:pPr>
        <w:pStyle w:val="BodyText"/>
        <w:tabs>
          <w:tab w:pos="1199" w:val="left" w:leader="none"/>
          <w:tab w:pos="2602" w:val="left" w:leader="none"/>
          <w:tab w:pos="3691" w:val="left" w:leader="none"/>
          <w:tab w:pos="4110" w:val="left" w:leader="none"/>
          <w:tab w:pos="4965" w:val="left" w:leader="none"/>
          <w:tab w:pos="5262" w:val="left" w:leader="none"/>
          <w:tab w:pos="6305" w:val="left" w:leader="none"/>
          <w:tab w:pos="7244" w:val="left" w:leader="none"/>
          <w:tab w:pos="8238" w:val="left" w:leader="none"/>
        </w:tabs>
        <w:spacing w:line="362" w:lineRule="auto" w:before="160"/>
        <w:ind w:left="741" w:right="102"/>
      </w:pPr>
      <w:r>
        <w:rPr/>
        <w:t>C.</w:t>
        <w:tab/>
        <w:t>Prognostic</w:t>
        <w:tab/>
        <w:t>features</w:t>
        <w:tab/>
        <w:t>in</w:t>
        <w:tab/>
        <w:t>FIGO</w:t>
        <w:tab/>
        <w:t>I</w:t>
        <w:tab/>
        <w:t>onarian</w:t>
        <w:tab/>
        <w:t>cancer</w:t>
        <w:tab/>
        <w:t>patiens</w:t>
        <w:tab/>
      </w:r>
      <w:r>
        <w:rPr>
          <w:spacing w:val="-1"/>
        </w:rPr>
        <w:t>without </w:t>
      </w:r>
      <w:r>
        <w:rPr/>
        <w:t>postoperative treatment // J. Pathol. – 1995. – Vol. 176, Suppl. – P.</w:t>
      </w:r>
      <w:r>
        <w:rPr>
          <w:spacing w:val="-30"/>
        </w:rPr>
        <w:t> </w:t>
      </w:r>
      <w:r>
        <w:rPr/>
        <w:t>11.</w:t>
      </w:r>
    </w:p>
    <w:p>
      <w:pPr>
        <w:pStyle w:val="ListParagraph"/>
        <w:numPr>
          <w:ilvl w:val="0"/>
          <w:numId w:val="57"/>
        </w:numPr>
        <w:tabs>
          <w:tab w:pos="1437" w:val="left" w:leader="none"/>
          <w:tab w:pos="1438" w:val="left" w:leader="none"/>
        </w:tabs>
        <w:spacing w:line="240" w:lineRule="auto" w:before="2" w:after="0"/>
        <w:ind w:left="1438" w:right="0" w:hanging="1056"/>
        <w:jc w:val="left"/>
        <w:rPr>
          <w:sz w:val="28"/>
        </w:rPr>
      </w:pPr>
      <w:r>
        <w:rPr>
          <w:sz w:val="28"/>
        </w:rPr>
        <w:t>Camfora  E.,  Vidali  A.  Mammoliti  Treatment  of  advanced     </w:t>
      </w:r>
      <w:r>
        <w:rPr>
          <w:spacing w:val="36"/>
          <w:sz w:val="28"/>
        </w:rPr>
        <w:t> </w:t>
      </w:r>
      <w:r>
        <w:rPr>
          <w:sz w:val="28"/>
        </w:rPr>
        <w:t>or</w:t>
      </w:r>
    </w:p>
    <w:p>
      <w:pPr>
        <w:spacing w:after="0" w:line="240" w:lineRule="auto"/>
        <w:jc w:val="left"/>
        <w:rPr>
          <w:sz w:val="28"/>
        </w:rPr>
        <w:sectPr>
          <w:headerReference w:type="default" r:id="rId191"/>
          <w:pgSz w:w="11900" w:h="16850"/>
          <w:pgMar w:header="0" w:footer="0" w:top="640" w:bottom="280" w:left="1680" w:right="1020"/>
        </w:sectPr>
      </w:pPr>
    </w:p>
    <w:p>
      <w:pPr>
        <w:pStyle w:val="BodyText"/>
        <w:spacing w:line="322" w:lineRule="exact" w:before="60"/>
        <w:ind w:left="375" w:right="456"/>
        <w:jc w:val="center"/>
      </w:pPr>
      <w:r>
        <w:rPr/>
        <w:t>301</w:t>
      </w:r>
    </w:p>
    <w:p>
      <w:pPr>
        <w:pStyle w:val="BodyText"/>
        <w:spacing w:line="360" w:lineRule="auto"/>
        <w:ind w:left="741" w:right="99"/>
        <w:jc w:val="both"/>
      </w:pPr>
      <w:r>
        <w:rPr/>
        <w:t>recurrent   adenocarcinoma   of   the  endometrium  with    doxorubicin and cyclophosfamide //Eur. J. Gynaec. Oncol.- 1990.- Vol. XI.- N3.- p.181-184.</w:t>
      </w:r>
    </w:p>
    <w:p>
      <w:pPr>
        <w:pStyle w:val="ListParagraph"/>
        <w:numPr>
          <w:ilvl w:val="0"/>
          <w:numId w:val="58"/>
        </w:numPr>
        <w:tabs>
          <w:tab w:pos="1438" w:val="left" w:leader="none"/>
        </w:tabs>
        <w:spacing w:line="360" w:lineRule="auto" w:before="5" w:after="0"/>
        <w:ind w:left="742" w:right="100" w:hanging="360"/>
        <w:jc w:val="both"/>
        <w:rPr>
          <w:sz w:val="28"/>
        </w:rPr>
      </w:pPr>
      <w:r>
        <w:rPr>
          <w:spacing w:val="4"/>
          <w:sz w:val="28"/>
        </w:rPr>
        <w:t>Canis M., Mage </w:t>
      </w:r>
      <w:r>
        <w:rPr>
          <w:spacing w:val="3"/>
          <w:sz w:val="28"/>
        </w:rPr>
        <w:t>G., </w:t>
      </w:r>
      <w:r>
        <w:rPr>
          <w:spacing w:val="5"/>
          <w:sz w:val="28"/>
        </w:rPr>
        <w:t>Wattiez </w:t>
      </w:r>
      <w:r>
        <w:rPr>
          <w:spacing w:val="3"/>
          <w:sz w:val="28"/>
        </w:rPr>
        <w:t>A., </w:t>
      </w:r>
      <w:r>
        <w:rPr>
          <w:spacing w:val="5"/>
          <w:sz w:val="28"/>
        </w:rPr>
        <w:t>Chapron </w:t>
      </w:r>
      <w:r>
        <w:rPr>
          <w:spacing w:val="4"/>
          <w:sz w:val="28"/>
        </w:rPr>
        <w:t>C., </w:t>
      </w:r>
      <w:r>
        <w:rPr>
          <w:spacing w:val="5"/>
          <w:sz w:val="28"/>
        </w:rPr>
        <w:t>Pouly J.L., </w:t>
      </w:r>
      <w:r>
        <w:rPr>
          <w:spacing w:val="4"/>
          <w:sz w:val="28"/>
        </w:rPr>
        <w:t>Bassil   </w:t>
      </w:r>
      <w:r>
        <w:rPr>
          <w:spacing w:val="3"/>
          <w:sz w:val="28"/>
        </w:rPr>
        <w:t>S: </w:t>
      </w:r>
      <w:r>
        <w:rPr>
          <w:spacing w:val="5"/>
          <w:sz w:val="28"/>
        </w:rPr>
        <w:t>Second-look laparoscopy after laparoscopic </w:t>
      </w:r>
      <w:r>
        <w:rPr>
          <w:sz w:val="28"/>
        </w:rPr>
        <w:t>cystectomy of large ovarian</w:t>
      </w:r>
      <w:r>
        <w:rPr>
          <w:spacing w:val="-14"/>
          <w:sz w:val="28"/>
        </w:rPr>
        <w:t> </w:t>
      </w:r>
      <w:r>
        <w:rPr>
          <w:sz w:val="28"/>
        </w:rPr>
        <w:t>endometriomas.</w:t>
      </w:r>
      <w:r>
        <w:rPr>
          <w:spacing w:val="-15"/>
          <w:sz w:val="28"/>
        </w:rPr>
        <w:t> </w:t>
      </w:r>
      <w:r>
        <w:rPr>
          <w:sz w:val="28"/>
        </w:rPr>
        <w:t>Fertil.</w:t>
      </w:r>
      <w:r>
        <w:rPr>
          <w:spacing w:val="-15"/>
          <w:sz w:val="28"/>
        </w:rPr>
        <w:t> </w:t>
      </w:r>
      <w:r>
        <w:rPr>
          <w:sz w:val="28"/>
        </w:rPr>
        <w:t>Steril.</w:t>
      </w:r>
      <w:r>
        <w:rPr>
          <w:spacing w:val="-17"/>
          <w:sz w:val="28"/>
        </w:rPr>
        <w:t> </w:t>
      </w:r>
      <w:r>
        <w:rPr>
          <w:sz w:val="28"/>
        </w:rPr>
        <w:t>1992,</w:t>
      </w:r>
      <w:r>
        <w:rPr>
          <w:spacing w:val="-15"/>
          <w:sz w:val="28"/>
        </w:rPr>
        <w:t> </w:t>
      </w:r>
      <w:r>
        <w:rPr>
          <w:sz w:val="28"/>
        </w:rPr>
        <w:t>3:</w:t>
      </w:r>
      <w:r>
        <w:rPr>
          <w:spacing w:val="-13"/>
          <w:sz w:val="28"/>
        </w:rPr>
        <w:t> </w:t>
      </w:r>
      <w:r>
        <w:rPr>
          <w:sz w:val="28"/>
        </w:rPr>
        <w:t>617-619.</w:t>
      </w:r>
    </w:p>
    <w:p>
      <w:pPr>
        <w:pStyle w:val="ListParagraph"/>
        <w:numPr>
          <w:ilvl w:val="0"/>
          <w:numId w:val="58"/>
        </w:numPr>
        <w:tabs>
          <w:tab w:pos="1438" w:val="left" w:leader="none"/>
        </w:tabs>
        <w:spacing w:line="360" w:lineRule="auto" w:before="7" w:after="0"/>
        <w:ind w:left="742" w:right="100" w:hanging="360"/>
        <w:jc w:val="both"/>
        <w:rPr>
          <w:sz w:val="28"/>
        </w:rPr>
      </w:pPr>
      <w:r>
        <w:rPr>
          <w:sz w:val="28"/>
        </w:rPr>
        <w:t>Cascales Campos P.A., Gil M.J., Galindo Fernandez P.J. et al. Perioperative fast track program in intraoperative hyperthermic intraperitoneal chemotherapy (HIPEC) after cytoreductive surgery in advanced ovarian cancer // Eur. J. Surg. Oncol. – 2011. – Vol. 37, № 6. – P.</w:t>
      </w:r>
      <w:r>
        <w:rPr>
          <w:spacing w:val="-4"/>
          <w:sz w:val="28"/>
        </w:rPr>
        <w:t> </w:t>
      </w:r>
      <w:r>
        <w:rPr>
          <w:sz w:val="28"/>
        </w:rPr>
        <w:t>543-8.</w:t>
      </w:r>
    </w:p>
    <w:p>
      <w:pPr>
        <w:pStyle w:val="ListParagraph"/>
        <w:numPr>
          <w:ilvl w:val="0"/>
          <w:numId w:val="58"/>
        </w:numPr>
        <w:tabs>
          <w:tab w:pos="1438" w:val="left" w:leader="none"/>
        </w:tabs>
        <w:spacing w:line="360" w:lineRule="auto" w:before="7" w:after="0"/>
        <w:ind w:left="742" w:right="100" w:hanging="360"/>
        <w:jc w:val="both"/>
        <w:rPr>
          <w:sz w:val="28"/>
        </w:rPr>
      </w:pPr>
      <w:r>
        <w:rPr>
          <w:spacing w:val="2"/>
          <w:sz w:val="28"/>
        </w:rPr>
        <w:t>Casey A.C., </w:t>
      </w:r>
      <w:r>
        <w:rPr>
          <w:spacing w:val="3"/>
          <w:sz w:val="28"/>
        </w:rPr>
        <w:t>Farias-Eisner </w:t>
      </w:r>
      <w:r>
        <w:rPr>
          <w:spacing w:val="2"/>
          <w:sz w:val="28"/>
        </w:rPr>
        <w:t>R., </w:t>
      </w:r>
      <w:r>
        <w:rPr>
          <w:sz w:val="28"/>
        </w:rPr>
        <w:t>Pisani A.L. et  </w:t>
      </w:r>
      <w:r>
        <w:rPr>
          <w:spacing w:val="2"/>
          <w:sz w:val="28"/>
        </w:rPr>
        <w:t>al. </w:t>
      </w:r>
      <w:r>
        <w:rPr>
          <w:sz w:val="28"/>
        </w:rPr>
        <w:t>What  is  the  role </w:t>
      </w:r>
      <w:r>
        <w:rPr>
          <w:spacing w:val="2"/>
          <w:sz w:val="28"/>
        </w:rPr>
        <w:t>of reassessment laparoscopy </w:t>
      </w:r>
      <w:r>
        <w:rPr>
          <w:sz w:val="28"/>
        </w:rPr>
        <w:t>in the </w:t>
      </w:r>
      <w:r>
        <w:rPr>
          <w:spacing w:val="2"/>
          <w:sz w:val="28"/>
        </w:rPr>
        <w:t>management </w:t>
      </w:r>
      <w:r>
        <w:rPr>
          <w:sz w:val="28"/>
        </w:rPr>
        <w:t>of  gynecologic cancer  in 1995. </w:t>
      </w:r>
      <w:r>
        <w:rPr>
          <w:spacing w:val="-3"/>
          <w:sz w:val="28"/>
        </w:rPr>
        <w:t>Gynecol Oncol </w:t>
      </w:r>
      <w:r>
        <w:rPr>
          <w:sz w:val="28"/>
        </w:rPr>
        <w:t>1996;60:</w:t>
      </w:r>
      <w:r>
        <w:rPr>
          <w:spacing w:val="-17"/>
          <w:sz w:val="28"/>
        </w:rPr>
        <w:t> </w:t>
      </w:r>
      <w:r>
        <w:rPr>
          <w:sz w:val="28"/>
        </w:rPr>
        <w:t>454-61.</w:t>
      </w:r>
    </w:p>
    <w:p>
      <w:pPr>
        <w:pStyle w:val="ListParagraph"/>
        <w:numPr>
          <w:ilvl w:val="0"/>
          <w:numId w:val="58"/>
        </w:numPr>
        <w:tabs>
          <w:tab w:pos="1438" w:val="left" w:leader="none"/>
        </w:tabs>
        <w:spacing w:line="360" w:lineRule="auto" w:before="4" w:after="0"/>
        <w:ind w:left="742" w:right="99" w:hanging="360"/>
        <w:jc w:val="both"/>
        <w:rPr>
          <w:sz w:val="28"/>
        </w:rPr>
      </w:pPr>
      <w:r>
        <w:rPr>
          <w:sz w:val="28"/>
        </w:rPr>
        <w:t>Chan, J., Cheung M., Huh W. Therapeutic role of lymph node resection in endometrioid corpus cancer: a study of 12333 patients // Cancer. – 2006. – Vol. 107. – Р. 1823 –</w:t>
      </w:r>
      <w:r>
        <w:rPr>
          <w:spacing w:val="-18"/>
          <w:sz w:val="28"/>
        </w:rPr>
        <w:t> </w:t>
      </w:r>
      <w:r>
        <w:rPr>
          <w:sz w:val="28"/>
        </w:rPr>
        <w:t>1830.</w:t>
      </w:r>
    </w:p>
    <w:p>
      <w:pPr>
        <w:pStyle w:val="ListParagraph"/>
        <w:numPr>
          <w:ilvl w:val="0"/>
          <w:numId w:val="58"/>
        </w:numPr>
        <w:tabs>
          <w:tab w:pos="1438" w:val="left" w:leader="none"/>
        </w:tabs>
        <w:spacing w:line="360" w:lineRule="auto" w:before="4" w:after="0"/>
        <w:ind w:left="742" w:right="99" w:hanging="360"/>
        <w:jc w:val="both"/>
        <w:rPr>
          <w:sz w:val="28"/>
        </w:rPr>
      </w:pPr>
      <w:r>
        <w:rPr>
          <w:sz w:val="28"/>
        </w:rPr>
        <w:t>Chauvet M.P., Leblanc E., Querleu D. Laparoscopy and ovarian carcinoma // Eur. J. of Gynaecol. Oncol. — 2001. — Vol. XXII (suppl. 2001). — P.</w:t>
      </w:r>
      <w:r>
        <w:rPr>
          <w:spacing w:val="-6"/>
          <w:sz w:val="28"/>
        </w:rPr>
        <w:t> </w:t>
      </w:r>
      <w:r>
        <w:rPr>
          <w:sz w:val="28"/>
        </w:rPr>
        <w:t>28.</w:t>
      </w:r>
    </w:p>
    <w:p>
      <w:pPr>
        <w:pStyle w:val="ListParagraph"/>
        <w:numPr>
          <w:ilvl w:val="0"/>
          <w:numId w:val="58"/>
        </w:numPr>
        <w:tabs>
          <w:tab w:pos="1438" w:val="left" w:leader="none"/>
        </w:tabs>
        <w:spacing w:line="360" w:lineRule="auto" w:before="4" w:after="0"/>
        <w:ind w:left="742" w:right="122" w:hanging="360"/>
        <w:jc w:val="both"/>
        <w:rPr>
          <w:sz w:val="28"/>
        </w:rPr>
      </w:pPr>
      <w:r>
        <w:rPr>
          <w:spacing w:val="2"/>
          <w:sz w:val="28"/>
        </w:rPr>
        <w:t>Childers J.M., </w:t>
      </w:r>
      <w:r>
        <w:rPr>
          <w:sz w:val="28"/>
        </w:rPr>
        <w:t>Lang J., Surwitt </w:t>
      </w:r>
      <w:r>
        <w:rPr>
          <w:spacing w:val="2"/>
          <w:sz w:val="28"/>
        </w:rPr>
        <w:t>E.A., </w:t>
      </w:r>
      <w:r>
        <w:rPr>
          <w:sz w:val="28"/>
        </w:rPr>
        <w:t>Hatch K.D. </w:t>
      </w:r>
      <w:r>
        <w:rPr>
          <w:spacing w:val="2"/>
          <w:sz w:val="28"/>
        </w:rPr>
        <w:t>Laparoscopic surgical staging of ovarian cancer. Gynecol</w:t>
      </w:r>
      <w:r>
        <w:rPr>
          <w:spacing w:val="51"/>
          <w:sz w:val="28"/>
        </w:rPr>
        <w:t> </w:t>
      </w:r>
      <w:r>
        <w:rPr>
          <w:sz w:val="28"/>
        </w:rPr>
        <w:t>Oncol.1995;59:25-33.</w:t>
      </w:r>
    </w:p>
    <w:p>
      <w:pPr>
        <w:pStyle w:val="ListParagraph"/>
        <w:numPr>
          <w:ilvl w:val="0"/>
          <w:numId w:val="58"/>
        </w:numPr>
        <w:tabs>
          <w:tab w:pos="1438" w:val="left" w:leader="none"/>
        </w:tabs>
        <w:spacing w:line="360" w:lineRule="auto" w:before="5" w:after="0"/>
        <w:ind w:left="742" w:right="101" w:hanging="360"/>
        <w:jc w:val="both"/>
        <w:rPr>
          <w:sz w:val="28"/>
        </w:rPr>
      </w:pPr>
      <w:hyperlink r:id="rId193">
        <w:r>
          <w:rPr>
            <w:color w:val="0000FF"/>
            <w:sz w:val="28"/>
            <w:u w:val="single" w:color="0000FF"/>
          </w:rPr>
          <w:t>Choi M</w:t>
        </w:r>
      </w:hyperlink>
      <w:r>
        <w:rPr>
          <w:sz w:val="28"/>
        </w:rPr>
        <w:t>., </w:t>
      </w:r>
      <w:hyperlink r:id="rId194">
        <w:r>
          <w:rPr>
            <w:color w:val="0000FF"/>
            <w:sz w:val="28"/>
            <w:u w:val="single" w:color="0000FF"/>
          </w:rPr>
          <w:t>Fuller C.D</w:t>
        </w:r>
      </w:hyperlink>
      <w:r>
        <w:rPr>
          <w:sz w:val="28"/>
        </w:rPr>
        <w:t>., </w:t>
      </w:r>
      <w:hyperlink r:id="rId195">
        <w:r>
          <w:rPr>
            <w:color w:val="0000FF"/>
            <w:sz w:val="28"/>
            <w:u w:val="single" w:color="0000FF"/>
          </w:rPr>
          <w:t>Thomas C.R.Jr</w:t>
        </w:r>
      </w:hyperlink>
      <w:r>
        <w:rPr>
          <w:sz w:val="28"/>
        </w:rPr>
        <w:t>, </w:t>
      </w:r>
      <w:hyperlink r:id="rId196">
        <w:r>
          <w:rPr>
            <w:color w:val="0000FF"/>
            <w:sz w:val="28"/>
            <w:u w:val="single" w:color="0000FF"/>
          </w:rPr>
          <w:t>Wang S.J</w:t>
        </w:r>
      </w:hyperlink>
      <w:r>
        <w:rPr>
          <w:sz w:val="28"/>
        </w:rPr>
        <w:t>. Conditional survival in ovarian cancer: results from the SEER dataset 1988-2001 </w:t>
      </w:r>
      <w:r>
        <w:rPr>
          <w:color w:val="0000FF"/>
          <w:sz w:val="28"/>
          <w:u w:val="single" w:color="0000FF"/>
        </w:rPr>
        <w:t>// Gynecol Oncol. </w:t>
      </w:r>
      <w:r>
        <w:rPr>
          <w:sz w:val="28"/>
        </w:rPr>
        <w:t>2008</w:t>
      </w:r>
      <w:r>
        <w:rPr>
          <w:spacing w:val="-14"/>
          <w:sz w:val="28"/>
        </w:rPr>
        <w:t> </w:t>
      </w:r>
      <w:r>
        <w:rPr>
          <w:sz w:val="28"/>
        </w:rPr>
        <w:t>May;109(2):203-9.</w:t>
      </w:r>
    </w:p>
    <w:p>
      <w:pPr>
        <w:pStyle w:val="ListParagraph"/>
        <w:numPr>
          <w:ilvl w:val="0"/>
          <w:numId w:val="58"/>
        </w:numPr>
        <w:tabs>
          <w:tab w:pos="1438" w:val="left" w:leader="none"/>
        </w:tabs>
        <w:spacing w:line="360" w:lineRule="auto" w:before="5" w:after="0"/>
        <w:ind w:left="742" w:right="100" w:hanging="360"/>
        <w:jc w:val="both"/>
        <w:rPr>
          <w:sz w:val="28"/>
        </w:rPr>
      </w:pPr>
      <w:r>
        <w:rPr>
          <w:sz w:val="28"/>
        </w:rPr>
        <w:t>Cibula D., Slarma J., Svarrovsky J. et al Abdominal Radical Trachelectomy in Fertility-Sparing Treatment of Early-Stage Cervical Cancer. — Int. J. Gynecol. Ca., 2009, Vol. 19 (8)</w:t>
      </w:r>
      <w:r>
        <w:rPr>
          <w:spacing w:val="-22"/>
          <w:sz w:val="28"/>
        </w:rPr>
        <w:t> </w:t>
      </w:r>
      <w:r>
        <w:rPr>
          <w:sz w:val="28"/>
        </w:rPr>
        <w:t>—P.1407-1411.</w:t>
      </w:r>
    </w:p>
    <w:p>
      <w:pPr>
        <w:pStyle w:val="ListParagraph"/>
        <w:numPr>
          <w:ilvl w:val="0"/>
          <w:numId w:val="58"/>
        </w:numPr>
        <w:tabs>
          <w:tab w:pos="1438" w:val="left" w:leader="none"/>
        </w:tabs>
        <w:spacing w:line="360" w:lineRule="auto" w:before="7" w:after="0"/>
        <w:ind w:left="742" w:right="106" w:hanging="360"/>
        <w:jc w:val="both"/>
        <w:rPr>
          <w:sz w:val="28"/>
        </w:rPr>
      </w:pPr>
      <w:r>
        <w:rPr>
          <w:sz w:val="28"/>
        </w:rPr>
        <w:t>Creasman W. Second-look laparotomy in ovarian cancer. Gynecol Oncol 1994,55:s</w:t>
      </w:r>
      <w:r>
        <w:rPr>
          <w:spacing w:val="-10"/>
          <w:sz w:val="28"/>
        </w:rPr>
        <w:t> </w:t>
      </w:r>
      <w:r>
        <w:rPr>
          <w:sz w:val="28"/>
        </w:rPr>
        <w:t>l22-l27.</w:t>
      </w:r>
    </w:p>
    <w:p>
      <w:pPr>
        <w:spacing w:after="0" w:line="360" w:lineRule="auto"/>
        <w:jc w:val="both"/>
        <w:rPr>
          <w:sz w:val="28"/>
        </w:rPr>
        <w:sectPr>
          <w:headerReference w:type="default" r:id="rId192"/>
          <w:pgSz w:w="11900" w:h="16850"/>
          <w:pgMar w:header="0" w:footer="0" w:top="640" w:bottom="280" w:left="1680" w:right="1020"/>
        </w:sectPr>
      </w:pPr>
    </w:p>
    <w:p>
      <w:pPr>
        <w:pStyle w:val="ListParagraph"/>
        <w:numPr>
          <w:ilvl w:val="0"/>
          <w:numId w:val="58"/>
        </w:numPr>
        <w:tabs>
          <w:tab w:pos="1438" w:val="left" w:leader="none"/>
        </w:tabs>
        <w:spacing w:line="360" w:lineRule="auto" w:before="0" w:after="0"/>
        <w:ind w:left="742" w:right="105" w:hanging="360"/>
        <w:jc w:val="both"/>
        <w:rPr>
          <w:sz w:val="28"/>
        </w:rPr>
      </w:pPr>
      <w:r>
        <w:rPr>
          <w:sz w:val="28"/>
        </w:rPr>
        <w:t>Creasman,  W.,  Morrow  C.,  Bundy  B.  Surgical  pathologic spread patterns of endometrial  cancer  //  A  Gynecologic  Oncology Group Study. – Cancer. – 1987. – Vol. 60, № 8. – Р. 2035 –</w:t>
      </w:r>
      <w:r>
        <w:rPr>
          <w:spacing w:val="-25"/>
          <w:sz w:val="28"/>
        </w:rPr>
        <w:t> </w:t>
      </w:r>
      <w:r>
        <w:rPr>
          <w:sz w:val="28"/>
        </w:rPr>
        <w:t>2041.</w:t>
      </w:r>
    </w:p>
    <w:p>
      <w:pPr>
        <w:pStyle w:val="ListParagraph"/>
        <w:numPr>
          <w:ilvl w:val="0"/>
          <w:numId w:val="58"/>
        </w:numPr>
        <w:tabs>
          <w:tab w:pos="1438" w:val="left" w:leader="none"/>
        </w:tabs>
        <w:spacing w:line="360" w:lineRule="auto" w:before="6" w:after="0"/>
        <w:ind w:left="742" w:right="100" w:hanging="360"/>
        <w:jc w:val="both"/>
        <w:rPr>
          <w:sz w:val="28"/>
        </w:rPr>
      </w:pPr>
      <w:r>
        <w:rPr>
          <w:sz w:val="28"/>
        </w:rPr>
        <w:t>Darai E., Teboul J., Fauconnier A., Scoazec J.Y., Benifla J.L., Madelenat P. Management and outcome of borderline ovarian tumors incidentally discovered at or after laparoscopy. Acta Obstet Gynecol Scand 1998; 77:</w:t>
      </w:r>
      <w:r>
        <w:rPr>
          <w:spacing w:val="-34"/>
          <w:sz w:val="28"/>
        </w:rPr>
        <w:t> </w:t>
      </w:r>
      <w:r>
        <w:rPr>
          <w:sz w:val="28"/>
        </w:rPr>
        <w:t>451-457.</w:t>
      </w:r>
    </w:p>
    <w:p>
      <w:pPr>
        <w:pStyle w:val="ListParagraph"/>
        <w:numPr>
          <w:ilvl w:val="0"/>
          <w:numId w:val="58"/>
        </w:numPr>
        <w:tabs>
          <w:tab w:pos="1438" w:val="left" w:leader="none"/>
        </w:tabs>
        <w:spacing w:line="360" w:lineRule="auto" w:before="5" w:after="0"/>
        <w:ind w:left="742" w:right="100" w:hanging="360"/>
        <w:jc w:val="both"/>
        <w:rPr>
          <w:sz w:val="28"/>
        </w:rPr>
      </w:pPr>
      <w:r>
        <w:rPr>
          <w:sz w:val="28"/>
        </w:rPr>
        <w:t>Dargent D. Laparoscopic surgery in gynecologic oncology // J. Gynecol. Obstet. Biol. Reprod (Paris). – 2000, May. – Vol.29, №3. – P.282-284.</w:t>
      </w:r>
    </w:p>
    <w:p>
      <w:pPr>
        <w:pStyle w:val="ListParagraph"/>
        <w:numPr>
          <w:ilvl w:val="0"/>
          <w:numId w:val="58"/>
        </w:numPr>
        <w:tabs>
          <w:tab w:pos="1438" w:val="left" w:leader="none"/>
          <w:tab w:pos="3240" w:val="left" w:leader="none"/>
          <w:tab w:pos="6229" w:val="left" w:leader="none"/>
          <w:tab w:pos="8457" w:val="left" w:leader="none"/>
        </w:tabs>
        <w:spacing w:line="360" w:lineRule="auto" w:before="5" w:after="0"/>
        <w:ind w:left="742" w:right="100" w:hanging="360"/>
        <w:jc w:val="both"/>
        <w:rPr>
          <w:sz w:val="28"/>
        </w:rPr>
      </w:pPr>
      <w:r>
        <w:rPr/>
        <w:pict>
          <v:line style="position:absolute;mso-position-horizontal-relative:page;mso-position-vertical-relative:paragraph;z-index:-335032" from="121.099998pt,111.840286pt" to="536.129998pt,111.840286pt" stroked="true" strokeweight=".72pt" strokecolor="#0000ff">
            <v:stroke dashstyle="solid"/>
            <w10:wrap type="none"/>
          </v:line>
        </w:pict>
      </w:r>
      <w:r>
        <w:rPr>
          <w:sz w:val="28"/>
        </w:rPr>
        <w:t>Dargent D. Extended trachelectomy relapse: plea for patient involvement in the medical decision / Daniel D.Dargent, Fosca  F.Franzosi, Yann Y.Ansquer // Bull Cancer. – 2002. – Vol.89, №12. – P.1027-30.</w:t>
        <w:tab/>
        <w:t>[Электронный</w:t>
        <w:tab/>
        <w:t>ресурс].</w:t>
        <w:tab/>
        <w:t>URL: </w:t>
      </w:r>
      <w:hyperlink r:id="rId198">
        <w:r>
          <w:rPr>
            <w:color w:val="0000FF"/>
            <w:sz w:val="28"/>
          </w:rPr>
          <w:t>http://pubget.com/paper/12525361/Extended_trachelectomy_relapse ple</w:t>
        </w:r>
      </w:hyperlink>
      <w:r>
        <w:rPr>
          <w:color w:val="0000FF"/>
          <w:sz w:val="28"/>
        </w:rPr>
        <w:t> </w:t>
      </w:r>
      <w:hyperlink r:id="rId198">
        <w:r>
          <w:rPr>
            <w:color w:val="0000FF"/>
            <w:sz w:val="28"/>
            <w:u w:val="single" w:color="0000FF"/>
          </w:rPr>
          <w:t>a_for_patient_involvement_in_the_medical_decision_ </w:t>
        </w:r>
      </w:hyperlink>
      <w:r>
        <w:rPr>
          <w:sz w:val="28"/>
        </w:rPr>
        <w:t>(дата обращения: 06.05.2015).</w:t>
      </w:r>
    </w:p>
    <w:p>
      <w:pPr>
        <w:pStyle w:val="ListParagraph"/>
        <w:numPr>
          <w:ilvl w:val="0"/>
          <w:numId w:val="58"/>
        </w:numPr>
        <w:tabs>
          <w:tab w:pos="1437" w:val="left" w:leader="none"/>
          <w:tab w:pos="1438" w:val="left" w:leader="none"/>
          <w:tab w:pos="2590" w:val="left" w:leader="none"/>
          <w:tab w:pos="3425" w:val="left" w:leader="none"/>
          <w:tab w:pos="4625" w:val="left" w:leader="none"/>
          <w:tab w:pos="5658" w:val="left" w:leader="none"/>
          <w:tab w:pos="6966" w:val="left" w:leader="none"/>
          <w:tab w:pos="7993" w:val="left" w:leader="none"/>
        </w:tabs>
        <w:spacing w:line="360" w:lineRule="auto" w:before="5" w:after="0"/>
        <w:ind w:left="742" w:right="100" w:hanging="360"/>
        <w:jc w:val="left"/>
        <w:rPr>
          <w:sz w:val="28"/>
        </w:rPr>
      </w:pPr>
      <w:hyperlink r:id="rId199">
        <w:r>
          <w:rPr>
            <w:sz w:val="28"/>
          </w:rPr>
          <w:t>Dargent</w:t>
        </w:r>
      </w:hyperlink>
      <w:r>
        <w:rPr>
          <w:sz w:val="28"/>
        </w:rPr>
        <w:tab/>
        <w:t>D.,</w:t>
        <w:tab/>
      </w:r>
      <w:hyperlink r:id="rId199">
        <w:r>
          <w:rPr>
            <w:sz w:val="28"/>
          </w:rPr>
          <w:t>Ansquer</w:t>
        </w:r>
      </w:hyperlink>
      <w:r>
        <w:rPr>
          <w:sz w:val="28"/>
        </w:rPr>
        <w:tab/>
        <w:t>Yan,</w:t>
        <w:tab/>
      </w:r>
      <w:hyperlink r:id="rId199">
        <w:r>
          <w:rPr>
            <w:sz w:val="28"/>
          </w:rPr>
          <w:t>Mathevet</w:t>
        </w:r>
      </w:hyperlink>
      <w:r>
        <w:rPr>
          <w:sz w:val="28"/>
        </w:rPr>
        <w:tab/>
        <w:t>Patrice</w:t>
        <w:tab/>
      </w:r>
      <w:r>
        <w:rPr>
          <w:spacing w:val="-1"/>
          <w:sz w:val="28"/>
        </w:rPr>
        <w:t>Technical </w:t>
      </w:r>
      <w:r>
        <w:rPr>
          <w:sz w:val="28"/>
        </w:rPr>
        <w:t>Development and Results of Left Extraperitoneal Laparoscopic Paraaortic Lymphadenectomy for Cervical Cancer // Gynecologic Oncology. – 2000,April. – Vol.77, №1. – P.87-92. [Электронный ресурс]. URL: </w:t>
      </w:r>
      <w:hyperlink r:id="rId199">
        <w:r>
          <w:rPr>
            <w:color w:val="0000FF"/>
            <w:sz w:val="28"/>
            <w:u w:val="single" w:color="0000FF"/>
          </w:rPr>
          <w:t>http://www.sciencedirect.com/science/article/pii/S0090825899955853 </w:t>
        </w:r>
      </w:hyperlink>
      <w:r>
        <w:rPr>
          <w:sz w:val="28"/>
        </w:rPr>
        <w:t>(дата</w:t>
      </w:r>
      <w:r>
        <w:rPr>
          <w:spacing w:val="-16"/>
          <w:sz w:val="28"/>
        </w:rPr>
        <w:t> </w:t>
      </w:r>
      <w:r>
        <w:rPr>
          <w:sz w:val="28"/>
        </w:rPr>
        <w:t>обращения:11.04.2015).</w:t>
      </w:r>
    </w:p>
    <w:p>
      <w:pPr>
        <w:pStyle w:val="ListParagraph"/>
        <w:numPr>
          <w:ilvl w:val="0"/>
          <w:numId w:val="58"/>
        </w:numPr>
        <w:tabs>
          <w:tab w:pos="1438" w:val="left" w:leader="none"/>
        </w:tabs>
        <w:spacing w:line="360" w:lineRule="auto" w:before="7" w:after="0"/>
        <w:ind w:left="742" w:right="98" w:hanging="360"/>
        <w:jc w:val="both"/>
        <w:rPr>
          <w:sz w:val="28"/>
        </w:rPr>
      </w:pPr>
      <w:r>
        <w:rPr>
          <w:sz w:val="28"/>
        </w:rPr>
        <w:t>De Angelis, R., Francisci S., Baili P., Marchesi F., The EUROCARE-4 database on cancer survival in Europe: data, standardisation, quality control and methods of statistical analysis  // Eur. J. Cancer. – 2009. – Vol. 45. – Р. 909 –</w:t>
      </w:r>
      <w:r>
        <w:rPr>
          <w:spacing w:val="-17"/>
          <w:sz w:val="28"/>
        </w:rPr>
        <w:t> </w:t>
      </w:r>
      <w:r>
        <w:rPr>
          <w:sz w:val="28"/>
        </w:rPr>
        <w:t>930.</w:t>
      </w:r>
    </w:p>
    <w:p>
      <w:pPr>
        <w:pStyle w:val="ListParagraph"/>
        <w:numPr>
          <w:ilvl w:val="0"/>
          <w:numId w:val="58"/>
        </w:numPr>
        <w:tabs>
          <w:tab w:pos="1438" w:val="left" w:leader="none"/>
        </w:tabs>
        <w:spacing w:line="360" w:lineRule="auto" w:before="5" w:after="0"/>
        <w:ind w:left="742" w:right="99" w:hanging="360"/>
        <w:jc w:val="both"/>
        <w:rPr>
          <w:sz w:val="28"/>
        </w:rPr>
      </w:pPr>
      <w:r>
        <w:rPr>
          <w:sz w:val="28"/>
        </w:rPr>
        <w:t>Debois J.M. The Association of curientherapy and surgery in the treatments of endometrium carcinoma // Strahlenther.Oncol.-1986.- Vol.162.-N9.-p.</w:t>
      </w:r>
      <w:r>
        <w:rPr>
          <w:spacing w:val="-13"/>
          <w:sz w:val="28"/>
        </w:rPr>
        <w:t> </w:t>
      </w:r>
      <w:r>
        <w:rPr>
          <w:sz w:val="28"/>
        </w:rPr>
        <w:t>540-548.</w:t>
      </w:r>
    </w:p>
    <w:p>
      <w:pPr>
        <w:spacing w:after="0" w:line="360" w:lineRule="auto"/>
        <w:jc w:val="both"/>
        <w:rPr>
          <w:sz w:val="28"/>
        </w:rPr>
        <w:sectPr>
          <w:headerReference w:type="default" r:id="rId197"/>
          <w:pgSz w:w="11900" w:h="16850"/>
          <w:pgMar w:header="712" w:footer="0" w:top="1020" w:bottom="280" w:left="1680" w:right="1020"/>
          <w:pgNumType w:start="302"/>
        </w:sectPr>
      </w:pPr>
    </w:p>
    <w:p>
      <w:pPr>
        <w:pStyle w:val="ListParagraph"/>
        <w:numPr>
          <w:ilvl w:val="0"/>
          <w:numId w:val="58"/>
        </w:numPr>
        <w:tabs>
          <w:tab w:pos="1438" w:val="left" w:leader="none"/>
        </w:tabs>
        <w:spacing w:line="360" w:lineRule="auto" w:before="0" w:after="0"/>
        <w:ind w:left="742" w:right="104" w:hanging="360"/>
        <w:jc w:val="both"/>
        <w:rPr>
          <w:sz w:val="28"/>
        </w:rPr>
      </w:pPr>
      <w:r>
        <w:rPr>
          <w:sz w:val="28"/>
        </w:rPr>
        <w:t>Delmore J.E. Warton J.T. Preoperative radiotherapy for early endometrial carcinoma //Gynecol. Oncol. -1987.-Vol.28.-N</w:t>
      </w:r>
      <w:r>
        <w:rPr>
          <w:spacing w:val="-28"/>
          <w:sz w:val="28"/>
        </w:rPr>
        <w:t> </w:t>
      </w:r>
      <w:r>
        <w:rPr>
          <w:sz w:val="28"/>
        </w:rPr>
        <w:t>1.-p.30-40.</w:t>
      </w:r>
    </w:p>
    <w:p>
      <w:pPr>
        <w:pStyle w:val="ListParagraph"/>
        <w:numPr>
          <w:ilvl w:val="0"/>
          <w:numId w:val="58"/>
        </w:numPr>
        <w:tabs>
          <w:tab w:pos="1438" w:val="left" w:leader="none"/>
        </w:tabs>
        <w:spacing w:line="360" w:lineRule="auto" w:before="8" w:after="0"/>
        <w:ind w:left="742" w:right="99" w:hanging="360"/>
        <w:jc w:val="both"/>
        <w:rPr>
          <w:sz w:val="28"/>
        </w:rPr>
      </w:pPr>
      <w:r>
        <w:rPr>
          <w:sz w:val="28"/>
        </w:rPr>
        <w:t>Dembo A.J., Davy M., Stenwig A.E. et al. Prognostic factors in patients with stage I epithelial ovarian cancer // Obstet. Gynaecol. –</w:t>
      </w:r>
      <w:r>
        <w:rPr>
          <w:spacing w:val="27"/>
          <w:sz w:val="28"/>
        </w:rPr>
        <w:t> </w:t>
      </w:r>
      <w:r>
        <w:rPr>
          <w:sz w:val="28"/>
        </w:rPr>
        <w:t>1990.</w:t>
      </w:r>
    </w:p>
    <w:p>
      <w:pPr>
        <w:pStyle w:val="BodyText"/>
        <w:spacing w:before="5"/>
        <w:ind w:left="741"/>
        <w:jc w:val="both"/>
      </w:pPr>
      <w:r>
        <w:rPr/>
        <w:t>– Vol. 75, № 2. – Р. 263-273. 195.</w:t>
      </w:r>
    </w:p>
    <w:p>
      <w:pPr>
        <w:pStyle w:val="ListParagraph"/>
        <w:numPr>
          <w:ilvl w:val="0"/>
          <w:numId w:val="58"/>
        </w:numPr>
        <w:tabs>
          <w:tab w:pos="1438" w:val="left" w:leader="none"/>
        </w:tabs>
        <w:spacing w:line="360" w:lineRule="auto" w:before="160" w:after="0"/>
        <w:ind w:left="742" w:right="103" w:hanging="360"/>
        <w:jc w:val="both"/>
        <w:rPr>
          <w:sz w:val="28"/>
        </w:rPr>
      </w:pPr>
      <w:hyperlink r:id="rId200">
        <w:r>
          <w:rPr>
            <w:sz w:val="28"/>
          </w:rPr>
          <w:t>Devaja O.</w:t>
        </w:r>
      </w:hyperlink>
      <w:r>
        <w:rPr>
          <w:sz w:val="28"/>
        </w:rPr>
        <w:t>, Samara I., </w:t>
      </w:r>
      <w:r>
        <w:rPr>
          <w:color w:val="0000FF"/>
          <w:sz w:val="28"/>
          <w:u w:val="single" w:color="0000FF"/>
        </w:rPr>
        <w:t>Papadopoulos </w:t>
      </w:r>
      <w:r>
        <w:rPr>
          <w:sz w:val="28"/>
        </w:rPr>
        <w:t>A. Laparoscopically assisted vaginal hysterectomy (LAVH) versus total abdominal hysterectomy (TAH) in endometrial carcinoma: prospective cohort study /Int. J. Gynecol. Cancer. – 2010. – Vol. 20, № 4. – Р. 570 – 575.</w:t>
      </w:r>
      <w:r>
        <w:rPr>
          <w:spacing w:val="-24"/>
          <w:sz w:val="28"/>
        </w:rPr>
        <w:t> </w:t>
      </w:r>
      <w:r>
        <w:rPr>
          <w:sz w:val="28"/>
        </w:rPr>
        <w:t>214.</w:t>
      </w:r>
    </w:p>
    <w:p>
      <w:pPr>
        <w:pStyle w:val="ListParagraph"/>
        <w:numPr>
          <w:ilvl w:val="0"/>
          <w:numId w:val="58"/>
        </w:numPr>
        <w:tabs>
          <w:tab w:pos="1438" w:val="left" w:leader="none"/>
        </w:tabs>
        <w:spacing w:line="360" w:lineRule="auto" w:before="5" w:after="0"/>
        <w:ind w:left="742" w:right="100" w:hanging="360"/>
        <w:jc w:val="both"/>
        <w:rPr>
          <w:sz w:val="28"/>
        </w:rPr>
      </w:pPr>
      <w:r>
        <w:rPr>
          <w:sz w:val="28"/>
        </w:rPr>
        <w:t>Di Re F., Raspagliesi F. Ruolo della linfoadenectomia net carcinoma della cervice. - Conv. naz. A.O.G.O.I. «Attuali orientamenti cervicocarcinoma», Catania, 14 dic., 1991 //G. ital. ostet. e ginecol. – 1993. - Vol.15, №1. –</w:t>
      </w:r>
      <w:r>
        <w:rPr>
          <w:spacing w:val="-14"/>
          <w:sz w:val="28"/>
        </w:rPr>
        <w:t> </w:t>
      </w:r>
      <w:r>
        <w:rPr>
          <w:sz w:val="28"/>
        </w:rPr>
        <w:t>P.95-100.</w:t>
      </w:r>
    </w:p>
    <w:p>
      <w:pPr>
        <w:pStyle w:val="ListParagraph"/>
        <w:numPr>
          <w:ilvl w:val="0"/>
          <w:numId w:val="58"/>
        </w:numPr>
        <w:tabs>
          <w:tab w:pos="1438" w:val="left" w:leader="none"/>
        </w:tabs>
        <w:spacing w:line="360" w:lineRule="auto" w:before="5" w:after="0"/>
        <w:ind w:left="742" w:right="107" w:hanging="360"/>
        <w:jc w:val="both"/>
        <w:rPr>
          <w:sz w:val="28"/>
        </w:rPr>
      </w:pPr>
      <w:r>
        <w:rPr>
          <w:sz w:val="28"/>
        </w:rPr>
        <w:t>Di Saia P. J. Conservative management of the patient with early gynecologic cancer // Cancer. – 1989. – Vol. 39, № 3. – P.</w:t>
      </w:r>
      <w:r>
        <w:rPr>
          <w:spacing w:val="-23"/>
          <w:sz w:val="28"/>
        </w:rPr>
        <w:t> </w:t>
      </w:r>
      <w:r>
        <w:rPr>
          <w:sz w:val="28"/>
        </w:rPr>
        <w:t>134-135.</w:t>
      </w:r>
    </w:p>
    <w:p>
      <w:pPr>
        <w:pStyle w:val="ListParagraph"/>
        <w:numPr>
          <w:ilvl w:val="0"/>
          <w:numId w:val="58"/>
        </w:numPr>
        <w:tabs>
          <w:tab w:pos="1438" w:val="left" w:leader="none"/>
        </w:tabs>
        <w:spacing w:line="360" w:lineRule="auto" w:before="8" w:after="0"/>
        <w:ind w:left="742" w:right="109" w:hanging="360"/>
        <w:jc w:val="both"/>
        <w:rPr>
          <w:sz w:val="28"/>
        </w:rPr>
      </w:pPr>
      <w:r>
        <w:rPr>
          <w:sz w:val="28"/>
        </w:rPr>
        <w:t>Di Saia P.J., Creasman W.T. Clinical Gynecologic Oncology // Mosby C.V., St. Louis M.O. -</w:t>
      </w:r>
      <w:r>
        <w:rPr>
          <w:spacing w:val="60"/>
          <w:sz w:val="28"/>
        </w:rPr>
        <w:t> </w:t>
      </w:r>
      <w:r>
        <w:rPr>
          <w:sz w:val="28"/>
        </w:rPr>
        <w:t>1992.</w:t>
      </w:r>
    </w:p>
    <w:p>
      <w:pPr>
        <w:pStyle w:val="ListParagraph"/>
        <w:numPr>
          <w:ilvl w:val="0"/>
          <w:numId w:val="58"/>
        </w:numPr>
        <w:tabs>
          <w:tab w:pos="1438" w:val="left" w:leader="none"/>
        </w:tabs>
        <w:spacing w:line="327" w:lineRule="exact" w:before="0" w:after="0"/>
        <w:ind w:left="1438" w:right="0" w:hanging="1056"/>
        <w:jc w:val="both"/>
        <w:rPr>
          <w:sz w:val="28"/>
        </w:rPr>
      </w:pPr>
      <w:r>
        <w:rPr>
          <w:sz w:val="28"/>
        </w:rPr>
        <w:t>Dietrich  C.S.  3</w:t>
      </w:r>
      <w:r>
        <w:rPr>
          <w:position w:val="13"/>
          <w:sz w:val="18"/>
        </w:rPr>
        <w:t>rd</w:t>
      </w:r>
      <w:r>
        <w:rPr>
          <w:sz w:val="28"/>
        </w:rPr>
        <w:t>,  Yancey  M.K.,  Miyazawa  K.,  Williams  </w:t>
      </w:r>
      <w:r>
        <w:rPr>
          <w:spacing w:val="47"/>
          <w:sz w:val="28"/>
        </w:rPr>
        <w:t> </w:t>
      </w:r>
      <w:r>
        <w:rPr>
          <w:sz w:val="28"/>
        </w:rPr>
        <w:t>D.L.,</w:t>
      </w:r>
    </w:p>
    <w:p>
      <w:pPr>
        <w:pStyle w:val="BodyText"/>
        <w:spacing w:line="360" w:lineRule="auto" w:before="160"/>
        <w:ind w:left="741" w:right="100"/>
        <w:jc w:val="both"/>
      </w:pPr>
      <w:r>
        <w:rPr/>
        <w:t>Farley J. Risk factors for early cytologic abnormalities after loop electrosurgical excision procedure. // Obstet. gynecol. – 2002. – Feb. – 99(2). – p.188-192.</w:t>
      </w:r>
    </w:p>
    <w:p>
      <w:pPr>
        <w:pStyle w:val="ListParagraph"/>
        <w:numPr>
          <w:ilvl w:val="0"/>
          <w:numId w:val="58"/>
        </w:numPr>
        <w:tabs>
          <w:tab w:pos="1438" w:val="left" w:leader="none"/>
        </w:tabs>
        <w:spacing w:line="360" w:lineRule="auto" w:before="5" w:after="0"/>
        <w:ind w:left="742" w:right="105" w:hanging="360"/>
        <w:jc w:val="both"/>
        <w:rPr>
          <w:sz w:val="28"/>
        </w:rPr>
      </w:pPr>
      <w:r>
        <w:rPr>
          <w:sz w:val="28"/>
        </w:rPr>
        <w:t>Donato M.L., Gershenson D.M., Wharton J.T., Ippoliti C.M., Aleman A.S., Bodurka-Bevers D., Bevers M.W., Burke T.W., Levenback C.F., Wolf   J.K., Freedman R.S., Bast R.C. Jr., Gajewski J.L.,  </w:t>
      </w:r>
      <w:r>
        <w:rPr>
          <w:spacing w:val="17"/>
          <w:sz w:val="28"/>
        </w:rPr>
        <w:t> </w:t>
      </w:r>
      <w:r>
        <w:rPr>
          <w:sz w:val="28"/>
        </w:rPr>
        <w:t>Champlin</w:t>
      </w:r>
    </w:p>
    <w:p>
      <w:pPr>
        <w:pStyle w:val="BodyText"/>
        <w:spacing w:line="360" w:lineRule="auto" w:before="5"/>
        <w:ind w:left="741" w:right="106"/>
        <w:jc w:val="both"/>
      </w:pPr>
      <w:r>
        <w:rPr/>
        <w:t>R.E. High-dose topotecan, melphalan, and  cyclophosphamide  (TMC) with stem cell support: a new regimen for the treatment of advanced ovarian cancer //  Gynecol. Oncol. – 2001. - Vol. 82, № 3. – P. 420-426.</w:t>
      </w:r>
    </w:p>
    <w:p>
      <w:pPr>
        <w:pStyle w:val="ListParagraph"/>
        <w:numPr>
          <w:ilvl w:val="0"/>
          <w:numId w:val="58"/>
        </w:numPr>
        <w:tabs>
          <w:tab w:pos="1437" w:val="left" w:leader="none"/>
          <w:tab w:pos="1438" w:val="left" w:leader="none"/>
          <w:tab w:pos="7837" w:val="left" w:leader="none"/>
        </w:tabs>
        <w:spacing w:line="360" w:lineRule="auto" w:before="5" w:after="0"/>
        <w:ind w:left="742" w:right="169" w:hanging="360"/>
        <w:jc w:val="left"/>
        <w:rPr>
          <w:sz w:val="28"/>
        </w:rPr>
      </w:pPr>
      <w:r>
        <w:rPr>
          <w:sz w:val="28"/>
        </w:rPr>
        <w:t>Dowdy S.C., Borah B.J., Bakkum-Gamez J.N. Factors predictive of postoperative morbidity and cost in patients</w:t>
      </w:r>
      <w:r>
        <w:rPr>
          <w:spacing w:val="-22"/>
          <w:sz w:val="28"/>
        </w:rPr>
        <w:t> </w:t>
      </w:r>
      <w:r>
        <w:rPr>
          <w:sz w:val="28"/>
        </w:rPr>
        <w:t>with</w:t>
      </w:r>
      <w:r>
        <w:rPr>
          <w:spacing w:val="-2"/>
          <w:sz w:val="28"/>
        </w:rPr>
        <w:t> </w:t>
      </w:r>
      <w:r>
        <w:rPr>
          <w:sz w:val="28"/>
        </w:rPr>
        <w:t>endometrial</w:t>
        <w:tab/>
        <w:t>//</w:t>
      </w:r>
      <w:r>
        <w:rPr>
          <w:spacing w:val="-4"/>
          <w:sz w:val="28"/>
        </w:rPr>
        <w:t> </w:t>
      </w:r>
      <w:r>
        <w:rPr>
          <w:sz w:val="28"/>
        </w:rPr>
        <w:t>Obstet.</w:t>
      </w:r>
      <w:r>
        <w:rPr>
          <w:w w:val="100"/>
          <w:sz w:val="28"/>
        </w:rPr>
        <w:t> </w:t>
      </w:r>
      <w:r>
        <w:rPr>
          <w:sz w:val="28"/>
        </w:rPr>
        <w:t>Gynecol. – 2012. – Vol. 120 (6). – P.</w:t>
      </w:r>
      <w:r>
        <w:rPr>
          <w:spacing w:val="-19"/>
          <w:sz w:val="28"/>
        </w:rPr>
        <w:t> </w:t>
      </w:r>
      <w:r>
        <w:rPr>
          <w:sz w:val="28"/>
        </w:rPr>
        <w:t>1419-1429.</w:t>
      </w:r>
    </w:p>
    <w:p>
      <w:pPr>
        <w:spacing w:after="0" w:line="360" w:lineRule="auto"/>
        <w:jc w:val="left"/>
        <w:rPr>
          <w:sz w:val="28"/>
        </w:rPr>
        <w:sectPr>
          <w:pgSz w:w="11900" w:h="16850"/>
          <w:pgMar w:header="712" w:footer="0" w:top="1020" w:bottom="280" w:left="1680" w:right="1020"/>
        </w:sectPr>
      </w:pPr>
    </w:p>
    <w:p>
      <w:pPr>
        <w:pStyle w:val="BodyText"/>
        <w:spacing w:line="322" w:lineRule="exact" w:before="60"/>
        <w:ind w:left="4329" w:right="4430"/>
        <w:jc w:val="center"/>
      </w:pPr>
      <w:r>
        <w:rPr/>
        <w:t>304</w:t>
      </w:r>
    </w:p>
    <w:p>
      <w:pPr>
        <w:pStyle w:val="ListParagraph"/>
        <w:numPr>
          <w:ilvl w:val="0"/>
          <w:numId w:val="59"/>
        </w:numPr>
        <w:tabs>
          <w:tab w:pos="1438" w:val="left" w:leader="none"/>
        </w:tabs>
        <w:spacing w:line="360" w:lineRule="auto" w:before="0" w:after="0"/>
        <w:ind w:left="742" w:right="116" w:hanging="360"/>
        <w:jc w:val="both"/>
        <w:rPr>
          <w:sz w:val="28"/>
        </w:rPr>
      </w:pPr>
      <w:r>
        <w:rPr>
          <w:sz w:val="28"/>
        </w:rPr>
        <w:t>Du Bois A., Reuss A., Pujade-Lauraine E., Harter P.,  Ray-  Coquard I., Pfisterer J. Role of surgical outcome as prognostic factor in advanced epithelial ovarian cancer: a combined exploratory analysis of 3 prospectively randomized phase 3 multicenter trials: by the Arbeitsgemeinschaft Gynaekologische Onkologie Studiengruppe Ovarialkarzinom (AGO-OVAR) and the Groupe d'Investigateurs Nationaux Pour les Etudes des Cancers de l'Ovaire (GINECO) </w:t>
      </w:r>
      <w:r>
        <w:rPr>
          <w:spacing w:val="5"/>
          <w:sz w:val="28"/>
        </w:rPr>
        <w:t>// </w:t>
      </w:r>
      <w:r>
        <w:rPr>
          <w:sz w:val="28"/>
        </w:rPr>
        <w:t>Cancer. - 2009.  – Vol. 6. – P.</w:t>
      </w:r>
      <w:r>
        <w:rPr>
          <w:spacing w:val="-11"/>
          <w:sz w:val="28"/>
        </w:rPr>
        <w:t> </w:t>
      </w:r>
      <w:r>
        <w:rPr>
          <w:sz w:val="28"/>
        </w:rPr>
        <w:t>1234-44.</w:t>
      </w:r>
    </w:p>
    <w:p>
      <w:pPr>
        <w:pStyle w:val="ListParagraph"/>
        <w:numPr>
          <w:ilvl w:val="0"/>
          <w:numId w:val="59"/>
        </w:numPr>
        <w:tabs>
          <w:tab w:pos="1438" w:val="left" w:leader="none"/>
        </w:tabs>
        <w:spacing w:line="360" w:lineRule="auto" w:before="6" w:after="0"/>
        <w:ind w:left="742" w:right="119" w:hanging="360"/>
        <w:jc w:val="both"/>
        <w:rPr>
          <w:sz w:val="28"/>
        </w:rPr>
      </w:pPr>
      <w:r>
        <w:rPr>
          <w:sz w:val="28"/>
        </w:rPr>
        <w:t>Durand J.C. Quel évidement ganglionnaire faut-il faire dans le cancer du col, stades I et II // Eurocancer. – 1992. Pathol.Biol. – 1993. - Vol.41, №1. –</w:t>
      </w:r>
      <w:r>
        <w:rPr>
          <w:spacing w:val="-7"/>
          <w:sz w:val="28"/>
        </w:rPr>
        <w:t> </w:t>
      </w:r>
      <w:r>
        <w:rPr>
          <w:sz w:val="28"/>
        </w:rPr>
        <w:t>P.67.</w:t>
      </w:r>
    </w:p>
    <w:p>
      <w:pPr>
        <w:pStyle w:val="ListParagraph"/>
        <w:numPr>
          <w:ilvl w:val="0"/>
          <w:numId w:val="59"/>
        </w:numPr>
        <w:tabs>
          <w:tab w:pos="1438" w:val="left" w:leader="none"/>
        </w:tabs>
        <w:spacing w:line="360" w:lineRule="auto" w:before="127" w:after="0"/>
        <w:ind w:left="742" w:right="126" w:hanging="360"/>
        <w:jc w:val="both"/>
        <w:rPr>
          <w:sz w:val="28"/>
        </w:rPr>
      </w:pPr>
      <w:r>
        <w:rPr>
          <w:sz w:val="28"/>
        </w:rPr>
        <w:t>Dursun P., LeBlanc E., Nogueira M. Radical vaginal trachelectomy (Dargent's operation): A critical review of the literature. EJSO, 2007, Vol.33 -</w:t>
      </w:r>
      <w:r>
        <w:rPr>
          <w:spacing w:val="-8"/>
          <w:sz w:val="28"/>
        </w:rPr>
        <w:t> </w:t>
      </w:r>
      <w:r>
        <w:rPr>
          <w:sz w:val="28"/>
        </w:rPr>
        <w:t>P.933-941</w:t>
      </w:r>
    </w:p>
    <w:p>
      <w:pPr>
        <w:pStyle w:val="ListParagraph"/>
        <w:numPr>
          <w:ilvl w:val="0"/>
          <w:numId w:val="59"/>
        </w:numPr>
        <w:tabs>
          <w:tab w:pos="1438" w:val="left" w:leader="none"/>
        </w:tabs>
        <w:spacing w:line="360" w:lineRule="auto" w:before="5" w:after="0"/>
        <w:ind w:left="742" w:right="119" w:hanging="360"/>
        <w:jc w:val="both"/>
        <w:rPr>
          <w:sz w:val="28"/>
        </w:rPr>
      </w:pPr>
      <w:r>
        <w:rPr>
          <w:sz w:val="28"/>
        </w:rPr>
        <w:t>Einstein M., Park J., Sonoda Y. et al. Radical vaginal versus abdominal trachelectomy for stage IB1 cervical cancer: A comparison of surgical and pathologic outcomes. Gynecol. Oncol., 2009, Vol.112 - P.73- 77.</w:t>
      </w:r>
    </w:p>
    <w:p>
      <w:pPr>
        <w:pStyle w:val="ListParagraph"/>
        <w:numPr>
          <w:ilvl w:val="0"/>
          <w:numId w:val="59"/>
        </w:numPr>
        <w:tabs>
          <w:tab w:pos="1438" w:val="left" w:leader="none"/>
        </w:tabs>
        <w:spacing w:line="360" w:lineRule="auto" w:before="5" w:after="0"/>
        <w:ind w:left="742" w:right="129" w:hanging="360"/>
        <w:jc w:val="both"/>
        <w:rPr>
          <w:sz w:val="28"/>
        </w:rPr>
      </w:pPr>
      <w:r>
        <w:rPr>
          <w:sz w:val="28"/>
        </w:rPr>
        <w:t>Elias D. Thermic homogeneity and standardization  of intraperitoneal chemohyperthermia for peritonea carcinomatosis // Reg. Cancer Treat. - 1996. – Vol. 6. – P.</w:t>
      </w:r>
      <w:r>
        <w:rPr>
          <w:spacing w:val="-15"/>
          <w:sz w:val="28"/>
        </w:rPr>
        <w:t> </w:t>
      </w:r>
      <w:r>
        <w:rPr>
          <w:sz w:val="28"/>
        </w:rPr>
        <w:t>161-65.</w:t>
      </w:r>
    </w:p>
    <w:p>
      <w:pPr>
        <w:pStyle w:val="ListParagraph"/>
        <w:numPr>
          <w:ilvl w:val="0"/>
          <w:numId w:val="59"/>
        </w:numPr>
        <w:tabs>
          <w:tab w:pos="1438" w:val="left" w:leader="none"/>
        </w:tabs>
        <w:spacing w:line="360" w:lineRule="auto" w:before="5" w:after="0"/>
        <w:ind w:left="742" w:right="121" w:hanging="360"/>
        <w:jc w:val="both"/>
        <w:rPr>
          <w:sz w:val="28"/>
        </w:rPr>
      </w:pPr>
      <w:r>
        <w:rPr>
          <w:sz w:val="28"/>
        </w:rPr>
        <w:t>Fanning J. Long-term survival of intermediate risk endometrial cancer (stage IG3, IC, II) treated with full lymphadenectomy and brachytherapy without teletherapy / J. Fanning // Gynecol. Oncol. –</w:t>
      </w:r>
      <w:r>
        <w:rPr>
          <w:spacing w:val="43"/>
          <w:sz w:val="28"/>
        </w:rPr>
        <w:t> </w:t>
      </w:r>
      <w:r>
        <w:rPr>
          <w:sz w:val="28"/>
        </w:rPr>
        <w:t>2001.</w:t>
      </w:r>
    </w:p>
    <w:p>
      <w:pPr>
        <w:pStyle w:val="BodyText"/>
        <w:spacing w:before="5"/>
        <w:ind w:left="741"/>
      </w:pPr>
      <w:r>
        <w:rPr/>
        <w:t>– Vol. 82. – Р. 371 – 374.</w:t>
      </w:r>
    </w:p>
    <w:p>
      <w:pPr>
        <w:pStyle w:val="ListParagraph"/>
        <w:numPr>
          <w:ilvl w:val="0"/>
          <w:numId w:val="59"/>
        </w:numPr>
        <w:tabs>
          <w:tab w:pos="1438" w:val="left" w:leader="none"/>
        </w:tabs>
        <w:spacing w:line="360" w:lineRule="auto" w:before="160" w:after="0"/>
        <w:ind w:left="742" w:right="119" w:hanging="360"/>
        <w:jc w:val="both"/>
        <w:rPr>
          <w:sz w:val="28"/>
        </w:rPr>
      </w:pPr>
      <w:r>
        <w:rPr>
          <w:sz w:val="28"/>
        </w:rPr>
        <w:t>Farting A. Conserving fertility in the management of gynaeco- logical cancers // Int. J. Obstet. Gynaecol. — 2006. — Vol. 113, N 2. —  P.</w:t>
      </w:r>
      <w:r>
        <w:rPr>
          <w:spacing w:val="-4"/>
          <w:sz w:val="28"/>
        </w:rPr>
        <w:t> </w:t>
      </w:r>
      <w:r>
        <w:rPr>
          <w:sz w:val="28"/>
        </w:rPr>
        <w:t>129–134.</w:t>
      </w:r>
    </w:p>
    <w:p>
      <w:pPr>
        <w:pStyle w:val="ListParagraph"/>
        <w:numPr>
          <w:ilvl w:val="0"/>
          <w:numId w:val="59"/>
        </w:numPr>
        <w:tabs>
          <w:tab w:pos="1438" w:val="left" w:leader="none"/>
        </w:tabs>
        <w:spacing w:line="360" w:lineRule="auto" w:before="8" w:after="0"/>
        <w:ind w:left="742" w:right="130" w:hanging="360"/>
        <w:jc w:val="both"/>
        <w:rPr>
          <w:sz w:val="28"/>
        </w:rPr>
      </w:pPr>
      <w:r>
        <w:rPr>
          <w:sz w:val="28"/>
        </w:rPr>
        <w:t>Fendel H., Jung H., Göbel H. Behandlung des Kollumkarzinoms // Gynakol. Prax. – 1991. - Vol.15, №2. –</w:t>
      </w:r>
      <w:r>
        <w:rPr>
          <w:spacing w:val="-24"/>
          <w:sz w:val="28"/>
        </w:rPr>
        <w:t> </w:t>
      </w:r>
      <w:r>
        <w:rPr>
          <w:sz w:val="28"/>
        </w:rPr>
        <w:t>P.321-363.</w:t>
      </w:r>
    </w:p>
    <w:p>
      <w:pPr>
        <w:spacing w:after="0" w:line="360" w:lineRule="auto"/>
        <w:jc w:val="both"/>
        <w:rPr>
          <w:sz w:val="28"/>
        </w:rPr>
        <w:sectPr>
          <w:headerReference w:type="default" r:id="rId201"/>
          <w:pgSz w:w="11900" w:h="16850"/>
          <w:pgMar w:header="0" w:footer="0" w:top="640" w:bottom="280" w:left="1680" w:right="1000"/>
        </w:sectPr>
      </w:pPr>
    </w:p>
    <w:p>
      <w:pPr>
        <w:pStyle w:val="ListParagraph"/>
        <w:numPr>
          <w:ilvl w:val="0"/>
          <w:numId w:val="59"/>
        </w:numPr>
        <w:tabs>
          <w:tab w:pos="1438" w:val="left" w:leader="none"/>
        </w:tabs>
        <w:spacing w:line="360" w:lineRule="auto" w:before="0" w:after="0"/>
        <w:ind w:left="742" w:right="124" w:hanging="360"/>
        <w:jc w:val="both"/>
        <w:rPr>
          <w:sz w:val="28"/>
        </w:rPr>
      </w:pPr>
      <w:r>
        <w:rPr>
          <w:sz w:val="28"/>
        </w:rPr>
        <w:t>Fidalgo de Motos C.J.S., Querleu D., Leblanc E. La lymphadenectomy pelvienne endoscopique dans le bilan des cancers précoces du col utérin: enquéte auprés de 35 centres hospitaliers  </w:t>
      </w:r>
      <w:r>
        <w:rPr>
          <w:spacing w:val="18"/>
          <w:sz w:val="28"/>
        </w:rPr>
        <w:t> </w:t>
      </w:r>
      <w:r>
        <w:rPr>
          <w:sz w:val="28"/>
        </w:rPr>
        <w:t>francais</w:t>
      </w:r>
    </w:p>
    <w:p>
      <w:pPr>
        <w:pStyle w:val="BodyText"/>
        <w:spacing w:before="6"/>
        <w:ind w:left="741"/>
      </w:pPr>
      <w:r>
        <w:rPr/>
        <w:t>// Rev. med. Bruxelles. – 1993. - Vol.14, №6. – P.163-168.</w:t>
      </w:r>
    </w:p>
    <w:p>
      <w:pPr>
        <w:pStyle w:val="ListParagraph"/>
        <w:numPr>
          <w:ilvl w:val="0"/>
          <w:numId w:val="59"/>
        </w:numPr>
        <w:tabs>
          <w:tab w:pos="1438" w:val="left" w:leader="none"/>
        </w:tabs>
        <w:spacing w:line="360" w:lineRule="auto" w:before="160" w:after="0"/>
        <w:ind w:left="742" w:right="116" w:hanging="360"/>
        <w:jc w:val="both"/>
        <w:rPr>
          <w:sz w:val="28"/>
        </w:rPr>
      </w:pPr>
      <w:r>
        <w:rPr>
          <w:spacing w:val="-4"/>
          <w:sz w:val="28"/>
        </w:rPr>
        <w:t>Fioretti P., Gadducci A., Fabrini M.G. </w:t>
      </w:r>
      <w:r>
        <w:rPr>
          <w:sz w:val="28"/>
        </w:rPr>
        <w:t>et </w:t>
      </w:r>
      <w:r>
        <w:rPr>
          <w:spacing w:val="-3"/>
          <w:sz w:val="28"/>
        </w:rPr>
        <w:t>al. </w:t>
      </w:r>
      <w:r>
        <w:rPr>
          <w:sz w:val="28"/>
        </w:rPr>
        <w:t>- </w:t>
      </w:r>
      <w:r>
        <w:rPr>
          <w:spacing w:val="-4"/>
          <w:sz w:val="28"/>
        </w:rPr>
        <w:t>The influence </w:t>
      </w:r>
      <w:r>
        <w:rPr>
          <w:sz w:val="28"/>
        </w:rPr>
        <w:t>of </w:t>
      </w:r>
      <w:r>
        <w:rPr>
          <w:spacing w:val="-5"/>
          <w:sz w:val="28"/>
        </w:rPr>
        <w:t>anatomo-surgical </w:t>
      </w:r>
      <w:r>
        <w:rPr>
          <w:spacing w:val="-4"/>
          <w:sz w:val="28"/>
        </w:rPr>
        <w:t>stage, tumor size </w:t>
      </w:r>
      <w:r>
        <w:rPr>
          <w:spacing w:val="-5"/>
          <w:sz w:val="28"/>
        </w:rPr>
        <w:t>histological </w:t>
      </w:r>
      <w:r>
        <w:rPr>
          <w:spacing w:val="-4"/>
          <w:sz w:val="28"/>
        </w:rPr>
        <w:t>type </w:t>
      </w:r>
      <w:r>
        <w:rPr>
          <w:spacing w:val="-3"/>
          <w:sz w:val="28"/>
        </w:rPr>
        <w:t>and </w:t>
      </w:r>
      <w:r>
        <w:rPr>
          <w:spacing w:val="-4"/>
          <w:sz w:val="28"/>
        </w:rPr>
        <w:t>lymph </w:t>
      </w:r>
      <w:r>
        <w:rPr>
          <w:spacing w:val="-3"/>
          <w:sz w:val="28"/>
        </w:rPr>
        <w:t>node </w:t>
      </w:r>
      <w:r>
        <w:rPr>
          <w:spacing w:val="-4"/>
          <w:sz w:val="28"/>
        </w:rPr>
        <w:t>status </w:t>
      </w:r>
      <w:r>
        <w:rPr>
          <w:sz w:val="28"/>
        </w:rPr>
        <w:t>on </w:t>
      </w:r>
      <w:r>
        <w:rPr>
          <w:spacing w:val="-3"/>
          <w:sz w:val="28"/>
        </w:rPr>
        <w:t>the </w:t>
      </w:r>
      <w:r>
        <w:rPr>
          <w:spacing w:val="-4"/>
          <w:sz w:val="28"/>
        </w:rPr>
        <w:t>clinical </w:t>
      </w:r>
      <w:r>
        <w:rPr>
          <w:spacing w:val="-5"/>
          <w:sz w:val="28"/>
        </w:rPr>
        <w:t>outcome </w:t>
      </w:r>
      <w:r>
        <w:rPr>
          <w:sz w:val="28"/>
        </w:rPr>
        <w:t>of </w:t>
      </w:r>
      <w:r>
        <w:rPr>
          <w:spacing w:val="-4"/>
          <w:sz w:val="28"/>
        </w:rPr>
        <w:t>patients with clinical </w:t>
      </w:r>
      <w:r>
        <w:rPr>
          <w:spacing w:val="-5"/>
          <w:sz w:val="28"/>
        </w:rPr>
        <w:t>FIGO </w:t>
      </w:r>
      <w:r>
        <w:rPr>
          <w:spacing w:val="-4"/>
          <w:sz w:val="28"/>
        </w:rPr>
        <w:t>state </w:t>
      </w:r>
      <w:r>
        <w:rPr>
          <w:spacing w:val="-3"/>
          <w:sz w:val="28"/>
        </w:rPr>
        <w:t>Ib-II </w:t>
      </w:r>
      <w:r>
        <w:rPr>
          <w:spacing w:val="-4"/>
          <w:sz w:val="28"/>
        </w:rPr>
        <w:t>cervical </w:t>
      </w:r>
      <w:r>
        <w:rPr>
          <w:spacing w:val="-5"/>
          <w:sz w:val="28"/>
        </w:rPr>
        <w:t>cancer.</w:t>
      </w:r>
      <w:r>
        <w:rPr>
          <w:spacing w:val="-11"/>
          <w:sz w:val="28"/>
        </w:rPr>
        <w:t> </w:t>
      </w:r>
      <w:r>
        <w:rPr>
          <w:sz w:val="28"/>
        </w:rPr>
        <w:t>//</w:t>
      </w:r>
      <w:r>
        <w:rPr>
          <w:spacing w:val="-7"/>
          <w:sz w:val="28"/>
        </w:rPr>
        <w:t> </w:t>
      </w:r>
      <w:r>
        <w:rPr>
          <w:spacing w:val="-4"/>
          <w:sz w:val="28"/>
        </w:rPr>
        <w:t>Cancer</w:t>
      </w:r>
      <w:r>
        <w:rPr>
          <w:spacing w:val="-10"/>
          <w:sz w:val="28"/>
        </w:rPr>
        <w:t> </w:t>
      </w:r>
      <w:r>
        <w:rPr>
          <w:sz w:val="28"/>
        </w:rPr>
        <w:t>J.</w:t>
      </w:r>
      <w:r>
        <w:rPr>
          <w:spacing w:val="-9"/>
          <w:sz w:val="28"/>
        </w:rPr>
        <w:t> </w:t>
      </w:r>
      <w:r>
        <w:rPr>
          <w:spacing w:val="-3"/>
          <w:sz w:val="28"/>
        </w:rPr>
        <w:t>1990.</w:t>
      </w:r>
      <w:r>
        <w:rPr>
          <w:spacing w:val="-11"/>
          <w:sz w:val="28"/>
        </w:rPr>
        <w:t> </w:t>
      </w:r>
      <w:r>
        <w:rPr>
          <w:spacing w:val="-4"/>
          <w:sz w:val="28"/>
        </w:rPr>
        <w:t>Vol.</w:t>
      </w:r>
      <w:r>
        <w:rPr>
          <w:spacing w:val="-11"/>
          <w:sz w:val="28"/>
        </w:rPr>
        <w:t> </w:t>
      </w:r>
      <w:r>
        <w:rPr>
          <w:sz w:val="28"/>
        </w:rPr>
        <w:t>3.</w:t>
      </w:r>
      <w:r>
        <w:rPr>
          <w:spacing w:val="-9"/>
          <w:sz w:val="28"/>
        </w:rPr>
        <w:t> </w:t>
      </w:r>
      <w:r>
        <w:rPr>
          <w:sz w:val="28"/>
        </w:rPr>
        <w:t>N</w:t>
      </w:r>
      <w:r>
        <w:rPr>
          <w:spacing w:val="-12"/>
          <w:sz w:val="28"/>
        </w:rPr>
        <w:t> </w:t>
      </w:r>
      <w:r>
        <w:rPr>
          <w:sz w:val="28"/>
        </w:rPr>
        <w:t>2.</w:t>
      </w:r>
      <w:r>
        <w:rPr>
          <w:spacing w:val="-9"/>
          <w:sz w:val="28"/>
        </w:rPr>
        <w:t> </w:t>
      </w:r>
      <w:r>
        <w:rPr>
          <w:sz w:val="28"/>
        </w:rPr>
        <w:t>P.</w:t>
      </w:r>
      <w:r>
        <w:rPr>
          <w:spacing w:val="-11"/>
          <w:sz w:val="28"/>
        </w:rPr>
        <w:t> </w:t>
      </w:r>
      <w:r>
        <w:rPr>
          <w:spacing w:val="-4"/>
          <w:sz w:val="28"/>
        </w:rPr>
        <w:t>69-73.</w:t>
      </w:r>
    </w:p>
    <w:p>
      <w:pPr>
        <w:pStyle w:val="ListParagraph"/>
        <w:numPr>
          <w:ilvl w:val="0"/>
          <w:numId w:val="59"/>
        </w:numPr>
        <w:tabs>
          <w:tab w:pos="1438" w:val="left" w:leader="none"/>
        </w:tabs>
        <w:spacing w:line="360" w:lineRule="auto" w:before="5" w:after="0"/>
        <w:ind w:left="742" w:right="120" w:hanging="360"/>
        <w:jc w:val="both"/>
        <w:rPr>
          <w:sz w:val="28"/>
        </w:rPr>
      </w:pPr>
      <w:r>
        <w:rPr>
          <w:sz w:val="28"/>
        </w:rPr>
        <w:t>Fowler J.M., Carter J.R., Carlson J.W. Lymph node yield from laparoscopic lymphadenectomy in cervical cancer: a comparative study // Gynecol.Oncol. – 1993, Nov. - Vol.51, №2. – P.187-92. [Электронный ресурс]. URL: </w:t>
      </w:r>
      <w:hyperlink r:id="rId203">
        <w:r>
          <w:rPr>
            <w:sz w:val="28"/>
          </w:rPr>
          <w:t>http://www.ncbi.nlm.nih.gov/pubmed/8276292</w:t>
        </w:r>
      </w:hyperlink>
      <w:r>
        <w:rPr>
          <w:sz w:val="28"/>
        </w:rPr>
        <w:t> (дата обращения:</w:t>
      </w:r>
      <w:r>
        <w:rPr>
          <w:spacing w:val="-8"/>
          <w:sz w:val="28"/>
        </w:rPr>
        <w:t> </w:t>
      </w:r>
      <w:r>
        <w:rPr>
          <w:sz w:val="28"/>
        </w:rPr>
        <w:t>29.03.2015).</w:t>
      </w:r>
    </w:p>
    <w:p>
      <w:pPr>
        <w:pStyle w:val="ListParagraph"/>
        <w:numPr>
          <w:ilvl w:val="0"/>
          <w:numId w:val="59"/>
        </w:numPr>
        <w:tabs>
          <w:tab w:pos="1438" w:val="left" w:leader="none"/>
        </w:tabs>
        <w:spacing w:line="360" w:lineRule="auto" w:before="5" w:after="0"/>
        <w:ind w:left="742" w:right="129" w:hanging="360"/>
        <w:jc w:val="both"/>
        <w:rPr>
          <w:sz w:val="28"/>
        </w:rPr>
      </w:pPr>
      <w:r>
        <w:rPr>
          <w:sz w:val="28"/>
        </w:rPr>
        <w:t>Fram K. Laparoscopically assisted vaginal hysterectomy versus abdominal hysterectomy in stage I endometrial cancer // Int. J. Gynecol. Cancer. – 2002. – Vol. 12. – P. 57 – 61. </w:t>
      </w:r>
      <w:r>
        <w:rPr>
          <w:spacing w:val="53"/>
          <w:sz w:val="28"/>
        </w:rPr>
        <w:t> </w:t>
      </w:r>
      <w:r>
        <w:rPr>
          <w:sz w:val="28"/>
        </w:rPr>
        <w:t>209.</w:t>
      </w:r>
    </w:p>
    <w:p>
      <w:pPr>
        <w:pStyle w:val="ListParagraph"/>
        <w:numPr>
          <w:ilvl w:val="0"/>
          <w:numId w:val="59"/>
        </w:numPr>
        <w:tabs>
          <w:tab w:pos="1438" w:val="left" w:leader="none"/>
        </w:tabs>
        <w:spacing w:line="360" w:lineRule="auto" w:before="5" w:after="0"/>
        <w:ind w:left="742" w:right="119" w:hanging="360"/>
        <w:jc w:val="both"/>
        <w:rPr>
          <w:sz w:val="28"/>
        </w:rPr>
      </w:pPr>
      <w:r>
        <w:rPr>
          <w:sz w:val="28"/>
        </w:rPr>
        <w:t>Fujimoto S., Shrestha R.D., Kobayashi K., Koike S., Kokubun M., Kiuchi S., Takahashi M., Konno C., Okui K. Combined treatment with surgery and intraperitoneal hyperthermic perfusion (IPHP) for </w:t>
      </w:r>
      <w:r>
        <w:rPr>
          <w:spacing w:val="2"/>
          <w:sz w:val="28"/>
        </w:rPr>
        <w:t>far- </w:t>
      </w:r>
      <w:r>
        <w:rPr>
          <w:sz w:val="28"/>
        </w:rPr>
        <w:t>advanced gastrointestinal cancer with peritoneal seeding // Acta Med. Austriaca. – 1989. – Vol. 16, №. 3-4. – P.</w:t>
      </w:r>
      <w:r>
        <w:rPr>
          <w:spacing w:val="-18"/>
          <w:sz w:val="28"/>
        </w:rPr>
        <w:t> </w:t>
      </w:r>
      <w:r>
        <w:rPr>
          <w:sz w:val="28"/>
        </w:rPr>
        <w:t>76-80.</w:t>
      </w:r>
    </w:p>
    <w:p>
      <w:pPr>
        <w:pStyle w:val="ListParagraph"/>
        <w:numPr>
          <w:ilvl w:val="0"/>
          <w:numId w:val="59"/>
        </w:numPr>
        <w:tabs>
          <w:tab w:pos="1438" w:val="left" w:leader="none"/>
        </w:tabs>
        <w:spacing w:line="360" w:lineRule="auto" w:before="5" w:after="0"/>
        <w:ind w:left="742" w:right="121" w:hanging="360"/>
        <w:jc w:val="both"/>
        <w:rPr>
          <w:sz w:val="28"/>
        </w:rPr>
      </w:pPr>
      <w:r>
        <w:rPr>
          <w:sz w:val="28"/>
        </w:rPr>
        <w:t>Fuller A.G. Diagnosis and management of lymph node metastases from endometrial carcinoma // Eur. J. Gynaec. Oncol. - 1991.- Vol. XII.- N 3-4.- p.</w:t>
      </w:r>
      <w:r>
        <w:rPr>
          <w:spacing w:val="-5"/>
          <w:sz w:val="28"/>
        </w:rPr>
        <w:t> </w:t>
      </w:r>
      <w:r>
        <w:rPr>
          <w:sz w:val="28"/>
        </w:rPr>
        <w:t>233-236.</w:t>
      </w:r>
    </w:p>
    <w:p>
      <w:pPr>
        <w:pStyle w:val="ListParagraph"/>
        <w:numPr>
          <w:ilvl w:val="0"/>
          <w:numId w:val="59"/>
        </w:numPr>
        <w:tabs>
          <w:tab w:pos="1437" w:val="left" w:leader="none"/>
          <w:tab w:pos="1438" w:val="left" w:leader="none"/>
        </w:tabs>
        <w:spacing w:line="360" w:lineRule="auto" w:before="5" w:after="0"/>
        <w:ind w:left="742" w:right="364" w:hanging="360"/>
        <w:jc w:val="left"/>
        <w:rPr>
          <w:sz w:val="28"/>
        </w:rPr>
      </w:pPr>
      <w:r>
        <w:rPr>
          <w:sz w:val="28"/>
        </w:rPr>
        <w:t>Galaal K., Bryant A., Fisher A.D. Laparoscopy versus</w:t>
      </w:r>
      <w:r>
        <w:rPr>
          <w:spacing w:val="-20"/>
          <w:sz w:val="28"/>
        </w:rPr>
        <w:t> </w:t>
      </w:r>
      <w:r>
        <w:rPr>
          <w:sz w:val="28"/>
        </w:rPr>
        <w:t>laparotomy for the management of early stage endometrial cancer (Review // Cochrane Database Syst. Rev. – 2012. – Vol. 9. –</w:t>
      </w:r>
      <w:r>
        <w:rPr>
          <w:spacing w:val="-26"/>
          <w:sz w:val="28"/>
        </w:rPr>
        <w:t> </w:t>
      </w:r>
      <w:r>
        <w:rPr>
          <w:sz w:val="28"/>
        </w:rPr>
        <w:t>CD006655</w:t>
      </w:r>
    </w:p>
    <w:p>
      <w:pPr>
        <w:pStyle w:val="ListParagraph"/>
        <w:numPr>
          <w:ilvl w:val="0"/>
          <w:numId w:val="59"/>
        </w:numPr>
        <w:tabs>
          <w:tab w:pos="1438" w:val="left" w:leader="none"/>
        </w:tabs>
        <w:spacing w:line="360" w:lineRule="auto" w:before="5" w:after="0"/>
        <w:ind w:left="742" w:right="118" w:hanging="360"/>
        <w:jc w:val="both"/>
        <w:rPr>
          <w:sz w:val="28"/>
        </w:rPr>
      </w:pPr>
      <w:r>
        <w:rPr>
          <w:sz w:val="28"/>
        </w:rPr>
        <w:t>Gati E., Sugar J., Szentirmay Z., Totossy B. Prognostic pathology  of epithelial ovarian tumors // Libri oncol. – 1986. – Vol. 15, № 1-2. – Р. 5-9.</w:t>
      </w:r>
    </w:p>
    <w:p>
      <w:pPr>
        <w:spacing w:after="0" w:line="360" w:lineRule="auto"/>
        <w:jc w:val="both"/>
        <w:rPr>
          <w:sz w:val="28"/>
        </w:rPr>
        <w:sectPr>
          <w:headerReference w:type="default" r:id="rId202"/>
          <w:pgSz w:w="11900" w:h="16850"/>
          <w:pgMar w:header="712" w:footer="0" w:top="1020" w:bottom="280" w:left="1680" w:right="1000"/>
          <w:pgNumType w:start="305"/>
        </w:sectPr>
      </w:pPr>
    </w:p>
    <w:p>
      <w:pPr>
        <w:pStyle w:val="ListParagraph"/>
        <w:numPr>
          <w:ilvl w:val="0"/>
          <w:numId w:val="59"/>
        </w:numPr>
        <w:tabs>
          <w:tab w:pos="1438" w:val="left" w:leader="none"/>
        </w:tabs>
        <w:spacing w:line="360" w:lineRule="auto" w:before="88" w:after="0"/>
        <w:ind w:left="742" w:right="103" w:hanging="360"/>
        <w:jc w:val="both"/>
        <w:rPr>
          <w:sz w:val="28"/>
        </w:rPr>
      </w:pPr>
      <w:r>
        <w:rPr>
          <w:sz w:val="28"/>
        </w:rPr>
        <w:t>Gerbaulet A., Lartigau E. et al. How  can  laparoscopic  management assist radiation treatment in cervix carcinoma? // Radither. and Oncol. – 1999. - Vol.51, №1. –</w:t>
      </w:r>
      <w:r>
        <w:rPr>
          <w:spacing w:val="-18"/>
          <w:sz w:val="28"/>
        </w:rPr>
        <w:t> </w:t>
      </w:r>
      <w:r>
        <w:rPr>
          <w:sz w:val="28"/>
        </w:rPr>
        <w:t>P.9-13.</w:t>
      </w:r>
    </w:p>
    <w:p>
      <w:pPr>
        <w:pStyle w:val="ListParagraph"/>
        <w:numPr>
          <w:ilvl w:val="0"/>
          <w:numId w:val="59"/>
        </w:numPr>
        <w:tabs>
          <w:tab w:pos="1438" w:val="left" w:leader="none"/>
        </w:tabs>
        <w:spacing w:line="362" w:lineRule="auto" w:before="5" w:after="0"/>
        <w:ind w:left="742" w:right="105" w:hanging="360"/>
        <w:jc w:val="both"/>
        <w:rPr>
          <w:sz w:val="28"/>
        </w:rPr>
      </w:pPr>
      <w:r>
        <w:rPr>
          <w:sz w:val="28"/>
        </w:rPr>
        <w:t>Ghezzi F., Cromi A., Bergamini V. Laparoscopic management of endometrial cancer in obese and non obese women: a consecutive</w:t>
      </w:r>
      <w:r>
        <w:rPr>
          <w:spacing w:val="-25"/>
          <w:sz w:val="28"/>
        </w:rPr>
        <w:t> </w:t>
      </w:r>
      <w:r>
        <w:rPr>
          <w:sz w:val="28"/>
        </w:rPr>
        <w:t>analysis</w:t>
      </w:r>
    </w:p>
    <w:p>
      <w:pPr>
        <w:pStyle w:val="BodyText"/>
        <w:spacing w:before="2"/>
        <w:ind w:left="741"/>
      </w:pPr>
      <w:r>
        <w:rPr/>
        <w:t>// J Minim. Invasive Gynecol. – 2006. – Vol. 13. – Р. 269 – 275.</w:t>
      </w:r>
    </w:p>
    <w:p>
      <w:pPr>
        <w:pStyle w:val="ListParagraph"/>
        <w:numPr>
          <w:ilvl w:val="0"/>
          <w:numId w:val="59"/>
        </w:numPr>
        <w:tabs>
          <w:tab w:pos="1438" w:val="left" w:leader="none"/>
        </w:tabs>
        <w:spacing w:line="360" w:lineRule="auto" w:before="160" w:after="0"/>
        <w:ind w:left="742" w:right="99" w:hanging="360"/>
        <w:jc w:val="both"/>
        <w:rPr>
          <w:sz w:val="28"/>
        </w:rPr>
      </w:pPr>
      <w:hyperlink r:id="rId204">
        <w:r>
          <w:rPr>
            <w:color w:val="0000FF"/>
            <w:sz w:val="28"/>
            <w:u w:val="single" w:color="0000FF"/>
          </w:rPr>
          <w:t>Godard B</w:t>
        </w:r>
      </w:hyperlink>
      <w:r>
        <w:rPr>
          <w:sz w:val="28"/>
        </w:rPr>
        <w:t>., </w:t>
      </w:r>
      <w:hyperlink r:id="rId205">
        <w:r>
          <w:rPr>
            <w:color w:val="0000FF"/>
            <w:sz w:val="28"/>
            <w:u w:val="single" w:color="0000FF"/>
          </w:rPr>
          <w:t>Foulkes W.D</w:t>
        </w:r>
      </w:hyperlink>
      <w:r>
        <w:rPr>
          <w:sz w:val="28"/>
        </w:rPr>
        <w:t>., </w:t>
      </w:r>
      <w:hyperlink r:id="rId206">
        <w:r>
          <w:rPr>
            <w:color w:val="0000FF"/>
            <w:sz w:val="28"/>
            <w:u w:val="single" w:color="0000FF"/>
          </w:rPr>
          <w:t>Provencher D</w:t>
        </w:r>
      </w:hyperlink>
      <w:r>
        <w:rPr>
          <w:sz w:val="28"/>
        </w:rPr>
        <w:t>. et al. Risk factors for familial and sporadic ovarian cancer among French Canadians: a case- control study </w:t>
      </w:r>
      <w:r>
        <w:rPr>
          <w:color w:val="0000FF"/>
          <w:sz w:val="28"/>
          <w:u w:val="single" w:color="0000FF"/>
        </w:rPr>
        <w:t>// Am J Obstet Gynecol. </w:t>
      </w:r>
      <w:r>
        <w:rPr>
          <w:sz w:val="28"/>
        </w:rPr>
        <w:t>1998</w:t>
      </w:r>
      <w:r>
        <w:rPr>
          <w:spacing w:val="-25"/>
          <w:sz w:val="28"/>
        </w:rPr>
        <w:t> </w:t>
      </w:r>
      <w:r>
        <w:rPr>
          <w:sz w:val="28"/>
        </w:rPr>
        <w:t>Aug;179(2):403-10.</w:t>
      </w:r>
    </w:p>
    <w:p>
      <w:pPr>
        <w:pStyle w:val="ListParagraph"/>
        <w:numPr>
          <w:ilvl w:val="0"/>
          <w:numId w:val="59"/>
        </w:numPr>
        <w:tabs>
          <w:tab w:pos="1438" w:val="left" w:leader="none"/>
        </w:tabs>
        <w:spacing w:line="360" w:lineRule="auto" w:before="5" w:after="0"/>
        <w:ind w:left="742" w:right="100" w:hanging="360"/>
        <w:jc w:val="both"/>
        <w:rPr>
          <w:sz w:val="28"/>
        </w:rPr>
      </w:pPr>
      <w:r>
        <w:rPr>
          <w:sz w:val="28"/>
        </w:rPr>
        <w:t>Gold MA., </w:t>
      </w:r>
      <w:hyperlink r:id="rId207">
        <w:r>
          <w:rPr>
            <w:sz w:val="28"/>
          </w:rPr>
          <w:t>Tian</w:t>
        </w:r>
      </w:hyperlink>
      <w:r>
        <w:rPr>
          <w:sz w:val="28"/>
        </w:rPr>
        <w:t> C., </w:t>
      </w:r>
      <w:hyperlink r:id="rId208">
        <w:r>
          <w:rPr>
            <w:sz w:val="28"/>
          </w:rPr>
          <w:t>Whitney</w:t>
        </w:r>
      </w:hyperlink>
      <w:r>
        <w:rPr>
          <w:sz w:val="28"/>
        </w:rPr>
        <w:t> CW. Surgical versus radiographic determination of para-aortic lymph node metastases before chemoradiation for locally advanced cervical carcinoma: a Gynecologic Oncology Group Study </w:t>
      </w:r>
      <w:hyperlink r:id="rId209">
        <w:r>
          <w:rPr>
            <w:sz w:val="28"/>
          </w:rPr>
          <w:t>//</w:t>
        </w:r>
      </w:hyperlink>
      <w:r>
        <w:rPr>
          <w:sz w:val="28"/>
        </w:rPr>
        <w:t> </w:t>
      </w:r>
      <w:hyperlink r:id="rId209">
        <w:r>
          <w:rPr>
            <w:sz w:val="28"/>
          </w:rPr>
          <w:t>Cancer.</w:t>
        </w:r>
      </w:hyperlink>
      <w:r>
        <w:rPr>
          <w:sz w:val="28"/>
        </w:rPr>
        <w:t> </w:t>
      </w:r>
      <w:hyperlink r:id="rId209">
        <w:r>
          <w:rPr>
            <w:sz w:val="28"/>
          </w:rPr>
          <w:t>– 2008, May 1. – Vol.112, №9.</w:t>
        </w:r>
      </w:hyperlink>
      <w:r>
        <w:rPr>
          <w:sz w:val="28"/>
        </w:rPr>
        <w:t> </w:t>
      </w:r>
      <w:hyperlink r:id="rId209">
        <w:r>
          <w:rPr>
            <w:sz w:val="28"/>
          </w:rPr>
          <w:t>P.1954-63.</w:t>
        </w:r>
      </w:hyperlink>
      <w:r>
        <w:rPr>
          <w:sz w:val="28"/>
        </w:rPr>
        <w:t> [Электронный ресурс]. URL: http://www.nc bi.nlm.nih.gov/pubmed/18338811? dopt=Abstract(дата обращения: 29.03.2015).</w:t>
      </w:r>
    </w:p>
    <w:p>
      <w:pPr>
        <w:pStyle w:val="ListParagraph"/>
        <w:numPr>
          <w:ilvl w:val="0"/>
          <w:numId w:val="59"/>
        </w:numPr>
        <w:tabs>
          <w:tab w:pos="1438" w:val="left" w:leader="none"/>
        </w:tabs>
        <w:spacing w:line="360" w:lineRule="auto" w:before="5" w:after="0"/>
        <w:ind w:left="742" w:right="99" w:hanging="360"/>
        <w:jc w:val="both"/>
        <w:rPr>
          <w:sz w:val="28"/>
        </w:rPr>
      </w:pPr>
      <w:r>
        <w:rPr>
          <w:sz w:val="28"/>
        </w:rPr>
        <w:t>Greco A., Mason P., Leung A.W. et al. Staging of carcinoma of the uterine cervix: MRI – surgical correlation // Clin. Radiol. – 1989. -  Vol.40, №4. –</w:t>
      </w:r>
      <w:r>
        <w:rPr>
          <w:spacing w:val="-10"/>
          <w:sz w:val="28"/>
        </w:rPr>
        <w:t> </w:t>
      </w:r>
      <w:r>
        <w:rPr>
          <w:sz w:val="28"/>
        </w:rPr>
        <w:t>P.401-405.</w:t>
      </w:r>
    </w:p>
    <w:p>
      <w:pPr>
        <w:pStyle w:val="ListParagraph"/>
        <w:numPr>
          <w:ilvl w:val="0"/>
          <w:numId w:val="59"/>
        </w:numPr>
        <w:tabs>
          <w:tab w:pos="1437" w:val="left" w:leader="none"/>
          <w:tab w:pos="1438" w:val="left" w:leader="none"/>
        </w:tabs>
        <w:spacing w:line="360" w:lineRule="auto" w:before="5" w:after="0"/>
        <w:ind w:left="742" w:right="347" w:hanging="360"/>
        <w:jc w:val="left"/>
        <w:rPr>
          <w:sz w:val="28"/>
        </w:rPr>
      </w:pPr>
      <w:r>
        <w:rPr>
          <w:sz w:val="28"/>
        </w:rPr>
        <w:t>Grigsby P.W., Siegel B.A., Dehdashti F. et al. Posttherapy [18F] fluorodeoxyglucose positron emission tomography in carci- noma of the cervix: response and outcome // J. Clin. Oncol. 2004. Vol. 22. P. 2167– 2171.</w:t>
      </w:r>
    </w:p>
    <w:p>
      <w:pPr>
        <w:pStyle w:val="ListParagraph"/>
        <w:numPr>
          <w:ilvl w:val="0"/>
          <w:numId w:val="59"/>
        </w:numPr>
        <w:tabs>
          <w:tab w:pos="1437" w:val="left" w:leader="none"/>
          <w:tab w:pos="1438" w:val="left" w:leader="none"/>
        </w:tabs>
        <w:spacing w:line="360" w:lineRule="auto" w:before="5" w:after="0"/>
        <w:ind w:left="742" w:right="680" w:hanging="360"/>
        <w:jc w:val="left"/>
        <w:rPr>
          <w:sz w:val="28"/>
        </w:rPr>
      </w:pPr>
      <w:r>
        <w:rPr>
          <w:sz w:val="28"/>
        </w:rPr>
        <w:t>Gunderson C.C., Java J., Moore K.N. The impact of obesity on surgical staging, complications, and survival with uterine cancer: a Gynecologic Oncology Group LAP2 ancillary data study // Gynecol. Oncol. – 2014. – Vol. 133 (1). – P.</w:t>
      </w:r>
      <w:r>
        <w:rPr>
          <w:spacing w:val="-16"/>
          <w:sz w:val="28"/>
        </w:rPr>
        <w:t> </w:t>
      </w:r>
      <w:r>
        <w:rPr>
          <w:sz w:val="28"/>
        </w:rPr>
        <w:t>23-27</w:t>
      </w:r>
    </w:p>
    <w:p>
      <w:pPr>
        <w:spacing w:after="0" w:line="360" w:lineRule="auto"/>
        <w:jc w:val="left"/>
        <w:rPr>
          <w:sz w:val="28"/>
        </w:rPr>
        <w:sectPr>
          <w:pgSz w:w="11900" w:h="16850"/>
          <w:pgMar w:header="712" w:footer="0" w:top="1020" w:bottom="280" w:left="1680" w:right="1020"/>
        </w:sectPr>
      </w:pPr>
    </w:p>
    <w:p>
      <w:pPr>
        <w:pStyle w:val="ListParagraph"/>
        <w:numPr>
          <w:ilvl w:val="0"/>
          <w:numId w:val="59"/>
        </w:numPr>
        <w:tabs>
          <w:tab w:pos="1438" w:val="left" w:leader="none"/>
        </w:tabs>
        <w:spacing w:line="360" w:lineRule="auto" w:before="0" w:after="0"/>
        <w:ind w:left="742" w:right="102" w:hanging="360"/>
        <w:jc w:val="both"/>
        <w:rPr>
          <w:sz w:val="28"/>
        </w:rPr>
      </w:pPr>
      <w:r>
        <w:rPr>
          <w:sz w:val="28"/>
        </w:rPr>
        <w:t>Hann Lucy E.  Imaging  Techniques  in  the  staging  of  gynecologic malignancy / Lucy E.Hann, Madeline S. Crivello // Clin. Obstet. And Gynecol. – 1986. -Vol.29, №3. –</w:t>
      </w:r>
      <w:r>
        <w:rPr>
          <w:spacing w:val="-22"/>
          <w:sz w:val="28"/>
        </w:rPr>
        <w:t> </w:t>
      </w:r>
      <w:r>
        <w:rPr>
          <w:sz w:val="28"/>
        </w:rPr>
        <w:t>P.715-727.</w:t>
      </w:r>
    </w:p>
    <w:p>
      <w:pPr>
        <w:pStyle w:val="ListParagraph"/>
        <w:numPr>
          <w:ilvl w:val="0"/>
          <w:numId w:val="59"/>
        </w:numPr>
        <w:tabs>
          <w:tab w:pos="1438" w:val="left" w:leader="none"/>
        </w:tabs>
        <w:spacing w:line="360" w:lineRule="auto" w:before="6" w:after="0"/>
        <w:ind w:left="742" w:right="100" w:hanging="360"/>
        <w:jc w:val="both"/>
        <w:rPr>
          <w:sz w:val="28"/>
        </w:rPr>
      </w:pPr>
      <w:r>
        <w:rPr>
          <w:sz w:val="28"/>
        </w:rPr>
        <w:t>Harter P., Du Bois A., Hahmann M., et al. Surgery in recurrent ovarian cancer: the Arbeitsgemeinschaft Gynaekologische Onkologie (AGO) DESKTOP OVAR trial // Ann. Surg. Oncol. - 2006. – Vol. 13, №. 12. – P.</w:t>
      </w:r>
      <w:r>
        <w:rPr>
          <w:spacing w:val="-9"/>
          <w:sz w:val="28"/>
        </w:rPr>
        <w:t> </w:t>
      </w:r>
      <w:r>
        <w:rPr>
          <w:sz w:val="28"/>
        </w:rPr>
        <w:t>1702-1710.</w:t>
      </w:r>
    </w:p>
    <w:p>
      <w:pPr>
        <w:pStyle w:val="ListParagraph"/>
        <w:numPr>
          <w:ilvl w:val="0"/>
          <w:numId w:val="59"/>
        </w:numPr>
        <w:tabs>
          <w:tab w:pos="1438" w:val="left" w:leader="none"/>
        </w:tabs>
        <w:spacing w:line="360" w:lineRule="auto" w:before="5" w:after="0"/>
        <w:ind w:left="742" w:right="99" w:hanging="360"/>
        <w:jc w:val="both"/>
        <w:rPr>
          <w:sz w:val="28"/>
        </w:rPr>
      </w:pPr>
      <w:r>
        <w:rPr>
          <w:sz w:val="28"/>
        </w:rPr>
        <w:t>Hatch Kenneth D. Hallum Alton V., Surwit Earl A., The role of laparoscopy in gynecologic oncology: Amer. Cancer Soc. Nat. Conf. Gynecol. Cancers. Washington, D.C., Apr. 6-8, 1995 // Cancer. – 1995. - Vol.76, №10. – P.2113-2116. [Электронный ресурс]. URL: </w:t>
      </w:r>
      <w:hyperlink r:id="rId210">
        <w:r>
          <w:rPr>
            <w:color w:val="0000FF"/>
            <w:sz w:val="28"/>
            <w:u w:val="single" w:color="0000FF"/>
          </w:rPr>
          <w:t>http://www.ncbi.nlm.nih.gov/pubmed/8635009 </w:t>
        </w:r>
      </w:hyperlink>
      <w:r>
        <w:rPr>
          <w:sz w:val="28"/>
        </w:rPr>
        <w:t>(дата обращения: 28.03.2015).</w:t>
      </w:r>
    </w:p>
    <w:p>
      <w:pPr>
        <w:pStyle w:val="ListParagraph"/>
        <w:numPr>
          <w:ilvl w:val="0"/>
          <w:numId w:val="59"/>
        </w:numPr>
        <w:tabs>
          <w:tab w:pos="1438" w:val="left" w:leader="none"/>
        </w:tabs>
        <w:spacing w:line="360" w:lineRule="auto" w:before="5" w:after="0"/>
        <w:ind w:left="742" w:right="110" w:hanging="360"/>
        <w:jc w:val="both"/>
        <w:rPr>
          <w:sz w:val="28"/>
        </w:rPr>
      </w:pPr>
      <w:r>
        <w:rPr>
          <w:sz w:val="28"/>
        </w:rPr>
        <w:t>Hawnaur J. M. Staging of cervical and endometrial carcinoma / J. M. Hawnaur // Clin. Radiol. – 1993. - Vol.47, №1. –</w:t>
      </w:r>
      <w:r>
        <w:rPr>
          <w:spacing w:val="-28"/>
          <w:sz w:val="28"/>
        </w:rPr>
        <w:t> </w:t>
      </w:r>
      <w:r>
        <w:rPr>
          <w:sz w:val="28"/>
        </w:rPr>
        <w:t>P.7-13.</w:t>
      </w:r>
    </w:p>
    <w:p>
      <w:pPr>
        <w:pStyle w:val="ListParagraph"/>
        <w:numPr>
          <w:ilvl w:val="0"/>
          <w:numId w:val="59"/>
        </w:numPr>
        <w:tabs>
          <w:tab w:pos="1438" w:val="left" w:leader="none"/>
          <w:tab w:pos="4979" w:val="left" w:leader="none"/>
          <w:tab w:pos="8457" w:val="left" w:leader="none"/>
        </w:tabs>
        <w:spacing w:line="360" w:lineRule="auto" w:before="8" w:after="0"/>
        <w:ind w:left="742" w:right="99" w:hanging="360"/>
        <w:jc w:val="both"/>
        <w:rPr>
          <w:sz w:val="28"/>
        </w:rPr>
      </w:pPr>
      <w:r>
        <w:rPr>
          <w:sz w:val="28"/>
        </w:rPr>
        <w:t>Heller P.B., </w:t>
      </w:r>
      <w:hyperlink r:id="rId211">
        <w:r>
          <w:rPr>
            <w:sz w:val="28"/>
          </w:rPr>
          <w:t>Maletano</w:t>
        </w:r>
      </w:hyperlink>
      <w:r>
        <w:rPr>
          <w:sz w:val="28"/>
        </w:rPr>
        <w:t> J.H., </w:t>
      </w:r>
      <w:hyperlink r:id="rId212">
        <w:r>
          <w:rPr>
            <w:sz w:val="28"/>
          </w:rPr>
          <w:t>Bundy</w:t>
        </w:r>
      </w:hyperlink>
      <w:r>
        <w:rPr>
          <w:sz w:val="28"/>
        </w:rPr>
        <w:t> B.N. Clinical-pathologic study  of stage IIB, III, and IVA carcinoma of the cervix: extended diagnostic evaluation for paraaortic node metastasis - a Gynecologic Oncology Group study </w:t>
      </w:r>
      <w:hyperlink r:id="rId213">
        <w:r>
          <w:rPr>
            <w:sz w:val="28"/>
          </w:rPr>
          <w:t>//</w:t>
        </w:r>
      </w:hyperlink>
      <w:r>
        <w:rPr>
          <w:sz w:val="28"/>
        </w:rPr>
        <w:t> </w:t>
      </w:r>
      <w:hyperlink r:id="rId214">
        <w:r>
          <w:rPr>
            <w:sz w:val="28"/>
          </w:rPr>
          <w:t>Gynecol.Oncol.</w:t>
        </w:r>
      </w:hyperlink>
      <w:r>
        <w:rPr>
          <w:sz w:val="28"/>
        </w:rPr>
        <w:t> – 1990,Sep. – Vol.38, №3. – P.425-30. [Электронный</w:t>
        <w:tab/>
        <w:t>ресурс].</w:t>
        <w:tab/>
        <w:t>URL: </w:t>
      </w:r>
      <w:hyperlink r:id="rId215">
        <w:r>
          <w:rPr>
            <w:color w:val="0000FF"/>
            <w:sz w:val="28"/>
            <w:u w:val="single" w:color="0000FF"/>
          </w:rPr>
          <w:t>http://www.ncbi.nlm.nih.gov/pubmed/</w:t>
        </w:r>
      </w:hyperlink>
      <w:r>
        <w:rPr>
          <w:sz w:val="28"/>
        </w:rPr>
        <w:t>2227556 (дата обращения: 01.04.2015).</w:t>
      </w:r>
    </w:p>
    <w:p>
      <w:pPr>
        <w:pStyle w:val="ListParagraph"/>
        <w:numPr>
          <w:ilvl w:val="0"/>
          <w:numId w:val="59"/>
        </w:numPr>
        <w:tabs>
          <w:tab w:pos="1438" w:val="left" w:leader="none"/>
        </w:tabs>
        <w:spacing w:line="360" w:lineRule="auto" w:before="5" w:after="0"/>
        <w:ind w:left="742" w:right="102" w:hanging="360"/>
        <w:jc w:val="both"/>
        <w:rPr>
          <w:sz w:val="28"/>
        </w:rPr>
      </w:pPr>
      <w:r>
        <w:rPr>
          <w:sz w:val="28"/>
        </w:rPr>
        <w:t>Hertel H., Köhler C., Schneider A. Laparoscopic-assisted radical vaginal hysterectomy (LARVH): prospective evaluation of 200 patients with cervical cancer. — Gynecol. Oncol., 2003, Vol.90(3)</w:t>
      </w:r>
      <w:r>
        <w:rPr>
          <w:spacing w:val="-28"/>
          <w:sz w:val="28"/>
        </w:rPr>
        <w:t> </w:t>
      </w:r>
      <w:r>
        <w:rPr>
          <w:sz w:val="28"/>
        </w:rPr>
        <w:t>P.505-511.</w:t>
      </w:r>
    </w:p>
    <w:p>
      <w:pPr>
        <w:pStyle w:val="ListParagraph"/>
        <w:numPr>
          <w:ilvl w:val="0"/>
          <w:numId w:val="59"/>
        </w:numPr>
        <w:tabs>
          <w:tab w:pos="1438" w:val="left" w:leader="none"/>
        </w:tabs>
        <w:spacing w:line="360" w:lineRule="auto" w:before="4" w:after="0"/>
        <w:ind w:left="742" w:right="102" w:hanging="360"/>
        <w:jc w:val="both"/>
        <w:rPr>
          <w:sz w:val="28"/>
        </w:rPr>
      </w:pPr>
      <w:r>
        <w:rPr>
          <w:sz w:val="28"/>
        </w:rPr>
        <w:t>Izumi T., Kyushima N., Genda T., Kobayashi N., Kanai T., Wakita K., Kuramoto H. Margin clearance and HPV infection do not influence the cure rates of early neoplasia of the uterine cervix by laser  </w:t>
      </w:r>
      <w:r>
        <w:rPr>
          <w:spacing w:val="40"/>
          <w:sz w:val="28"/>
        </w:rPr>
        <w:t> </w:t>
      </w:r>
      <w:r>
        <w:rPr>
          <w:sz w:val="28"/>
        </w:rPr>
        <w:t>conization.</w:t>
      </w:r>
    </w:p>
    <w:p>
      <w:pPr>
        <w:pStyle w:val="BodyText"/>
        <w:spacing w:before="7"/>
        <w:ind w:left="741"/>
      </w:pPr>
      <w:r>
        <w:rPr/>
        <w:t>// Eur. j. gynaecol. oncol. – 2000. – 21(3): 251-254.</w:t>
      </w:r>
    </w:p>
    <w:p>
      <w:pPr>
        <w:spacing w:after="0"/>
        <w:sectPr>
          <w:pgSz w:w="11900" w:h="16850"/>
          <w:pgMar w:header="712" w:footer="0" w:top="1020" w:bottom="280" w:left="1680" w:right="1020"/>
        </w:sectPr>
      </w:pPr>
    </w:p>
    <w:p>
      <w:pPr>
        <w:pStyle w:val="ListParagraph"/>
        <w:numPr>
          <w:ilvl w:val="0"/>
          <w:numId w:val="59"/>
        </w:numPr>
        <w:tabs>
          <w:tab w:pos="1438" w:val="left" w:leader="none"/>
        </w:tabs>
        <w:spacing w:line="360" w:lineRule="auto" w:before="0" w:after="0"/>
        <w:ind w:left="742" w:right="104" w:hanging="360"/>
        <w:jc w:val="both"/>
        <w:rPr>
          <w:sz w:val="28"/>
        </w:rPr>
      </w:pPr>
      <w:r>
        <w:rPr>
          <w:sz w:val="28"/>
        </w:rPr>
        <w:t>Jacobi C.A., Ordermann J., Bohm B. et al. The influence of laparotomy and laparoscopy on tumour growth in a rat model. Surg Endosc 1997;11:</w:t>
      </w:r>
      <w:r>
        <w:rPr>
          <w:spacing w:val="-35"/>
          <w:sz w:val="28"/>
        </w:rPr>
        <w:t> </w:t>
      </w:r>
      <w:r>
        <w:rPr>
          <w:sz w:val="28"/>
        </w:rPr>
        <w:t>618-21.</w:t>
      </w:r>
    </w:p>
    <w:p>
      <w:pPr>
        <w:pStyle w:val="ListParagraph"/>
        <w:numPr>
          <w:ilvl w:val="0"/>
          <w:numId w:val="59"/>
        </w:numPr>
        <w:tabs>
          <w:tab w:pos="1438" w:val="left" w:leader="none"/>
        </w:tabs>
        <w:spacing w:line="360" w:lineRule="auto" w:before="6" w:after="0"/>
        <w:ind w:left="742" w:right="104" w:hanging="360"/>
        <w:jc w:val="both"/>
        <w:rPr>
          <w:sz w:val="28"/>
        </w:rPr>
      </w:pPr>
      <w:r>
        <w:rPr>
          <w:sz w:val="28"/>
        </w:rPr>
        <w:t>Jacobs I., Davies A.P., Bridges J. et al. Prevalense screening for ovarian cancer in postmenopausal women by CA 125 measurement and ultrasonography // Br. Med. J. — 1993. — Vol. — 306. — P.</w:t>
      </w:r>
      <w:r>
        <w:rPr>
          <w:spacing w:val="-25"/>
          <w:sz w:val="28"/>
        </w:rPr>
        <w:t> </w:t>
      </w:r>
      <w:r>
        <w:rPr>
          <w:sz w:val="28"/>
        </w:rPr>
        <w:t>1030.</w:t>
      </w:r>
    </w:p>
    <w:p>
      <w:pPr>
        <w:pStyle w:val="ListParagraph"/>
        <w:numPr>
          <w:ilvl w:val="0"/>
          <w:numId w:val="59"/>
        </w:numPr>
        <w:tabs>
          <w:tab w:pos="1438" w:val="left" w:leader="none"/>
        </w:tabs>
        <w:spacing w:line="360" w:lineRule="auto" w:before="8" w:after="0"/>
        <w:ind w:left="742" w:right="100" w:hanging="360"/>
        <w:jc w:val="both"/>
        <w:rPr>
          <w:sz w:val="28"/>
        </w:rPr>
      </w:pPr>
      <w:r>
        <w:rPr>
          <w:sz w:val="28"/>
        </w:rPr>
        <w:t>Johnson L.D., Hertig A.T., Hinman C.H., Easterday C.L. Preinvasive cervical lesions in obstetrics patients. // Obset. gynecol. – 1960. Vol.16. –</w:t>
      </w:r>
      <w:r>
        <w:rPr>
          <w:spacing w:val="-9"/>
          <w:sz w:val="28"/>
        </w:rPr>
        <w:t> </w:t>
      </w:r>
      <w:r>
        <w:rPr>
          <w:sz w:val="28"/>
        </w:rPr>
        <w:t>P.1333.</w:t>
      </w:r>
    </w:p>
    <w:p>
      <w:pPr>
        <w:pStyle w:val="ListParagraph"/>
        <w:numPr>
          <w:ilvl w:val="0"/>
          <w:numId w:val="59"/>
        </w:numPr>
        <w:tabs>
          <w:tab w:pos="1438" w:val="left" w:leader="none"/>
        </w:tabs>
        <w:spacing w:line="360" w:lineRule="auto" w:before="5" w:after="0"/>
        <w:ind w:left="742" w:right="108" w:hanging="360"/>
        <w:jc w:val="both"/>
        <w:rPr>
          <w:sz w:val="28"/>
        </w:rPr>
      </w:pPr>
      <w:r>
        <w:rPr>
          <w:sz w:val="28"/>
        </w:rPr>
        <w:t>Jones Walter B. Surgical approaches for advanced or recurrent cancer of the cervix  // Cancer. – 1987. - Vol.60, №8. –</w:t>
      </w:r>
      <w:r>
        <w:rPr>
          <w:spacing w:val="-24"/>
          <w:sz w:val="28"/>
        </w:rPr>
        <w:t> </w:t>
      </w:r>
      <w:r>
        <w:rPr>
          <w:sz w:val="28"/>
        </w:rPr>
        <w:t>P.2094-2103.</w:t>
      </w:r>
    </w:p>
    <w:p>
      <w:pPr>
        <w:pStyle w:val="ListParagraph"/>
        <w:numPr>
          <w:ilvl w:val="0"/>
          <w:numId w:val="59"/>
        </w:numPr>
        <w:tabs>
          <w:tab w:pos="1438" w:val="left" w:leader="none"/>
        </w:tabs>
        <w:spacing w:line="360" w:lineRule="auto" w:before="127" w:after="0"/>
        <w:ind w:left="742" w:right="103" w:hanging="360"/>
        <w:jc w:val="both"/>
        <w:rPr>
          <w:sz w:val="28"/>
        </w:rPr>
      </w:pPr>
      <w:r>
        <w:rPr>
          <w:sz w:val="28"/>
        </w:rPr>
        <w:t>Joslin C. A. Does radiotherapy improve prognosis in endometrial cancers? // Eur. J. Gynaec. Oncol. - 1991.- Vol. XII.- N 3.- p.</w:t>
      </w:r>
      <w:r>
        <w:rPr>
          <w:spacing w:val="-22"/>
          <w:sz w:val="28"/>
        </w:rPr>
        <w:t> </w:t>
      </w:r>
      <w:r>
        <w:rPr>
          <w:sz w:val="28"/>
        </w:rPr>
        <w:t>237.</w:t>
      </w:r>
    </w:p>
    <w:p>
      <w:pPr>
        <w:pStyle w:val="ListParagraph"/>
        <w:numPr>
          <w:ilvl w:val="0"/>
          <w:numId w:val="59"/>
        </w:numPr>
        <w:tabs>
          <w:tab w:pos="1437" w:val="left" w:leader="none"/>
          <w:tab w:pos="1438" w:val="left" w:leader="none"/>
        </w:tabs>
        <w:spacing w:line="360" w:lineRule="auto" w:before="5" w:after="0"/>
        <w:ind w:left="742" w:right="335" w:hanging="360"/>
        <w:jc w:val="left"/>
        <w:rPr>
          <w:sz w:val="28"/>
        </w:rPr>
      </w:pPr>
      <w:r>
        <w:rPr>
          <w:sz w:val="28"/>
        </w:rPr>
        <w:t>Ju W., Myung SK., Kim Y. Comparison of laparoscopy and laparotomy for management of endometrial carcinoma: a meta-analysis Korean Meta-Analysis Study Group // Int. J. Gynecol. Cancer. – 2009. – Vol. 19 (3). – P.</w:t>
      </w:r>
      <w:r>
        <w:rPr>
          <w:spacing w:val="-9"/>
          <w:sz w:val="28"/>
        </w:rPr>
        <w:t> </w:t>
      </w:r>
      <w:r>
        <w:rPr>
          <w:sz w:val="28"/>
        </w:rPr>
        <w:t>400-406.</w:t>
      </w:r>
    </w:p>
    <w:p>
      <w:pPr>
        <w:pStyle w:val="ListParagraph"/>
        <w:numPr>
          <w:ilvl w:val="0"/>
          <w:numId w:val="59"/>
        </w:numPr>
        <w:tabs>
          <w:tab w:pos="1438" w:val="left" w:leader="none"/>
        </w:tabs>
        <w:spacing w:line="360" w:lineRule="auto" w:before="5" w:after="0"/>
        <w:ind w:left="742" w:right="99" w:hanging="360"/>
        <w:jc w:val="both"/>
        <w:rPr>
          <w:sz w:val="28"/>
        </w:rPr>
      </w:pPr>
      <w:r>
        <w:rPr>
          <w:sz w:val="28"/>
        </w:rPr>
        <w:t>Kaibara N., Maeta M., Hamazoe R., Inoue Y., Koga S. Hyperthermia adjunct to surgery in the treatment of scirrhous carcinoma of the stomach // Gan To Kagaku Ryoho, Japanese. – 1988. – Vol.15, №. 4, Pt. 2-2. – P.</w:t>
      </w:r>
      <w:r>
        <w:rPr>
          <w:spacing w:val="-12"/>
          <w:sz w:val="28"/>
        </w:rPr>
        <w:t> </w:t>
      </w:r>
      <w:r>
        <w:rPr>
          <w:sz w:val="28"/>
        </w:rPr>
        <w:t>1269-1272.</w:t>
      </w:r>
    </w:p>
    <w:p>
      <w:pPr>
        <w:pStyle w:val="ListParagraph"/>
        <w:numPr>
          <w:ilvl w:val="0"/>
          <w:numId w:val="59"/>
        </w:numPr>
        <w:tabs>
          <w:tab w:pos="1438" w:val="left" w:leader="none"/>
        </w:tabs>
        <w:spacing w:line="360" w:lineRule="auto" w:before="5" w:after="0"/>
        <w:ind w:left="742" w:right="100" w:hanging="360"/>
        <w:jc w:val="both"/>
        <w:rPr>
          <w:sz w:val="28"/>
        </w:rPr>
      </w:pPr>
      <w:r>
        <w:rPr>
          <w:sz w:val="28"/>
        </w:rPr>
        <w:t>Kanuma T. et al. Evaluation of ovarian cancer treatment in Department of Obstetrics and Gynaecology, Gunma Uneversity. Retrospective study of prognostic factor // J. Jap. Soc. Cancer Ther. – 1995.  – Vol. 30, № 2.  – Р.</w:t>
      </w:r>
      <w:r>
        <w:rPr>
          <w:spacing w:val="-12"/>
          <w:sz w:val="28"/>
        </w:rPr>
        <w:t> </w:t>
      </w:r>
      <w:r>
        <w:rPr>
          <w:sz w:val="28"/>
        </w:rPr>
        <w:t>234.</w:t>
      </w:r>
    </w:p>
    <w:p>
      <w:pPr>
        <w:pStyle w:val="ListParagraph"/>
        <w:numPr>
          <w:ilvl w:val="0"/>
          <w:numId w:val="59"/>
        </w:numPr>
        <w:tabs>
          <w:tab w:pos="1438" w:val="left" w:leader="none"/>
        </w:tabs>
        <w:spacing w:line="360" w:lineRule="auto" w:before="5" w:after="0"/>
        <w:ind w:left="742" w:right="99" w:hanging="360"/>
        <w:jc w:val="both"/>
        <w:rPr>
          <w:sz w:val="28"/>
        </w:rPr>
      </w:pPr>
      <w:r>
        <w:rPr>
          <w:sz w:val="28"/>
        </w:rPr>
        <w:t>Kennedy A.W., Biscotti C.V. Further study of the management of cervical adenocarcinoma in situ. // Gynecol. oncol. – 2002. – Sep. –</w:t>
      </w:r>
      <w:r>
        <w:rPr>
          <w:spacing w:val="-13"/>
          <w:sz w:val="28"/>
        </w:rPr>
        <w:t> </w:t>
      </w:r>
      <w:r>
        <w:rPr>
          <w:sz w:val="28"/>
        </w:rPr>
        <w:t>86(3).</w:t>
      </w:r>
    </w:p>
    <w:p>
      <w:pPr>
        <w:pStyle w:val="BodyText"/>
        <w:spacing w:before="5"/>
        <w:ind w:left="741"/>
      </w:pPr>
      <w:r>
        <w:rPr/>
        <w:t>– p.361-364.</w:t>
      </w:r>
    </w:p>
    <w:p>
      <w:pPr>
        <w:spacing w:after="0"/>
        <w:sectPr>
          <w:pgSz w:w="11900" w:h="16850"/>
          <w:pgMar w:header="712" w:footer="0" w:top="1020" w:bottom="280" w:left="1680" w:right="1020"/>
        </w:sectPr>
      </w:pPr>
    </w:p>
    <w:p>
      <w:pPr>
        <w:pStyle w:val="ListParagraph"/>
        <w:numPr>
          <w:ilvl w:val="0"/>
          <w:numId w:val="59"/>
        </w:numPr>
        <w:tabs>
          <w:tab w:pos="1438" w:val="left" w:leader="none"/>
        </w:tabs>
        <w:spacing w:line="360" w:lineRule="auto" w:before="0" w:after="0"/>
        <w:ind w:left="742" w:right="100" w:hanging="360"/>
        <w:jc w:val="both"/>
        <w:rPr>
          <w:sz w:val="28"/>
        </w:rPr>
      </w:pPr>
      <w:r>
        <w:rPr>
          <w:sz w:val="28"/>
        </w:rPr>
        <w:t>Kieni   S.,   Rageth    J.C.    Laser conization and laser ablation of the transformation zone. //  Gynakol. geburtshilfliche rundsch.  – 2000.  </w:t>
      </w:r>
      <w:r>
        <w:rPr>
          <w:spacing w:val="3"/>
          <w:sz w:val="28"/>
        </w:rPr>
        <w:t> </w:t>
      </w:r>
      <w:r>
        <w:rPr>
          <w:sz w:val="28"/>
        </w:rPr>
        <w:t>–</w:t>
      </w:r>
    </w:p>
    <w:p>
      <w:pPr>
        <w:pStyle w:val="BodyText"/>
        <w:spacing w:before="8"/>
        <w:ind w:left="741"/>
      </w:pPr>
      <w:r>
        <w:rPr/>
        <w:t>№ 40(1). – p.33-40.</w:t>
      </w:r>
    </w:p>
    <w:p>
      <w:pPr>
        <w:pStyle w:val="ListParagraph"/>
        <w:numPr>
          <w:ilvl w:val="0"/>
          <w:numId w:val="59"/>
        </w:numPr>
        <w:tabs>
          <w:tab w:pos="1438" w:val="left" w:leader="none"/>
        </w:tabs>
        <w:spacing w:line="360" w:lineRule="auto" w:before="160" w:after="0"/>
        <w:ind w:left="742" w:right="107" w:hanging="360"/>
        <w:jc w:val="both"/>
        <w:rPr>
          <w:sz w:val="28"/>
        </w:rPr>
      </w:pPr>
      <w:r>
        <w:rPr>
          <w:sz w:val="28"/>
        </w:rPr>
        <w:t>Kikkawa F., Ishikawa H., Tamakoshi K., at al. Prognostic evaluation of lymphadenectomy for epithelial ovarian cancer // J. Surg. Oncol. – 1995. – Vol. 60, № 4. – P.</w:t>
      </w:r>
      <w:r>
        <w:rPr>
          <w:spacing w:val="-19"/>
          <w:sz w:val="28"/>
        </w:rPr>
        <w:t> </w:t>
      </w:r>
      <w:r>
        <w:rPr>
          <w:sz w:val="28"/>
        </w:rPr>
        <w:t>227-231.</w:t>
      </w:r>
    </w:p>
    <w:p>
      <w:pPr>
        <w:pStyle w:val="ListParagraph"/>
        <w:numPr>
          <w:ilvl w:val="0"/>
          <w:numId w:val="59"/>
        </w:numPr>
        <w:tabs>
          <w:tab w:pos="1438" w:val="left" w:leader="none"/>
        </w:tabs>
        <w:spacing w:line="360" w:lineRule="auto" w:before="7" w:after="0"/>
        <w:ind w:left="742" w:right="98" w:hanging="360"/>
        <w:jc w:val="both"/>
        <w:rPr>
          <w:sz w:val="28"/>
        </w:rPr>
      </w:pPr>
      <w:r>
        <w:rPr>
          <w:sz w:val="28"/>
        </w:rPr>
        <w:t>Kim D., Kim J., Kim Y. Laparoscopic-assisted vaginal hysterectomy versus abdominal hysterectomy in patients with stage I and II endometrial cancer // Int. J. Gynecol. Cancer. – 2005. – Vol.15. – P.  932 –</w:t>
      </w:r>
      <w:r>
        <w:rPr>
          <w:spacing w:val="-2"/>
          <w:sz w:val="28"/>
        </w:rPr>
        <w:t> </w:t>
      </w:r>
      <w:r>
        <w:rPr>
          <w:sz w:val="28"/>
        </w:rPr>
        <w:t>937.</w:t>
      </w:r>
    </w:p>
    <w:p>
      <w:pPr>
        <w:pStyle w:val="ListParagraph"/>
        <w:numPr>
          <w:ilvl w:val="0"/>
          <w:numId w:val="59"/>
        </w:numPr>
        <w:tabs>
          <w:tab w:pos="1437" w:val="left" w:leader="none"/>
          <w:tab w:pos="1438" w:val="left" w:leader="none"/>
        </w:tabs>
        <w:spacing w:line="360" w:lineRule="auto" w:before="4" w:after="0"/>
        <w:ind w:left="742" w:right="494" w:hanging="360"/>
        <w:jc w:val="left"/>
        <w:rPr>
          <w:sz w:val="28"/>
        </w:rPr>
      </w:pPr>
      <w:r>
        <w:rPr>
          <w:sz w:val="28"/>
        </w:rPr>
        <w:t>Ko E.M., Walter P., Clark L. et al. The complex triad of obesity, diabetes and race in type I and II endometrial cancers: prevalence and prognostic significance // Gynecol. Oncol. – 2014. – Vol. 133 (1). – P. 28-32.</w:t>
      </w:r>
    </w:p>
    <w:p>
      <w:pPr>
        <w:pStyle w:val="ListParagraph"/>
        <w:numPr>
          <w:ilvl w:val="0"/>
          <w:numId w:val="59"/>
        </w:numPr>
        <w:tabs>
          <w:tab w:pos="1438" w:val="left" w:leader="none"/>
        </w:tabs>
        <w:spacing w:line="360" w:lineRule="auto" w:before="4" w:after="0"/>
        <w:ind w:left="742" w:right="99" w:hanging="360"/>
        <w:jc w:val="both"/>
        <w:rPr>
          <w:sz w:val="28"/>
        </w:rPr>
      </w:pPr>
      <w:r>
        <w:rPr>
          <w:sz w:val="28"/>
        </w:rPr>
        <w:t>Koern J.M.D., Trope C.G., Abeler V.M. A retrospective study of 370 borderline tumors of the ovary treated at the Norvegian Radium Hospital from 1970 to 1982 // Cancer. – 1993. – Vol. 71, № 5. – Р. 1810- 1820.</w:t>
      </w:r>
    </w:p>
    <w:p>
      <w:pPr>
        <w:pStyle w:val="ListParagraph"/>
        <w:numPr>
          <w:ilvl w:val="0"/>
          <w:numId w:val="59"/>
        </w:numPr>
        <w:tabs>
          <w:tab w:pos="1438" w:val="left" w:leader="none"/>
        </w:tabs>
        <w:spacing w:line="360" w:lineRule="auto" w:before="4" w:after="0"/>
        <w:ind w:left="742" w:right="103" w:hanging="360"/>
        <w:jc w:val="both"/>
        <w:rPr>
          <w:sz w:val="28"/>
        </w:rPr>
      </w:pPr>
      <w:r>
        <w:rPr>
          <w:sz w:val="28"/>
        </w:rPr>
        <w:t>Köhler C., </w:t>
      </w:r>
      <w:hyperlink r:id="rId217">
        <w:r>
          <w:rPr>
            <w:sz w:val="28"/>
          </w:rPr>
          <w:t>Klemm</w:t>
        </w:r>
      </w:hyperlink>
      <w:r>
        <w:rPr>
          <w:sz w:val="28"/>
        </w:rPr>
        <w:t> P., </w:t>
      </w:r>
      <w:hyperlink r:id="rId218">
        <w:r>
          <w:rPr>
            <w:sz w:val="28"/>
          </w:rPr>
          <w:t>Schau</w:t>
        </w:r>
      </w:hyperlink>
      <w:r>
        <w:rPr>
          <w:sz w:val="28"/>
        </w:rPr>
        <w:t> A. et al. Introduction of transperitoneal lymphadenectomy in a gynecologic oncology center: analysis of 650 laparoscopic pelvic and/or paraaortic transperitoneal </w:t>
      </w:r>
      <w:r>
        <w:rPr>
          <w:spacing w:val="50"/>
          <w:sz w:val="28"/>
        </w:rPr>
        <w:t> </w:t>
      </w:r>
      <w:r>
        <w:rPr>
          <w:sz w:val="28"/>
        </w:rPr>
        <w:t>lymphadenectomies</w:t>
      </w:r>
    </w:p>
    <w:p>
      <w:pPr>
        <w:pStyle w:val="BodyText"/>
        <w:tabs>
          <w:tab w:pos="8457" w:val="left" w:leader="none"/>
        </w:tabs>
        <w:spacing w:line="360" w:lineRule="auto" w:before="4"/>
        <w:ind w:left="741" w:right="101"/>
      </w:pPr>
      <w:r>
        <w:rPr/>
        <w:t>// </w:t>
      </w:r>
      <w:hyperlink r:id="rId219">
        <w:r>
          <w:rPr/>
          <w:t>Gynecol Oncol.</w:t>
        </w:r>
      </w:hyperlink>
      <w:r>
        <w:rPr/>
        <w:t> – 2004, Oct. – Vol.95, №1. – P.52-61. [Электронный ресурс].</w:t>
        <w:tab/>
        <w:t>URL:</w:t>
      </w:r>
    </w:p>
    <w:p>
      <w:pPr>
        <w:pStyle w:val="BodyText"/>
        <w:spacing w:line="360" w:lineRule="auto" w:before="7"/>
        <w:ind w:left="741" w:right="554"/>
      </w:pPr>
      <w:hyperlink r:id="rId220">
        <w:r>
          <w:rPr>
            <w:color w:val="0000FF"/>
            <w:u w:val="single" w:color="0000FF"/>
          </w:rPr>
          <w:t>http://www.sciencedirect.com/science/article/pii/S0090825804005190</w:t>
        </w:r>
      </w:hyperlink>
      <w:r>
        <w:rPr>
          <w:color w:val="0000FF"/>
          <w:u w:val="single" w:color="0000FF"/>
        </w:rPr>
        <w:t> </w:t>
      </w:r>
      <w:r>
        <w:rPr/>
        <w:t>(дата обращения: 26.03.2015).</w:t>
      </w:r>
    </w:p>
    <w:p>
      <w:pPr>
        <w:pStyle w:val="ListParagraph"/>
        <w:numPr>
          <w:ilvl w:val="0"/>
          <w:numId w:val="59"/>
        </w:numPr>
        <w:tabs>
          <w:tab w:pos="1438" w:val="left" w:leader="none"/>
        </w:tabs>
        <w:spacing w:line="360" w:lineRule="auto" w:before="5" w:after="0"/>
        <w:ind w:left="742" w:right="100" w:hanging="360"/>
        <w:jc w:val="both"/>
        <w:rPr>
          <w:sz w:val="28"/>
        </w:rPr>
      </w:pPr>
      <w:r>
        <w:rPr>
          <w:sz w:val="28"/>
        </w:rPr>
        <w:t>Kornblith A., Huang H., Kornblith J.  Quality of life of patients  with endometrial cancer undergoing laparoscopic International Federation of Gynecology and Obstetrics staging compared with laparotomy: a gynecologic oncology group study // J. Clin. Oncol. – 2009. – Vol. 27. – P. 5337 –</w:t>
      </w:r>
      <w:r>
        <w:rPr>
          <w:spacing w:val="-5"/>
          <w:sz w:val="28"/>
        </w:rPr>
        <w:t> </w:t>
      </w:r>
      <w:r>
        <w:rPr>
          <w:sz w:val="28"/>
        </w:rPr>
        <w:t>5342.</w:t>
      </w:r>
    </w:p>
    <w:p>
      <w:pPr>
        <w:spacing w:after="0" w:line="360" w:lineRule="auto"/>
        <w:jc w:val="both"/>
        <w:rPr>
          <w:sz w:val="28"/>
        </w:rPr>
        <w:sectPr>
          <w:headerReference w:type="default" r:id="rId216"/>
          <w:pgSz w:w="11900" w:h="16850"/>
          <w:pgMar w:header="712" w:footer="0" w:top="1020" w:bottom="280" w:left="1680" w:right="1020"/>
          <w:pgNumType w:start="309"/>
        </w:sectPr>
      </w:pPr>
    </w:p>
    <w:p>
      <w:pPr>
        <w:pStyle w:val="ListParagraph"/>
        <w:numPr>
          <w:ilvl w:val="0"/>
          <w:numId w:val="59"/>
        </w:numPr>
        <w:tabs>
          <w:tab w:pos="1438" w:val="left" w:leader="none"/>
        </w:tabs>
        <w:spacing w:line="360" w:lineRule="auto" w:before="0" w:after="0"/>
        <w:ind w:left="742" w:right="127" w:hanging="360"/>
        <w:jc w:val="both"/>
        <w:rPr>
          <w:sz w:val="28"/>
        </w:rPr>
      </w:pPr>
      <w:r>
        <w:rPr>
          <w:sz w:val="28"/>
        </w:rPr>
        <w:t>Kottmeier H.L. The diagnosis and treatment of ovarian malignancies // Arq. Patol. – 1965. – Vol. 37, №. 1. – P.</w:t>
      </w:r>
      <w:r>
        <w:rPr>
          <w:spacing w:val="-27"/>
          <w:sz w:val="28"/>
        </w:rPr>
        <w:t> </w:t>
      </w:r>
      <w:r>
        <w:rPr>
          <w:sz w:val="28"/>
        </w:rPr>
        <w:t>51-64.</w:t>
      </w:r>
    </w:p>
    <w:p>
      <w:pPr>
        <w:pStyle w:val="ListParagraph"/>
        <w:numPr>
          <w:ilvl w:val="0"/>
          <w:numId w:val="59"/>
        </w:numPr>
        <w:tabs>
          <w:tab w:pos="1438" w:val="left" w:leader="none"/>
        </w:tabs>
        <w:spacing w:line="360" w:lineRule="auto" w:before="8" w:after="0"/>
        <w:ind w:left="742" w:right="118" w:hanging="360"/>
        <w:jc w:val="both"/>
        <w:rPr>
          <w:sz w:val="28"/>
        </w:rPr>
      </w:pPr>
      <w:r>
        <w:rPr>
          <w:sz w:val="28"/>
        </w:rPr>
        <w:t>Kudo Ryuichi. Pathophysiology and treatment of cervical adenocarcinoma pathophysiology and the diagnosis: Abstr. 31st Congr. Jap. Soc. Cancer Therapy, Osaka, Oct. 27-29, 1993 // J. Jap. Soc. Cancer Therapy. – 1994. - Vol.29, №2. –</w:t>
      </w:r>
      <w:r>
        <w:rPr>
          <w:spacing w:val="-13"/>
          <w:sz w:val="28"/>
        </w:rPr>
        <w:t> </w:t>
      </w:r>
      <w:r>
        <w:rPr>
          <w:sz w:val="28"/>
        </w:rPr>
        <w:t>P.158.</w:t>
      </w:r>
    </w:p>
    <w:p>
      <w:pPr>
        <w:pStyle w:val="ListParagraph"/>
        <w:numPr>
          <w:ilvl w:val="0"/>
          <w:numId w:val="59"/>
        </w:numPr>
        <w:tabs>
          <w:tab w:pos="1438" w:val="left" w:leader="none"/>
        </w:tabs>
        <w:spacing w:line="360" w:lineRule="auto" w:before="7" w:after="0"/>
        <w:ind w:left="742" w:right="119" w:hanging="360"/>
        <w:jc w:val="both"/>
        <w:rPr>
          <w:sz w:val="28"/>
        </w:rPr>
      </w:pPr>
      <w:r>
        <w:rPr>
          <w:sz w:val="28"/>
        </w:rPr>
        <w:t>Larson D.M., Copeland L.J., Gallager H.S. et al. Stage II endometrial carcinoma. Results and complications of a combined radiotherapeutic-surgical approach.// Cancer. 1988 Apr 15; 61(8): 1528- 1534.</w:t>
      </w:r>
    </w:p>
    <w:p>
      <w:pPr>
        <w:pStyle w:val="ListParagraph"/>
        <w:numPr>
          <w:ilvl w:val="0"/>
          <w:numId w:val="59"/>
        </w:numPr>
        <w:tabs>
          <w:tab w:pos="1438" w:val="left" w:leader="none"/>
        </w:tabs>
        <w:spacing w:line="360" w:lineRule="auto" w:before="5" w:after="0"/>
        <w:ind w:left="742" w:right="129" w:hanging="360"/>
        <w:jc w:val="both"/>
        <w:rPr>
          <w:sz w:val="28"/>
        </w:rPr>
      </w:pPr>
      <w:r>
        <w:rPr>
          <w:sz w:val="28"/>
        </w:rPr>
        <w:t>Lea J.S., Shin C.H., Sheets E.E. et al. Endocervical curettage at conization to predict residual cervical adenocarcinoma in situ. // Gynecol Oncol. – 2002. – Oct. – 87(1). –</w:t>
      </w:r>
      <w:r>
        <w:rPr>
          <w:spacing w:val="-18"/>
          <w:sz w:val="28"/>
        </w:rPr>
        <w:t> </w:t>
      </w:r>
      <w:r>
        <w:rPr>
          <w:sz w:val="28"/>
        </w:rPr>
        <w:t>p.129-132.</w:t>
      </w:r>
    </w:p>
    <w:p>
      <w:pPr>
        <w:pStyle w:val="ListParagraph"/>
        <w:numPr>
          <w:ilvl w:val="0"/>
          <w:numId w:val="59"/>
        </w:numPr>
        <w:tabs>
          <w:tab w:pos="1438" w:val="left" w:leader="none"/>
        </w:tabs>
        <w:spacing w:line="360" w:lineRule="auto" w:before="5" w:after="0"/>
        <w:ind w:left="742" w:right="121" w:hanging="360"/>
        <w:jc w:val="both"/>
        <w:rPr>
          <w:sz w:val="28"/>
        </w:rPr>
      </w:pPr>
      <w:r>
        <w:rPr>
          <w:sz w:val="28"/>
        </w:rPr>
        <w:t>Leblanc, E., Querleu D., Narduccia F. Laparoscopic restaging of early stage invasive adnexal tumors: a 10-year experience // Gynecologic Oncology. – 2004. – Vol. 94, № 3. – P. 624 –</w:t>
      </w:r>
      <w:r>
        <w:rPr>
          <w:spacing w:val="-21"/>
          <w:sz w:val="28"/>
        </w:rPr>
        <w:t> </w:t>
      </w:r>
      <w:r>
        <w:rPr>
          <w:sz w:val="28"/>
        </w:rPr>
        <w:t>629.</w:t>
      </w:r>
    </w:p>
    <w:p>
      <w:pPr>
        <w:pStyle w:val="ListParagraph"/>
        <w:numPr>
          <w:ilvl w:val="0"/>
          <w:numId w:val="59"/>
        </w:numPr>
        <w:tabs>
          <w:tab w:pos="1437" w:val="left" w:leader="none"/>
          <w:tab w:pos="1438" w:val="left" w:leader="none"/>
        </w:tabs>
        <w:spacing w:line="240" w:lineRule="auto" w:before="5" w:after="0"/>
        <w:ind w:left="1438" w:right="0" w:hanging="1056"/>
        <w:jc w:val="left"/>
        <w:rPr>
          <w:sz w:val="28"/>
        </w:rPr>
      </w:pPr>
      <w:r>
        <w:rPr>
          <w:sz w:val="28"/>
        </w:rPr>
        <w:t>Lee J.K.T. The role of MR imaging in staging of cervical</w:t>
      </w:r>
      <w:r>
        <w:rPr>
          <w:spacing w:val="-19"/>
          <w:sz w:val="28"/>
        </w:rPr>
        <w:t> </w:t>
      </w:r>
      <w:r>
        <w:rPr>
          <w:sz w:val="28"/>
        </w:rPr>
        <w:t>carcinoma</w:t>
      </w:r>
    </w:p>
    <w:p>
      <w:pPr>
        <w:pStyle w:val="BodyText"/>
        <w:spacing w:before="160"/>
        <w:ind w:left="741"/>
      </w:pPr>
      <w:r>
        <w:rPr/>
        <w:t>/ J.K.T.Lee // Radiology. – 1988. - Vol.166, №3. – P.895-896.</w:t>
      </w:r>
    </w:p>
    <w:p>
      <w:pPr>
        <w:pStyle w:val="ListParagraph"/>
        <w:numPr>
          <w:ilvl w:val="0"/>
          <w:numId w:val="59"/>
        </w:numPr>
        <w:tabs>
          <w:tab w:pos="1438" w:val="left" w:leader="none"/>
        </w:tabs>
        <w:spacing w:line="360" w:lineRule="auto" w:before="160" w:after="0"/>
        <w:ind w:left="742" w:right="122" w:hanging="360"/>
        <w:jc w:val="both"/>
        <w:rPr>
          <w:sz w:val="28"/>
        </w:rPr>
      </w:pPr>
      <w:hyperlink r:id="rId222">
        <w:r>
          <w:rPr>
            <w:sz w:val="28"/>
          </w:rPr>
          <w:t>Leiserowitz </w:t>
        </w:r>
        <w:r>
          <w:rPr>
            <w:color w:val="0000FF"/>
            <w:sz w:val="28"/>
            <w:u w:val="single" w:color="0000FF"/>
          </w:rPr>
          <w:t>G</w:t>
        </w:r>
      </w:hyperlink>
      <w:r>
        <w:rPr>
          <w:sz w:val="28"/>
        </w:rPr>
        <w:t>., </w:t>
      </w:r>
      <w:hyperlink r:id="rId223">
        <w:r>
          <w:rPr>
            <w:color w:val="0000FF"/>
            <w:sz w:val="28"/>
            <w:u w:val="single" w:color="0000FF"/>
          </w:rPr>
          <w:t>Xing </w:t>
        </w:r>
        <w:r>
          <w:rPr>
            <w:sz w:val="28"/>
          </w:rPr>
          <w:t>G.</w:t>
        </w:r>
        <w:r>
          <w:rPr>
            <w:color w:val="0000FF"/>
            <w:sz w:val="28"/>
            <w:u w:val="single" w:color="0000FF"/>
          </w:rPr>
          <w:t>,</w:t>
        </w:r>
      </w:hyperlink>
      <w:r>
        <w:rPr>
          <w:color w:val="0000FF"/>
          <w:sz w:val="28"/>
          <w:u w:val="single" w:color="0000FF"/>
        </w:rPr>
        <w:t> </w:t>
      </w:r>
      <w:r>
        <w:rPr>
          <w:sz w:val="28"/>
        </w:rPr>
        <w:t>Dalrymple J. Laparoscopic versus abdominal hysterectomy for endometrial cancer: comparison of patient outcomes // J. Gynecol. Cancer. – 2009. – Vol. 19, № 8. – Р. 1370 –</w:t>
      </w:r>
      <w:r>
        <w:rPr>
          <w:spacing w:val="-26"/>
          <w:sz w:val="28"/>
        </w:rPr>
        <w:t> </w:t>
      </w:r>
      <w:r>
        <w:rPr>
          <w:sz w:val="28"/>
        </w:rPr>
        <w:t>1376.</w:t>
      </w:r>
    </w:p>
    <w:p>
      <w:pPr>
        <w:pStyle w:val="ListParagraph"/>
        <w:numPr>
          <w:ilvl w:val="0"/>
          <w:numId w:val="59"/>
        </w:numPr>
        <w:tabs>
          <w:tab w:pos="1438" w:val="left" w:leader="none"/>
        </w:tabs>
        <w:spacing w:line="360" w:lineRule="auto" w:before="5" w:after="0"/>
        <w:ind w:left="742" w:right="128" w:hanging="360"/>
        <w:jc w:val="both"/>
        <w:rPr>
          <w:sz w:val="28"/>
        </w:rPr>
      </w:pPr>
      <w:r>
        <w:rPr>
          <w:sz w:val="28"/>
        </w:rPr>
        <w:t>Lellé R.J., Heidenreich W., Lellé R.J. 100 Jahre abdominal Radikaloperation des Zervixkarzinoms: Erinnerung an Wertheims Vorläufer  // Zbl. Gynäkol. – 1995. - Vol.117, №4. –</w:t>
      </w:r>
      <w:r>
        <w:rPr>
          <w:spacing w:val="-33"/>
          <w:sz w:val="28"/>
        </w:rPr>
        <w:t> </w:t>
      </w:r>
      <w:r>
        <w:rPr>
          <w:sz w:val="28"/>
        </w:rPr>
        <w:t>P.169-174.</w:t>
      </w:r>
    </w:p>
    <w:p>
      <w:pPr>
        <w:pStyle w:val="ListParagraph"/>
        <w:numPr>
          <w:ilvl w:val="0"/>
          <w:numId w:val="59"/>
        </w:numPr>
        <w:tabs>
          <w:tab w:pos="1438" w:val="left" w:leader="none"/>
        </w:tabs>
        <w:spacing w:line="360" w:lineRule="auto" w:before="5" w:after="0"/>
        <w:ind w:left="742" w:right="117" w:hanging="360"/>
        <w:jc w:val="both"/>
        <w:rPr>
          <w:sz w:val="28"/>
        </w:rPr>
      </w:pPr>
      <w:r>
        <w:rPr>
          <w:sz w:val="28"/>
        </w:rPr>
        <w:t>Leodolter S. Ernst Wertheim, oder zum Stellenwert der EBM beim Zervixkarzinom   // Zbl. Gynäkol. – 2006. - Vol.128, №3. –</w:t>
      </w:r>
      <w:r>
        <w:rPr>
          <w:spacing w:val="-31"/>
          <w:sz w:val="28"/>
        </w:rPr>
        <w:t> </w:t>
      </w:r>
      <w:r>
        <w:rPr>
          <w:sz w:val="28"/>
        </w:rPr>
        <w:t>P.97-103.</w:t>
      </w:r>
    </w:p>
    <w:p>
      <w:pPr>
        <w:pStyle w:val="ListParagraph"/>
        <w:numPr>
          <w:ilvl w:val="0"/>
          <w:numId w:val="59"/>
        </w:numPr>
        <w:tabs>
          <w:tab w:pos="1438" w:val="left" w:leader="none"/>
        </w:tabs>
        <w:spacing w:line="360" w:lineRule="auto" w:before="5" w:after="0"/>
        <w:ind w:left="742" w:right="118" w:hanging="360"/>
        <w:jc w:val="both"/>
        <w:rPr>
          <w:sz w:val="28"/>
        </w:rPr>
      </w:pPr>
      <w:r>
        <w:rPr>
          <w:sz w:val="28"/>
        </w:rPr>
        <w:t>Lim </w:t>
      </w:r>
      <w:hyperlink r:id="rId224">
        <w:r>
          <w:rPr>
            <w:sz w:val="28"/>
          </w:rPr>
          <w:t>Myong Cheol.,</w:t>
        </w:r>
      </w:hyperlink>
      <w:r>
        <w:rPr>
          <w:sz w:val="28"/>
        </w:rPr>
        <w:t> </w:t>
      </w:r>
      <w:hyperlink r:id="rId224">
        <w:r>
          <w:rPr>
            <w:sz w:val="28"/>
          </w:rPr>
          <w:t>Jaeman Bae</w:t>
        </w:r>
      </w:hyperlink>
      <w:hyperlink r:id="rId224">
        <w:r>
          <w:rPr>
            <w:sz w:val="28"/>
          </w:rPr>
          <w:t>,</w:t>
        </w:r>
      </w:hyperlink>
      <w:r>
        <w:rPr>
          <w:sz w:val="28"/>
        </w:rPr>
        <w:t> </w:t>
      </w:r>
      <w:hyperlink r:id="rId224">
        <w:r>
          <w:rPr>
            <w:sz w:val="28"/>
          </w:rPr>
          <w:t>Jeong-Yoel Park</w:t>
        </w:r>
      </w:hyperlink>
      <w:r>
        <w:rPr>
          <w:sz w:val="28"/>
        </w:rPr>
        <w:t> Experiences of pretreatment laparoscopic surgical staging in patients with locally advanced cervical cancer: results of a prospective study // J.Gynecol.Oncol.     – 2008    June.    –     Vol.19,    №2.     –   </w:t>
      </w:r>
      <w:r>
        <w:rPr>
          <w:spacing w:val="32"/>
          <w:sz w:val="28"/>
        </w:rPr>
        <w:t> </w:t>
      </w:r>
      <w:r>
        <w:rPr>
          <w:sz w:val="28"/>
        </w:rPr>
        <w:t>P.123-128.</w:t>
      </w:r>
    </w:p>
    <w:p>
      <w:pPr>
        <w:spacing w:after="0" w:line="360" w:lineRule="auto"/>
        <w:jc w:val="both"/>
        <w:rPr>
          <w:sz w:val="28"/>
        </w:rPr>
        <w:sectPr>
          <w:headerReference w:type="default" r:id="rId221"/>
          <w:pgSz w:w="11900" w:h="16850"/>
          <w:pgMar w:header="712" w:footer="0" w:top="1020" w:bottom="280" w:left="1680" w:right="1000"/>
          <w:pgNumType w:start="310"/>
        </w:sectPr>
      </w:pPr>
    </w:p>
    <w:p>
      <w:pPr>
        <w:pStyle w:val="BodyText"/>
        <w:tabs>
          <w:tab w:pos="7989" w:val="left" w:leader="none"/>
        </w:tabs>
        <w:spacing w:line="360" w:lineRule="auto"/>
        <w:ind w:left="741" w:right="103"/>
      </w:pPr>
      <w:r>
        <w:rPr/>
        <w:t>[Электронный ресурс]. URL: </w:t>
      </w:r>
      <w:hyperlink r:id="rId225">
        <w:r>
          <w:rPr>
            <w:color w:val="0000FF"/>
            <w:u w:val="single" w:color="0000FF"/>
          </w:rPr>
          <w:t>http://www.ncbi.nlm.nih.gov/pmc/articles/PMC2676459/</w:t>
        </w:r>
      </w:hyperlink>
      <w:r>
        <w:rPr>
          <w:color w:val="0000FF"/>
        </w:rPr>
        <w:tab/>
      </w:r>
      <w:r>
        <w:rPr>
          <w:spacing w:val="-1"/>
        </w:rPr>
        <w:t>Published </w:t>
      </w:r>
      <w:r>
        <w:rPr/>
        <w:t>online 2008, June 20 (дата обращения:</w:t>
      </w:r>
      <w:r>
        <w:rPr>
          <w:spacing w:val="-26"/>
        </w:rPr>
        <w:t> </w:t>
      </w:r>
      <w:r>
        <w:rPr/>
        <w:t>07.04.2015).</w:t>
      </w:r>
    </w:p>
    <w:p>
      <w:pPr>
        <w:pStyle w:val="ListParagraph"/>
        <w:numPr>
          <w:ilvl w:val="0"/>
          <w:numId w:val="59"/>
        </w:numPr>
        <w:tabs>
          <w:tab w:pos="1438" w:val="left" w:leader="none"/>
        </w:tabs>
        <w:spacing w:line="360" w:lineRule="auto" w:before="6" w:after="0"/>
        <w:ind w:left="742" w:right="100" w:hanging="360"/>
        <w:jc w:val="both"/>
        <w:rPr>
          <w:sz w:val="28"/>
        </w:rPr>
      </w:pPr>
      <w:hyperlink r:id="rId226">
        <w:r>
          <w:rPr>
            <w:color w:val="0000FF"/>
            <w:sz w:val="28"/>
            <w:u w:val="single" w:color="0000FF"/>
          </w:rPr>
          <w:t>Lim S</w:t>
        </w:r>
      </w:hyperlink>
      <w:r>
        <w:rPr>
          <w:sz w:val="28"/>
        </w:rPr>
        <w:t>., </w:t>
      </w:r>
      <w:hyperlink r:id="rId227">
        <w:r>
          <w:rPr>
            <w:color w:val="0000FF"/>
            <w:sz w:val="28"/>
            <w:u w:val="single" w:color="0000FF"/>
          </w:rPr>
          <w:t>Kim </w:t>
        </w:r>
        <w:r>
          <w:rPr>
            <w:sz w:val="28"/>
          </w:rPr>
          <w:t>H.</w:t>
        </w:r>
        <w:r>
          <w:rPr>
            <w:color w:val="0000FF"/>
            <w:sz w:val="28"/>
            <w:u w:val="single" w:color="0000FF"/>
          </w:rPr>
          <w:t>, </w:t>
        </w:r>
      </w:hyperlink>
      <w:hyperlink r:id="rId228">
        <w:r>
          <w:rPr>
            <w:color w:val="0000FF"/>
            <w:sz w:val="28"/>
            <w:u w:val="single" w:color="0000FF"/>
          </w:rPr>
          <w:t>Lee </w:t>
        </w:r>
      </w:hyperlink>
      <w:r>
        <w:rPr>
          <w:sz w:val="28"/>
        </w:rPr>
        <w:t>K. Does the use of a uterine manipulator with an intrauterine balloon in total laparoscopic hysterectomy facilitate tumor cell spillage into the peritoneal cavity in patients with endometrial</w:t>
      </w:r>
      <w:r>
        <w:rPr>
          <w:spacing w:val="-23"/>
          <w:sz w:val="28"/>
        </w:rPr>
        <w:t> </w:t>
      </w:r>
      <w:r>
        <w:rPr>
          <w:sz w:val="28"/>
        </w:rPr>
        <w:t>cancer?</w:t>
      </w:r>
    </w:p>
    <w:p>
      <w:pPr>
        <w:pStyle w:val="BodyText"/>
        <w:spacing w:before="8"/>
        <w:ind w:left="741"/>
      </w:pPr>
      <w:r>
        <w:rPr/>
        <w:pict>
          <v:line style="position:absolute;mso-position-horizontal-relative:page;mso-position-vertical-relative:paragraph;z-index:-335008" from="261.649994pt,15.390298pt" to="265.129994pt,15.390298pt" stroked="true" strokeweight=".72pt" strokecolor="#0000ff">
            <v:stroke dashstyle="solid"/>
            <w10:wrap type="none"/>
          </v:line>
        </w:pict>
      </w:r>
      <w:r>
        <w:rPr/>
        <w:t>// </w:t>
      </w:r>
      <w:hyperlink r:id="rId229">
        <w:r>
          <w:rPr>
            <w:color w:val="0000FF"/>
            <w:u w:val="single" w:color="0000FF"/>
          </w:rPr>
          <w:t>Int. J. Gynecol. </w:t>
        </w:r>
        <w:r>
          <w:rPr/>
          <w:t>Cancer</w:t>
        </w:r>
        <w:r>
          <w:rPr>
            <w:color w:val="0000FF"/>
          </w:rPr>
          <w:t>.</w:t>
        </w:r>
      </w:hyperlink>
      <w:r>
        <w:rPr>
          <w:color w:val="0000FF"/>
        </w:rPr>
        <w:t> </w:t>
      </w:r>
      <w:r>
        <w:rPr/>
        <w:t>– 2008. – Vol. 18, № 5. – Р. 1145 – 1149.</w:t>
      </w:r>
    </w:p>
    <w:p>
      <w:pPr>
        <w:pStyle w:val="ListParagraph"/>
        <w:numPr>
          <w:ilvl w:val="0"/>
          <w:numId w:val="59"/>
        </w:numPr>
        <w:tabs>
          <w:tab w:pos="1438" w:val="left" w:leader="none"/>
        </w:tabs>
        <w:spacing w:line="360" w:lineRule="auto" w:before="160" w:after="0"/>
        <w:ind w:left="742" w:right="100" w:hanging="360"/>
        <w:jc w:val="both"/>
        <w:rPr>
          <w:sz w:val="28"/>
        </w:rPr>
      </w:pPr>
      <w:r>
        <w:rPr>
          <w:sz w:val="28"/>
        </w:rPr>
        <w:t>Litta P., Fracas M., Pozzan C. Laparoscopic management of early stage endometrial cancer // Eur. J. Gynaecol. Oncol. – 2003. – Vol. 24. – P. 41 –</w:t>
      </w:r>
      <w:r>
        <w:rPr>
          <w:spacing w:val="-4"/>
          <w:sz w:val="28"/>
        </w:rPr>
        <w:t> </w:t>
      </w:r>
      <w:r>
        <w:rPr>
          <w:sz w:val="28"/>
        </w:rPr>
        <w:t>44.</w:t>
      </w:r>
    </w:p>
    <w:p>
      <w:pPr>
        <w:pStyle w:val="ListParagraph"/>
        <w:numPr>
          <w:ilvl w:val="0"/>
          <w:numId w:val="59"/>
        </w:numPr>
        <w:tabs>
          <w:tab w:pos="1438" w:val="left" w:leader="none"/>
        </w:tabs>
        <w:spacing w:line="360" w:lineRule="auto" w:before="5" w:after="0"/>
        <w:ind w:left="742" w:right="101" w:hanging="360"/>
        <w:jc w:val="both"/>
        <w:rPr>
          <w:sz w:val="28"/>
        </w:rPr>
      </w:pPr>
      <w:r>
        <w:rPr>
          <w:sz w:val="28"/>
        </w:rPr>
        <w:t>Malzoni M., Malzoni C., Perone C., et al. Total laparoscopic radical hysterectomy (type III) and pelvic  lymphadenectomy  //  Europ. J.Gynecol. Oncolog. – 2004. - Vol.24, №4. –</w:t>
      </w:r>
      <w:r>
        <w:rPr>
          <w:spacing w:val="-23"/>
          <w:sz w:val="28"/>
        </w:rPr>
        <w:t> </w:t>
      </w:r>
      <w:r>
        <w:rPr>
          <w:sz w:val="28"/>
        </w:rPr>
        <w:t>P.525-527.</w:t>
      </w:r>
    </w:p>
    <w:p>
      <w:pPr>
        <w:pStyle w:val="ListParagraph"/>
        <w:numPr>
          <w:ilvl w:val="0"/>
          <w:numId w:val="59"/>
        </w:numPr>
        <w:tabs>
          <w:tab w:pos="1438" w:val="left" w:leader="none"/>
        </w:tabs>
        <w:spacing w:line="360" w:lineRule="auto" w:before="5" w:after="0"/>
        <w:ind w:left="742" w:right="100" w:hanging="360"/>
        <w:jc w:val="both"/>
        <w:rPr>
          <w:sz w:val="28"/>
        </w:rPr>
      </w:pPr>
      <w:r>
        <w:rPr>
          <w:sz w:val="28"/>
        </w:rPr>
        <w:t>Markman M., Rothman R., Hakes T. et al. Second-line platinum therapy in patients with ovarian cancer previously treated with cisplatin // J. Clin. Oncol. – 1991. –Vol 9.</w:t>
      </w:r>
      <w:r>
        <w:rPr>
          <w:spacing w:val="-18"/>
          <w:sz w:val="28"/>
        </w:rPr>
        <w:t> </w:t>
      </w:r>
      <w:r>
        <w:rPr>
          <w:sz w:val="28"/>
        </w:rPr>
        <w:t>–P.389-393.</w:t>
      </w:r>
    </w:p>
    <w:p>
      <w:pPr>
        <w:pStyle w:val="ListParagraph"/>
        <w:numPr>
          <w:ilvl w:val="0"/>
          <w:numId w:val="59"/>
        </w:numPr>
        <w:tabs>
          <w:tab w:pos="1438" w:val="left" w:leader="none"/>
        </w:tabs>
        <w:spacing w:line="360" w:lineRule="auto" w:before="5" w:after="0"/>
        <w:ind w:left="742" w:right="107" w:hanging="360"/>
        <w:jc w:val="both"/>
        <w:rPr>
          <w:sz w:val="28"/>
        </w:rPr>
      </w:pPr>
      <w:r>
        <w:rPr>
          <w:sz w:val="28"/>
        </w:rPr>
        <w:t>Martinez-Monde R., Aristu J.J. et al. Radiotherapie peroperatoire (PRO) dans les cancer gynacologues evolues et recudivants // Lyon. Chir. 1994. - Vol. 90. - №4. - P.</w:t>
      </w:r>
      <w:r>
        <w:rPr>
          <w:spacing w:val="-12"/>
          <w:sz w:val="28"/>
        </w:rPr>
        <w:t> </w:t>
      </w:r>
      <w:r>
        <w:rPr>
          <w:sz w:val="28"/>
        </w:rPr>
        <w:t>252.</w:t>
      </w:r>
    </w:p>
    <w:p>
      <w:pPr>
        <w:pStyle w:val="ListParagraph"/>
        <w:numPr>
          <w:ilvl w:val="0"/>
          <w:numId w:val="59"/>
        </w:numPr>
        <w:tabs>
          <w:tab w:pos="1438" w:val="left" w:leader="none"/>
        </w:tabs>
        <w:spacing w:line="360" w:lineRule="auto" w:before="8" w:after="0"/>
        <w:ind w:left="742" w:right="107" w:hanging="360"/>
        <w:jc w:val="both"/>
        <w:rPr>
          <w:sz w:val="28"/>
        </w:rPr>
      </w:pPr>
      <w:r>
        <w:rPr>
          <w:sz w:val="28"/>
        </w:rPr>
        <w:t>McGuire W.P. Current aspects of adjuvant therapy of early stage ovarian cancer // Zbl. Gynakol. – 1998. – Vol. 120, № 3. – Р.</w:t>
      </w:r>
      <w:r>
        <w:rPr>
          <w:spacing w:val="-22"/>
          <w:sz w:val="28"/>
        </w:rPr>
        <w:t> </w:t>
      </w:r>
      <w:r>
        <w:rPr>
          <w:sz w:val="28"/>
        </w:rPr>
        <w:t>93-97.</w:t>
      </w:r>
    </w:p>
    <w:p>
      <w:pPr>
        <w:pStyle w:val="ListParagraph"/>
        <w:numPr>
          <w:ilvl w:val="0"/>
          <w:numId w:val="59"/>
        </w:numPr>
        <w:tabs>
          <w:tab w:pos="1437" w:val="left" w:leader="none"/>
          <w:tab w:pos="1438" w:val="left" w:leader="none"/>
          <w:tab w:pos="3900" w:val="left" w:leader="none"/>
        </w:tabs>
        <w:spacing w:line="360" w:lineRule="auto" w:before="5" w:after="0"/>
        <w:ind w:left="742" w:right="192" w:hanging="360"/>
        <w:jc w:val="left"/>
        <w:rPr>
          <w:sz w:val="28"/>
        </w:rPr>
      </w:pPr>
      <w:r>
        <w:rPr>
          <w:sz w:val="28"/>
        </w:rPr>
        <w:t>McMahon M.D. Scott D.M., Saks E. at al. Impact of obesity on outcomes</w:t>
      </w:r>
      <w:r>
        <w:rPr>
          <w:spacing w:val="-3"/>
          <w:sz w:val="28"/>
        </w:rPr>
        <w:t> </w:t>
      </w:r>
      <w:r>
        <w:rPr>
          <w:sz w:val="28"/>
        </w:rPr>
        <w:t>of</w:t>
      </w:r>
      <w:r>
        <w:rPr>
          <w:spacing w:val="-3"/>
          <w:sz w:val="28"/>
        </w:rPr>
        <w:t> </w:t>
      </w:r>
      <w:r>
        <w:rPr>
          <w:sz w:val="28"/>
        </w:rPr>
        <w:t>hysterectomy</w:t>
        <w:tab/>
        <w:t>// J. Minim. Invasive Gynecol. – 2014.</w:t>
      </w:r>
      <w:r>
        <w:rPr>
          <w:spacing w:val="-7"/>
          <w:sz w:val="28"/>
        </w:rPr>
        <w:t> </w:t>
      </w:r>
      <w:r>
        <w:rPr>
          <w:sz w:val="28"/>
        </w:rPr>
        <w:t>–</w:t>
      </w:r>
      <w:r>
        <w:rPr>
          <w:spacing w:val="-1"/>
          <w:sz w:val="28"/>
        </w:rPr>
        <w:t> </w:t>
      </w:r>
      <w:r>
        <w:rPr>
          <w:sz w:val="28"/>
        </w:rPr>
        <w:t>Vol.</w:t>
      </w:r>
      <w:r>
        <w:rPr>
          <w:w w:val="100"/>
          <w:sz w:val="28"/>
        </w:rPr>
        <w:t> </w:t>
      </w:r>
      <w:r>
        <w:rPr>
          <w:sz w:val="28"/>
        </w:rPr>
        <w:t>21 (2). – P.</w:t>
      </w:r>
      <w:r>
        <w:rPr>
          <w:spacing w:val="-6"/>
          <w:sz w:val="28"/>
        </w:rPr>
        <w:t> </w:t>
      </w:r>
      <w:r>
        <w:rPr>
          <w:sz w:val="28"/>
        </w:rPr>
        <w:t>259-265.</w:t>
      </w:r>
    </w:p>
    <w:p>
      <w:pPr>
        <w:pStyle w:val="ListParagraph"/>
        <w:numPr>
          <w:ilvl w:val="0"/>
          <w:numId w:val="59"/>
        </w:numPr>
        <w:tabs>
          <w:tab w:pos="1438" w:val="left" w:leader="none"/>
        </w:tabs>
        <w:spacing w:line="360" w:lineRule="auto" w:before="5" w:after="0"/>
        <w:ind w:left="742" w:right="111" w:hanging="360"/>
        <w:jc w:val="both"/>
        <w:rPr>
          <w:sz w:val="28"/>
        </w:rPr>
      </w:pPr>
      <w:r>
        <w:rPr>
          <w:sz w:val="28"/>
        </w:rPr>
        <w:t>Meigs J. Radical hysterectomy with bilateral pelvic node dissections: a report of 100 patients operated five or more years ago. Am. J. Obstet. Gynecol. 1951; 62:</w:t>
      </w:r>
      <w:r>
        <w:rPr>
          <w:spacing w:val="-16"/>
          <w:sz w:val="28"/>
        </w:rPr>
        <w:t> </w:t>
      </w:r>
      <w:r>
        <w:rPr>
          <w:sz w:val="28"/>
        </w:rPr>
        <w:t>p.854-870.</w:t>
      </w:r>
    </w:p>
    <w:p>
      <w:pPr>
        <w:pStyle w:val="ListParagraph"/>
        <w:numPr>
          <w:ilvl w:val="0"/>
          <w:numId w:val="59"/>
        </w:numPr>
        <w:tabs>
          <w:tab w:pos="1438" w:val="left" w:leader="none"/>
        </w:tabs>
        <w:spacing w:line="362" w:lineRule="auto" w:before="5" w:after="0"/>
        <w:ind w:left="742" w:right="100" w:hanging="360"/>
        <w:jc w:val="both"/>
        <w:rPr>
          <w:sz w:val="28"/>
        </w:rPr>
      </w:pPr>
      <w:r>
        <w:rPr>
          <w:sz w:val="28"/>
        </w:rPr>
        <w:t>Meigs J.V. The surgical treatment of cancer of </w:t>
      </w:r>
      <w:r>
        <w:rPr>
          <w:spacing w:val="2"/>
          <w:sz w:val="28"/>
        </w:rPr>
        <w:t>the </w:t>
      </w:r>
      <w:r>
        <w:rPr>
          <w:sz w:val="28"/>
        </w:rPr>
        <w:t>ovary // Clin. Obstet. Gynecol. – 1961. – Vol. 4. – P.</w:t>
      </w:r>
      <w:r>
        <w:rPr>
          <w:spacing w:val="-20"/>
          <w:sz w:val="28"/>
        </w:rPr>
        <w:t> </w:t>
      </w:r>
      <w:r>
        <w:rPr>
          <w:sz w:val="28"/>
        </w:rPr>
        <w:t>846-854.</w:t>
      </w:r>
    </w:p>
    <w:p>
      <w:pPr>
        <w:spacing w:after="0" w:line="362" w:lineRule="auto"/>
        <w:jc w:val="both"/>
        <w:rPr>
          <w:sz w:val="28"/>
        </w:rPr>
        <w:sectPr>
          <w:pgSz w:w="11900" w:h="16850"/>
          <w:pgMar w:header="712" w:footer="0" w:top="1020" w:bottom="280" w:left="1680" w:right="1020"/>
        </w:sectPr>
      </w:pPr>
    </w:p>
    <w:p>
      <w:pPr>
        <w:pStyle w:val="ListParagraph"/>
        <w:numPr>
          <w:ilvl w:val="0"/>
          <w:numId w:val="59"/>
        </w:numPr>
        <w:tabs>
          <w:tab w:pos="1438" w:val="left" w:leader="none"/>
        </w:tabs>
        <w:spacing w:line="360" w:lineRule="auto" w:before="0" w:after="0"/>
        <w:ind w:left="742" w:right="100" w:hanging="360"/>
        <w:jc w:val="both"/>
        <w:rPr>
          <w:sz w:val="28"/>
        </w:rPr>
      </w:pPr>
      <w:r>
        <w:rPr>
          <w:sz w:val="28"/>
        </w:rPr>
        <w:t>Milojkovic  M.  Residual   and recurrent lesions after conization   for cervical intraepithelial neoplasia grade 3. // Int. j. gynaecol. obstet. – 2002. – Jan. – 76(1). –</w:t>
      </w:r>
      <w:r>
        <w:rPr>
          <w:spacing w:val="-14"/>
          <w:sz w:val="28"/>
        </w:rPr>
        <w:t> </w:t>
      </w:r>
      <w:r>
        <w:rPr>
          <w:sz w:val="28"/>
        </w:rPr>
        <w:t>p.49-53.</w:t>
      </w:r>
    </w:p>
    <w:p>
      <w:pPr>
        <w:pStyle w:val="ListParagraph"/>
        <w:numPr>
          <w:ilvl w:val="0"/>
          <w:numId w:val="59"/>
        </w:numPr>
        <w:tabs>
          <w:tab w:pos="1438" w:val="left" w:leader="none"/>
        </w:tabs>
        <w:spacing w:line="360" w:lineRule="auto" w:before="6" w:after="0"/>
        <w:ind w:left="742" w:right="107" w:hanging="360"/>
        <w:jc w:val="both"/>
        <w:rPr>
          <w:sz w:val="28"/>
        </w:rPr>
      </w:pPr>
      <w:r>
        <w:rPr>
          <w:sz w:val="28"/>
        </w:rPr>
        <w:t>Mitra S. Radical vaginal hysterectomy et extraperitoneal pelvic lymphadenectomy for cancer of the cervix // B.J.O.G. 1955. Vol.</w:t>
      </w:r>
      <w:r>
        <w:rPr>
          <w:spacing w:val="-27"/>
          <w:sz w:val="28"/>
        </w:rPr>
        <w:t> </w:t>
      </w:r>
      <w:r>
        <w:rPr>
          <w:sz w:val="28"/>
        </w:rPr>
        <w:t>62.</w:t>
      </w:r>
    </w:p>
    <w:p>
      <w:pPr>
        <w:pStyle w:val="ListParagraph"/>
        <w:numPr>
          <w:ilvl w:val="0"/>
          <w:numId w:val="59"/>
        </w:numPr>
        <w:tabs>
          <w:tab w:pos="1438" w:val="left" w:leader="none"/>
        </w:tabs>
        <w:spacing w:line="360" w:lineRule="auto" w:before="5" w:after="0"/>
        <w:ind w:left="742" w:right="99" w:hanging="360"/>
        <w:jc w:val="both"/>
        <w:rPr>
          <w:sz w:val="28"/>
        </w:rPr>
      </w:pPr>
      <w:r>
        <w:rPr>
          <w:sz w:val="28"/>
        </w:rPr>
        <w:t>Morgan D.J., Hutner D.C., McCracken G. et al. Is laparoscopically assisted radical vaginal hysterectomy for cervical carcinoma safe? A case control study with follow up // BJOG: Int. J. Obstet. And Gynaecol. – 2007. - Vol.114, №5. –</w:t>
      </w:r>
      <w:r>
        <w:rPr>
          <w:spacing w:val="-14"/>
          <w:sz w:val="28"/>
        </w:rPr>
        <w:t> </w:t>
      </w:r>
      <w:r>
        <w:rPr>
          <w:sz w:val="28"/>
        </w:rPr>
        <w:t>P.537-542.</w:t>
      </w:r>
    </w:p>
    <w:p>
      <w:pPr>
        <w:pStyle w:val="ListParagraph"/>
        <w:numPr>
          <w:ilvl w:val="0"/>
          <w:numId w:val="59"/>
        </w:numPr>
        <w:tabs>
          <w:tab w:pos="1438" w:val="left" w:leader="none"/>
        </w:tabs>
        <w:spacing w:line="360" w:lineRule="auto" w:before="5" w:after="0"/>
        <w:ind w:left="742" w:right="99" w:hanging="360"/>
        <w:jc w:val="both"/>
        <w:rPr>
          <w:sz w:val="28"/>
        </w:rPr>
      </w:pPr>
      <w:r>
        <w:rPr>
          <w:sz w:val="28"/>
        </w:rPr>
        <w:t>Naik R., Jackson K.S., Lopes A., Laparoscopic assisted radical vaginal hysterectomy versus radical abdominal hysterectomy – a randomized phase II trial: Perioperative outcomes and surgicopathological measurements // BJOG: Int. J.Obstet. and Gynaecol.  – 2010. -   </w:t>
      </w:r>
      <w:r>
        <w:rPr>
          <w:spacing w:val="61"/>
          <w:sz w:val="28"/>
        </w:rPr>
        <w:t> </w:t>
      </w:r>
      <w:r>
        <w:rPr>
          <w:sz w:val="28"/>
        </w:rPr>
        <w:t>Vol.117,</w:t>
      </w:r>
    </w:p>
    <w:p>
      <w:pPr>
        <w:pStyle w:val="BodyText"/>
        <w:spacing w:before="5"/>
        <w:ind w:left="741"/>
      </w:pPr>
      <w:r>
        <w:rPr/>
        <w:t>№6. – P.746-751.</w:t>
      </w:r>
    </w:p>
    <w:p>
      <w:pPr>
        <w:pStyle w:val="ListParagraph"/>
        <w:numPr>
          <w:ilvl w:val="0"/>
          <w:numId w:val="59"/>
        </w:numPr>
        <w:tabs>
          <w:tab w:pos="1438" w:val="left" w:leader="none"/>
        </w:tabs>
        <w:spacing w:line="360" w:lineRule="auto" w:before="160" w:after="0"/>
        <w:ind w:left="742" w:right="100" w:hanging="360"/>
        <w:jc w:val="both"/>
        <w:rPr>
          <w:sz w:val="28"/>
        </w:rPr>
      </w:pPr>
      <w:r>
        <w:rPr>
          <w:sz w:val="28"/>
        </w:rPr>
        <w:t>Narducci F, Occelli B, Boman F, Vinatier D, Leroy JL. Positive margins after conization and risk of persistent lesion. // Gynecol. oncol. – 2000. –  Mar. 76(3). –</w:t>
      </w:r>
      <w:r>
        <w:rPr>
          <w:spacing w:val="-15"/>
          <w:sz w:val="28"/>
        </w:rPr>
        <w:t> </w:t>
      </w:r>
      <w:r>
        <w:rPr>
          <w:sz w:val="28"/>
        </w:rPr>
        <w:t>p.311-314.</w:t>
      </w:r>
    </w:p>
    <w:p>
      <w:pPr>
        <w:pStyle w:val="ListParagraph"/>
        <w:numPr>
          <w:ilvl w:val="0"/>
          <w:numId w:val="59"/>
        </w:numPr>
        <w:tabs>
          <w:tab w:pos="1438" w:val="left" w:leader="none"/>
        </w:tabs>
        <w:spacing w:line="360" w:lineRule="auto" w:before="5" w:after="0"/>
        <w:ind w:left="742" w:right="102" w:hanging="360"/>
        <w:jc w:val="both"/>
        <w:rPr>
          <w:sz w:val="28"/>
        </w:rPr>
      </w:pPr>
      <w:r>
        <w:rPr>
          <w:sz w:val="28"/>
        </w:rPr>
        <w:t>Nicoloso E., d`Ercole C., Boubli L., Blanc B.  Borderline tumors and cancers of the ovary. Laparoscopic-surgical evaluation. Presse. Med. 1995. Oct. 21;</w:t>
      </w:r>
      <w:r>
        <w:rPr>
          <w:spacing w:val="-16"/>
          <w:sz w:val="28"/>
        </w:rPr>
        <w:t> </w:t>
      </w:r>
      <w:r>
        <w:rPr>
          <w:sz w:val="28"/>
        </w:rPr>
        <w:t>24(31):1421-1424.</w:t>
      </w:r>
    </w:p>
    <w:p>
      <w:pPr>
        <w:pStyle w:val="ListParagraph"/>
        <w:numPr>
          <w:ilvl w:val="0"/>
          <w:numId w:val="59"/>
        </w:numPr>
        <w:tabs>
          <w:tab w:pos="1438" w:val="left" w:leader="none"/>
        </w:tabs>
        <w:spacing w:line="360" w:lineRule="auto" w:before="5" w:after="0"/>
        <w:ind w:left="742" w:right="106" w:hanging="360"/>
        <w:jc w:val="both"/>
        <w:rPr>
          <w:sz w:val="28"/>
        </w:rPr>
      </w:pPr>
      <w:r>
        <w:rPr>
          <w:sz w:val="28"/>
        </w:rPr>
        <w:t>NIH Consensus Developmental Panel on Ovarian Cancer: NIH Consensus Conference. Ovarian cancer: screening, treatment and follow up // JAMA. – 1995. – Vol.273. – P.491-</w:t>
      </w:r>
      <w:r>
        <w:rPr>
          <w:spacing w:val="-20"/>
          <w:sz w:val="28"/>
        </w:rPr>
        <w:t> </w:t>
      </w:r>
      <w:r>
        <w:rPr>
          <w:sz w:val="28"/>
        </w:rPr>
        <w:t>497.</w:t>
      </w:r>
    </w:p>
    <w:p>
      <w:pPr>
        <w:pStyle w:val="ListParagraph"/>
        <w:numPr>
          <w:ilvl w:val="0"/>
          <w:numId w:val="59"/>
        </w:numPr>
        <w:tabs>
          <w:tab w:pos="1438" w:val="left" w:leader="none"/>
        </w:tabs>
        <w:spacing w:line="360" w:lineRule="auto" w:before="8" w:after="0"/>
        <w:ind w:left="742" w:right="99" w:hanging="360"/>
        <w:jc w:val="both"/>
        <w:rPr>
          <w:sz w:val="28"/>
        </w:rPr>
      </w:pPr>
      <w:r>
        <w:rPr>
          <w:sz w:val="28"/>
        </w:rPr>
        <w:t>Nishio H, Fujii T., Kameyama K. et al. Abdominal radical trachelectomy as a fertility-sparing procedure in women with early-stage cervical cancer in a series of 61 women. — Gynecol. Oncol., 2009, Vol.115</w:t>
      </w:r>
      <w:r>
        <w:rPr>
          <w:spacing w:val="-2"/>
          <w:sz w:val="28"/>
        </w:rPr>
        <w:t> </w:t>
      </w:r>
      <w:r>
        <w:rPr>
          <w:sz w:val="28"/>
        </w:rPr>
        <w:t>P.51-55.</w:t>
      </w:r>
    </w:p>
    <w:p>
      <w:pPr>
        <w:pStyle w:val="ListParagraph"/>
        <w:numPr>
          <w:ilvl w:val="0"/>
          <w:numId w:val="59"/>
        </w:numPr>
        <w:tabs>
          <w:tab w:pos="1438" w:val="left" w:leader="none"/>
        </w:tabs>
        <w:spacing w:line="362" w:lineRule="auto" w:before="5" w:after="0"/>
        <w:ind w:left="742" w:right="103" w:hanging="360"/>
        <w:jc w:val="both"/>
        <w:rPr>
          <w:sz w:val="28"/>
        </w:rPr>
      </w:pPr>
      <w:r>
        <w:rPr>
          <w:sz w:val="28"/>
        </w:rPr>
        <w:t>Obermair A., Manolitsas T., Leung Y. Total laparoscopic hysterectomy versus total abdominal hysterectomy for obese women</w:t>
      </w:r>
      <w:r>
        <w:rPr>
          <w:spacing w:val="51"/>
          <w:sz w:val="28"/>
        </w:rPr>
        <w:t> </w:t>
      </w:r>
      <w:r>
        <w:rPr>
          <w:sz w:val="28"/>
        </w:rPr>
        <w:t>with</w:t>
      </w:r>
    </w:p>
    <w:p>
      <w:pPr>
        <w:spacing w:after="0" w:line="362" w:lineRule="auto"/>
        <w:jc w:val="both"/>
        <w:rPr>
          <w:sz w:val="28"/>
        </w:rPr>
        <w:sectPr>
          <w:pgSz w:w="11900" w:h="16850"/>
          <w:pgMar w:header="712" w:footer="0" w:top="1020" w:bottom="280" w:left="1680" w:right="1020"/>
        </w:sectPr>
      </w:pPr>
    </w:p>
    <w:p>
      <w:pPr>
        <w:pStyle w:val="BodyText"/>
        <w:tabs>
          <w:tab w:pos="2285" w:val="left" w:leader="none"/>
          <w:tab w:pos="3218" w:val="left" w:leader="none"/>
          <w:tab w:pos="3580" w:val="left" w:leader="none"/>
          <w:tab w:pos="4164" w:val="left" w:leader="none"/>
          <w:tab w:pos="4767" w:val="left" w:leader="none"/>
        </w:tabs>
        <w:spacing w:line="360" w:lineRule="auto"/>
        <w:ind w:left="741" w:right="100"/>
      </w:pPr>
      <w:r>
        <w:rPr/>
        <w:t>endometrial</w:t>
        <w:tab/>
        <w:t>cancer</w:t>
        <w:tab/>
        <w:t>//</w:t>
        <w:tab/>
        <w:t>Int.</w:t>
        <w:tab/>
        <w:t>J.</w:t>
        <w:tab/>
        <w:t>Gynecol. Cancer. – 2005. – Vol.</w:t>
      </w:r>
      <w:r>
        <w:rPr>
          <w:spacing w:val="43"/>
        </w:rPr>
        <w:t> </w:t>
      </w:r>
      <w:r>
        <w:rPr/>
        <w:t>15.</w:t>
      </w:r>
      <w:r>
        <w:rPr>
          <w:spacing w:val="8"/>
        </w:rPr>
        <w:t> </w:t>
      </w:r>
      <w:r>
        <w:rPr/>
        <w:t>–</w:t>
      </w:r>
      <w:r>
        <w:rPr>
          <w:w w:val="100"/>
        </w:rPr>
        <w:t> </w:t>
      </w:r>
      <w:r>
        <w:rPr/>
        <w:t>P. 319 –</w:t>
      </w:r>
      <w:r>
        <w:rPr>
          <w:spacing w:val="-4"/>
        </w:rPr>
        <w:t> </w:t>
      </w:r>
      <w:r>
        <w:rPr/>
        <w:t>324.</w:t>
      </w:r>
    </w:p>
    <w:p>
      <w:pPr>
        <w:pStyle w:val="ListParagraph"/>
        <w:numPr>
          <w:ilvl w:val="0"/>
          <w:numId w:val="59"/>
        </w:numPr>
        <w:tabs>
          <w:tab w:pos="1438" w:val="left" w:leader="none"/>
        </w:tabs>
        <w:spacing w:line="360" w:lineRule="auto" w:before="8" w:after="0"/>
        <w:ind w:left="742" w:right="100" w:hanging="360"/>
        <w:jc w:val="both"/>
        <w:rPr>
          <w:sz w:val="28"/>
        </w:rPr>
      </w:pPr>
      <w:r>
        <w:rPr>
          <w:sz w:val="28"/>
        </w:rPr>
        <w:t>Obermaer A., Sevelda P. Impact of second look laparotomy and secondary cytoreductive surgery at second-look laparotomy in ovarian cancer patients // Acta Obstet. Gynecol. Scand. – 2001. – Vol. 80, № 5. – P.</w:t>
      </w:r>
      <w:r>
        <w:rPr>
          <w:spacing w:val="-5"/>
          <w:sz w:val="28"/>
        </w:rPr>
        <w:t> </w:t>
      </w:r>
      <w:r>
        <w:rPr>
          <w:sz w:val="28"/>
        </w:rPr>
        <w:t>432-436.</w:t>
      </w:r>
    </w:p>
    <w:p>
      <w:pPr>
        <w:pStyle w:val="ListParagraph"/>
        <w:numPr>
          <w:ilvl w:val="0"/>
          <w:numId w:val="59"/>
        </w:numPr>
        <w:tabs>
          <w:tab w:pos="1438" w:val="left" w:leader="none"/>
        </w:tabs>
        <w:spacing w:line="360" w:lineRule="auto" w:before="7" w:after="0"/>
        <w:ind w:left="742" w:right="101" w:hanging="360"/>
        <w:jc w:val="both"/>
        <w:rPr>
          <w:sz w:val="28"/>
        </w:rPr>
      </w:pPr>
      <w:r>
        <w:rPr>
          <w:sz w:val="28"/>
        </w:rPr>
        <w:t>Okabayaski H. Radical abdominal hysterectomy for cancer of the cervix uteri. Modification of the Takayama operation // Surg.Gyn. Obstet. 1921. V. 33. </w:t>
      </w:r>
      <w:r>
        <w:rPr>
          <w:spacing w:val="63"/>
          <w:sz w:val="28"/>
        </w:rPr>
        <w:t> </w:t>
      </w:r>
      <w:r>
        <w:rPr>
          <w:sz w:val="28"/>
        </w:rPr>
        <w:t>[304]</w:t>
      </w:r>
    </w:p>
    <w:p>
      <w:pPr>
        <w:pStyle w:val="ListParagraph"/>
        <w:numPr>
          <w:ilvl w:val="0"/>
          <w:numId w:val="59"/>
        </w:numPr>
        <w:tabs>
          <w:tab w:pos="1438" w:val="left" w:leader="none"/>
        </w:tabs>
        <w:spacing w:line="360" w:lineRule="auto" w:before="5" w:after="0"/>
        <w:ind w:left="742" w:right="107" w:hanging="360"/>
        <w:jc w:val="both"/>
        <w:rPr>
          <w:sz w:val="28"/>
        </w:rPr>
      </w:pPr>
      <w:r>
        <w:rPr>
          <w:sz w:val="28"/>
        </w:rPr>
        <w:t>Onnis A., Marchetti M. Hormonal replacement therapy and gynecological cancer. Clin. Exp. Obst. Gyn. -1999, 26 (1), p.</w:t>
      </w:r>
      <w:r>
        <w:rPr>
          <w:spacing w:val="-27"/>
          <w:sz w:val="28"/>
        </w:rPr>
        <w:t> </w:t>
      </w:r>
      <w:r>
        <w:rPr>
          <w:sz w:val="28"/>
        </w:rPr>
        <w:t>5-8.</w:t>
      </w:r>
    </w:p>
    <w:p>
      <w:pPr>
        <w:pStyle w:val="ListParagraph"/>
        <w:numPr>
          <w:ilvl w:val="0"/>
          <w:numId w:val="59"/>
        </w:numPr>
        <w:tabs>
          <w:tab w:pos="1438" w:val="left" w:leader="none"/>
        </w:tabs>
        <w:spacing w:line="360" w:lineRule="auto" w:before="8" w:after="0"/>
        <w:ind w:left="742" w:right="107" w:hanging="360"/>
        <w:jc w:val="both"/>
        <w:rPr>
          <w:sz w:val="28"/>
        </w:rPr>
      </w:pPr>
      <w:r>
        <w:rPr>
          <w:sz w:val="28"/>
        </w:rPr>
        <w:t>Ostor A.G., Duncan A., Quinn M., Rome R. Adenocarcinoma in situ of the uterine cervix: an experience with 100 cases. // Gynecol.</w:t>
      </w:r>
      <w:r>
        <w:rPr>
          <w:spacing w:val="12"/>
          <w:sz w:val="28"/>
        </w:rPr>
        <w:t> </w:t>
      </w:r>
      <w:r>
        <w:rPr>
          <w:sz w:val="28"/>
        </w:rPr>
        <w:t>oncol.</w:t>
      </w:r>
    </w:p>
    <w:p>
      <w:pPr>
        <w:pStyle w:val="BodyText"/>
        <w:spacing w:before="5"/>
        <w:ind w:left="741"/>
      </w:pPr>
      <w:r>
        <w:rPr/>
        <w:t>– 2000. – Nov. – 79(2). – p.207-210.</w:t>
      </w:r>
    </w:p>
    <w:p>
      <w:pPr>
        <w:pStyle w:val="ListParagraph"/>
        <w:numPr>
          <w:ilvl w:val="0"/>
          <w:numId w:val="59"/>
        </w:numPr>
        <w:tabs>
          <w:tab w:pos="1438" w:val="left" w:leader="none"/>
        </w:tabs>
        <w:spacing w:line="360" w:lineRule="auto" w:before="160" w:after="0"/>
        <w:ind w:left="742" w:right="99" w:hanging="360"/>
        <w:jc w:val="both"/>
        <w:rPr>
          <w:sz w:val="28"/>
        </w:rPr>
      </w:pPr>
      <w:r>
        <w:rPr>
          <w:sz w:val="28"/>
        </w:rPr>
        <w:t>Ott H.W. et al. The evaluation of the second-look operation of patients with ovarian carcinoma and tubal carcinoma by means of a retrospective comparison study </w:t>
      </w:r>
      <w:r>
        <w:rPr>
          <w:spacing w:val="2"/>
          <w:sz w:val="28"/>
        </w:rPr>
        <w:t>// </w:t>
      </w:r>
      <w:r>
        <w:rPr>
          <w:sz w:val="28"/>
        </w:rPr>
        <w:t>Gynakol Geburtshilfliche Rundsch. - 2002. – Vol. 42, № 4. – P.</w:t>
      </w:r>
      <w:r>
        <w:rPr>
          <w:spacing w:val="-15"/>
          <w:sz w:val="28"/>
        </w:rPr>
        <w:t> </w:t>
      </w:r>
      <w:r>
        <w:rPr>
          <w:sz w:val="28"/>
        </w:rPr>
        <w:t>217-224.</w:t>
      </w:r>
    </w:p>
    <w:p>
      <w:pPr>
        <w:pStyle w:val="ListParagraph"/>
        <w:numPr>
          <w:ilvl w:val="0"/>
          <w:numId w:val="59"/>
        </w:numPr>
        <w:tabs>
          <w:tab w:pos="1438" w:val="left" w:leader="none"/>
        </w:tabs>
        <w:spacing w:line="360" w:lineRule="auto" w:before="5" w:after="0"/>
        <w:ind w:left="742" w:right="102" w:hanging="360"/>
        <w:jc w:val="both"/>
        <w:rPr>
          <w:sz w:val="28"/>
        </w:rPr>
      </w:pPr>
      <w:r>
        <w:rPr>
          <w:sz w:val="28"/>
        </w:rPr>
        <w:t>Panteix G., Guillaumont M., Cherpin L. et al. Study of the pharmacokinetics of mitomycin C in humans during intraperitoneal chemohyperthermia with special mention of the concentration in local tissues // Oncology. – 1993. – Vol. 50, №. 5. – P.</w:t>
      </w:r>
      <w:r>
        <w:rPr>
          <w:spacing w:val="-29"/>
          <w:sz w:val="28"/>
        </w:rPr>
        <w:t> </w:t>
      </w:r>
      <w:r>
        <w:rPr>
          <w:sz w:val="28"/>
        </w:rPr>
        <w:t>366-370.</w:t>
      </w:r>
    </w:p>
    <w:p>
      <w:pPr>
        <w:pStyle w:val="ListParagraph"/>
        <w:numPr>
          <w:ilvl w:val="0"/>
          <w:numId w:val="59"/>
        </w:numPr>
        <w:tabs>
          <w:tab w:pos="1438" w:val="left" w:leader="none"/>
        </w:tabs>
        <w:spacing w:line="360" w:lineRule="auto" w:before="5" w:after="0"/>
        <w:ind w:left="742" w:right="98" w:hanging="360"/>
        <w:jc w:val="both"/>
        <w:rPr>
          <w:sz w:val="28"/>
        </w:rPr>
      </w:pPr>
      <w:r>
        <w:rPr>
          <w:sz w:val="28"/>
        </w:rPr>
        <w:t>Pavelka J., Ben-Shachar I., Fowler J. Morbid obesity and endometrial cancer: surgical, clinical, and pathologic outcomes in surgically managed patients // Gynecol. Oncol. – 2004. – Vol. 95. – P.  588 –</w:t>
      </w:r>
      <w:r>
        <w:rPr>
          <w:spacing w:val="-2"/>
          <w:sz w:val="28"/>
        </w:rPr>
        <w:t> </w:t>
      </w:r>
      <w:r>
        <w:rPr>
          <w:sz w:val="28"/>
        </w:rPr>
        <w:t>592.</w:t>
      </w:r>
    </w:p>
    <w:p>
      <w:pPr>
        <w:pStyle w:val="ListParagraph"/>
        <w:numPr>
          <w:ilvl w:val="0"/>
          <w:numId w:val="59"/>
        </w:numPr>
        <w:tabs>
          <w:tab w:pos="1437" w:val="left" w:leader="none"/>
          <w:tab w:pos="1438" w:val="left" w:leader="none"/>
          <w:tab w:pos="3756" w:val="left" w:leader="none"/>
        </w:tabs>
        <w:spacing w:line="360" w:lineRule="auto" w:before="5" w:after="0"/>
        <w:ind w:left="742" w:right="324" w:hanging="360"/>
        <w:jc w:val="left"/>
        <w:rPr>
          <w:sz w:val="28"/>
        </w:rPr>
      </w:pPr>
      <w:r>
        <w:rPr>
          <w:sz w:val="28"/>
        </w:rPr>
        <w:t>Pecorelli S. Revised FIGO staging for carcinoma of the vulva, cervix,</w:t>
      </w:r>
      <w:r>
        <w:rPr>
          <w:spacing w:val="-3"/>
          <w:sz w:val="28"/>
        </w:rPr>
        <w:t> </w:t>
      </w:r>
      <w:r>
        <w:rPr>
          <w:sz w:val="28"/>
        </w:rPr>
        <w:t>and</w:t>
      </w:r>
      <w:r>
        <w:rPr>
          <w:spacing w:val="-1"/>
          <w:sz w:val="28"/>
        </w:rPr>
        <w:t> </w:t>
      </w:r>
      <w:r>
        <w:rPr>
          <w:sz w:val="28"/>
        </w:rPr>
        <w:t>endometrium</w:t>
        <w:tab/>
        <w:t>// Int. J. Gynaecol. Obstet. – 2009. –</w:t>
      </w:r>
      <w:r>
        <w:rPr>
          <w:spacing w:val="-12"/>
          <w:sz w:val="28"/>
        </w:rPr>
        <w:t> </w:t>
      </w:r>
      <w:r>
        <w:rPr>
          <w:sz w:val="28"/>
        </w:rPr>
        <w:t>Vol.</w:t>
      </w:r>
      <w:r>
        <w:rPr>
          <w:spacing w:val="-3"/>
          <w:sz w:val="28"/>
        </w:rPr>
        <w:t> </w:t>
      </w:r>
      <w:r>
        <w:rPr>
          <w:sz w:val="28"/>
        </w:rPr>
        <w:t>105</w:t>
      </w:r>
      <w:r>
        <w:rPr>
          <w:w w:val="100"/>
          <w:sz w:val="28"/>
        </w:rPr>
        <w:t> </w:t>
      </w:r>
      <w:r>
        <w:rPr>
          <w:sz w:val="28"/>
        </w:rPr>
        <w:t>(2). – 103 –</w:t>
      </w:r>
      <w:r>
        <w:rPr>
          <w:spacing w:val="-4"/>
          <w:sz w:val="28"/>
        </w:rPr>
        <w:t> </w:t>
      </w:r>
      <w:r>
        <w:rPr>
          <w:sz w:val="28"/>
        </w:rPr>
        <w:t>104.</w:t>
      </w:r>
    </w:p>
    <w:p>
      <w:pPr>
        <w:spacing w:after="0" w:line="360" w:lineRule="auto"/>
        <w:jc w:val="left"/>
        <w:rPr>
          <w:sz w:val="28"/>
        </w:rPr>
        <w:sectPr>
          <w:headerReference w:type="default" r:id="rId230"/>
          <w:pgSz w:w="11900" w:h="16850"/>
          <w:pgMar w:header="712" w:footer="0" w:top="1020" w:bottom="280" w:left="1680" w:right="1020"/>
          <w:pgNumType w:start="313"/>
        </w:sectPr>
      </w:pPr>
    </w:p>
    <w:p>
      <w:pPr>
        <w:pStyle w:val="ListParagraph"/>
        <w:numPr>
          <w:ilvl w:val="0"/>
          <w:numId w:val="59"/>
        </w:numPr>
        <w:tabs>
          <w:tab w:pos="1438" w:val="left" w:leader="none"/>
        </w:tabs>
        <w:spacing w:line="360" w:lineRule="auto" w:before="0" w:after="0"/>
        <w:ind w:left="742" w:right="116" w:hanging="360"/>
        <w:jc w:val="both"/>
        <w:rPr>
          <w:sz w:val="28"/>
        </w:rPr>
      </w:pPr>
      <w:r>
        <w:rPr>
          <w:sz w:val="28"/>
        </w:rPr>
        <w:t>Pescetto G. Diagnostic techniques evolution in gynecological oncology: clinical remarks: Int. Multidiscip. Symp. «CA 125: Ten Years Later: Biol. And Clin. Appl.: Present and Future», Sanremo, 10-13 Oct., 1993 / G.Pescetto // Anticancer Res. – 1993. - Vol.13, №58. – P.1699- 1705.</w:t>
      </w:r>
    </w:p>
    <w:p>
      <w:pPr>
        <w:pStyle w:val="ListParagraph"/>
        <w:numPr>
          <w:ilvl w:val="0"/>
          <w:numId w:val="59"/>
        </w:numPr>
        <w:tabs>
          <w:tab w:pos="1438" w:val="left" w:leader="none"/>
        </w:tabs>
        <w:spacing w:line="360" w:lineRule="auto" w:before="6" w:after="0"/>
        <w:ind w:left="742" w:right="120" w:hanging="360"/>
        <w:jc w:val="both"/>
        <w:rPr>
          <w:sz w:val="28"/>
        </w:rPr>
      </w:pPr>
      <w:r>
        <w:rPr>
          <w:sz w:val="28"/>
        </w:rPr>
        <w:t>Plytycz B. In vitro interaction of murine peritoneal macrophages and sarcoma cells. I. Promotion of tumor cells proliferation by macrophages // Virchows Arch. Abt. B. Cell. Pathol. – 1986. – Vol. 50, № 3. – Р.</w:t>
      </w:r>
      <w:r>
        <w:rPr>
          <w:spacing w:val="-6"/>
          <w:sz w:val="28"/>
        </w:rPr>
        <w:t> </w:t>
      </w:r>
      <w:r>
        <w:rPr>
          <w:sz w:val="28"/>
        </w:rPr>
        <w:t>285-292.</w:t>
      </w:r>
    </w:p>
    <w:p>
      <w:pPr>
        <w:pStyle w:val="ListParagraph"/>
        <w:numPr>
          <w:ilvl w:val="0"/>
          <w:numId w:val="59"/>
        </w:numPr>
        <w:tabs>
          <w:tab w:pos="1438" w:val="left" w:leader="none"/>
        </w:tabs>
        <w:spacing w:line="360" w:lineRule="auto" w:before="5" w:after="0"/>
        <w:ind w:left="742" w:right="123" w:hanging="360"/>
        <w:jc w:val="both"/>
        <w:rPr>
          <w:sz w:val="28"/>
        </w:rPr>
      </w:pPr>
      <w:r>
        <w:rPr>
          <w:sz w:val="28"/>
        </w:rPr>
        <w:t>Querleu D. Hystérectomies élargies: Quel élargissement pour quel cancer? / D.Querleu // Gyn. Obs. – 1996. - № 355. –</w:t>
      </w:r>
      <w:r>
        <w:rPr>
          <w:spacing w:val="-17"/>
          <w:sz w:val="28"/>
        </w:rPr>
        <w:t> </w:t>
      </w:r>
      <w:r>
        <w:rPr>
          <w:sz w:val="28"/>
        </w:rPr>
        <w:t>P.19-21.</w:t>
      </w:r>
    </w:p>
    <w:p>
      <w:pPr>
        <w:pStyle w:val="ListParagraph"/>
        <w:numPr>
          <w:ilvl w:val="0"/>
          <w:numId w:val="59"/>
        </w:numPr>
        <w:tabs>
          <w:tab w:pos="1438" w:val="left" w:leader="none"/>
        </w:tabs>
        <w:spacing w:line="360" w:lineRule="auto" w:before="7" w:after="0"/>
        <w:ind w:left="742" w:right="125" w:hanging="360"/>
        <w:jc w:val="both"/>
        <w:rPr>
          <w:sz w:val="28"/>
        </w:rPr>
      </w:pPr>
      <w:r>
        <w:rPr>
          <w:sz w:val="28"/>
        </w:rPr>
        <w:t>Querleu D., Leblanc E., Castelain B. Laparoscopic pelvic lymphadenectomy in the staging of early carcinoma of the  cervix  // Amer. J. Obstet. and Gynecol. – 1991. - Vol.164, №2. –</w:t>
      </w:r>
      <w:r>
        <w:rPr>
          <w:spacing w:val="-30"/>
          <w:sz w:val="28"/>
        </w:rPr>
        <w:t> </w:t>
      </w:r>
      <w:r>
        <w:rPr>
          <w:sz w:val="28"/>
        </w:rPr>
        <w:t>P.579-581.</w:t>
      </w:r>
    </w:p>
    <w:p>
      <w:pPr>
        <w:pStyle w:val="ListParagraph"/>
        <w:numPr>
          <w:ilvl w:val="0"/>
          <w:numId w:val="59"/>
        </w:numPr>
        <w:tabs>
          <w:tab w:pos="1438" w:val="left" w:leader="none"/>
        </w:tabs>
        <w:spacing w:line="360" w:lineRule="auto" w:before="5" w:after="0"/>
        <w:ind w:left="742" w:right="130" w:hanging="360"/>
        <w:jc w:val="both"/>
        <w:rPr>
          <w:sz w:val="28"/>
        </w:rPr>
      </w:pPr>
      <w:r>
        <w:rPr>
          <w:sz w:val="28"/>
        </w:rPr>
        <w:t>Querleu D., Ferron G., Rafii A. et al. Pelvic lymph node dissection via a lateral extraperitoneal approach: Description of a technique // Gynecol Oncol. – 2008. – Vol. 109, № 1. – Р. 81 –</w:t>
      </w:r>
      <w:r>
        <w:rPr>
          <w:spacing w:val="-22"/>
          <w:sz w:val="28"/>
        </w:rPr>
        <w:t> </w:t>
      </w:r>
      <w:r>
        <w:rPr>
          <w:sz w:val="28"/>
        </w:rPr>
        <w:t>85.</w:t>
      </w:r>
    </w:p>
    <w:p>
      <w:pPr>
        <w:pStyle w:val="ListParagraph"/>
        <w:numPr>
          <w:ilvl w:val="0"/>
          <w:numId w:val="59"/>
        </w:numPr>
        <w:tabs>
          <w:tab w:pos="1438" w:val="left" w:leader="none"/>
        </w:tabs>
        <w:spacing w:line="360" w:lineRule="auto" w:before="5" w:after="0"/>
        <w:ind w:left="742" w:right="119" w:hanging="360"/>
        <w:jc w:val="both"/>
        <w:rPr>
          <w:sz w:val="28"/>
        </w:rPr>
      </w:pPr>
      <w:r>
        <w:rPr>
          <w:sz w:val="28"/>
        </w:rPr>
        <w:t>Ragonese P., Giacalone A. Note sull’evoluzione della diagnostic e della terapia del cervico-ca negli ultimo 40 anni attuali prospettive. – Conv. naz. A.O.G.O.I. «Attuali orientamenti cervicocarcinoma», Catania, 14 dic., 1991  // G. ital. ostet. e ginecol. – 1993. - Vol.15, №1. –</w:t>
      </w:r>
      <w:r>
        <w:rPr>
          <w:spacing w:val="-29"/>
          <w:sz w:val="28"/>
        </w:rPr>
        <w:t> </w:t>
      </w:r>
      <w:r>
        <w:rPr>
          <w:sz w:val="28"/>
        </w:rPr>
        <w:t>P.63-66.</w:t>
      </w:r>
    </w:p>
    <w:p>
      <w:pPr>
        <w:pStyle w:val="ListParagraph"/>
        <w:numPr>
          <w:ilvl w:val="0"/>
          <w:numId w:val="59"/>
        </w:numPr>
        <w:tabs>
          <w:tab w:pos="1438" w:val="left" w:leader="none"/>
        </w:tabs>
        <w:spacing w:line="360" w:lineRule="auto" w:before="5" w:after="0"/>
        <w:ind w:left="742" w:right="121" w:hanging="360"/>
        <w:jc w:val="both"/>
        <w:rPr>
          <w:sz w:val="28"/>
        </w:rPr>
      </w:pPr>
      <w:r>
        <w:rPr>
          <w:sz w:val="28"/>
        </w:rPr>
        <w:t>Rakar S., Kovacic J., Cavic M. et al. Prognostic factors in ovarian cancer  //  Eur. J. Gynaec. Oncol. –  1990.  –  Vol. 12,  № 3. –   Р. 171- 173.</w:t>
      </w:r>
    </w:p>
    <w:p>
      <w:pPr>
        <w:pStyle w:val="ListParagraph"/>
        <w:numPr>
          <w:ilvl w:val="0"/>
          <w:numId w:val="59"/>
        </w:numPr>
        <w:tabs>
          <w:tab w:pos="1438" w:val="left" w:leader="none"/>
        </w:tabs>
        <w:spacing w:line="360" w:lineRule="auto" w:before="5" w:after="0"/>
        <w:ind w:left="742" w:right="119" w:hanging="360"/>
        <w:jc w:val="both"/>
        <w:rPr>
          <w:sz w:val="28"/>
        </w:rPr>
      </w:pPr>
      <w:r>
        <w:rPr>
          <w:sz w:val="28"/>
        </w:rPr>
        <w:t>Ramirez P.T., Jhingran A., Macapinlac H.A. et al. Laparoscopic extraperitoneal para-aortic lymphadenectomy in locally advanced cervical cancer: a prospective correlation of surgical findings with positron emission tomography/computed tomography findings   // Cancer. – </w:t>
      </w:r>
      <w:r>
        <w:rPr>
          <w:spacing w:val="29"/>
          <w:sz w:val="28"/>
        </w:rPr>
        <w:t> </w:t>
      </w:r>
      <w:r>
        <w:rPr>
          <w:sz w:val="28"/>
        </w:rPr>
        <w:t>2011.</w:t>
      </w:r>
    </w:p>
    <w:p>
      <w:pPr>
        <w:pStyle w:val="BodyText"/>
        <w:spacing w:before="7"/>
        <w:ind w:left="741"/>
      </w:pPr>
      <w:r>
        <w:rPr/>
        <w:t>- Vol.117, №9. – P.1928-1934.</w:t>
      </w:r>
    </w:p>
    <w:p>
      <w:pPr>
        <w:spacing w:after="0"/>
        <w:sectPr>
          <w:pgSz w:w="11900" w:h="16850"/>
          <w:pgMar w:header="712" w:footer="0" w:top="1020" w:bottom="280" w:left="1680" w:right="1000"/>
        </w:sectPr>
      </w:pPr>
    </w:p>
    <w:p>
      <w:pPr>
        <w:pStyle w:val="ListParagraph"/>
        <w:numPr>
          <w:ilvl w:val="0"/>
          <w:numId w:val="59"/>
        </w:numPr>
        <w:tabs>
          <w:tab w:pos="1438" w:val="left" w:leader="none"/>
          <w:tab w:pos="8144" w:val="left" w:leader="none"/>
        </w:tabs>
        <w:spacing w:line="360" w:lineRule="auto" w:before="0" w:after="0"/>
        <w:ind w:left="742" w:right="99" w:hanging="360"/>
        <w:jc w:val="both"/>
        <w:rPr>
          <w:sz w:val="28"/>
        </w:rPr>
      </w:pPr>
      <w:r>
        <w:rPr>
          <w:sz w:val="28"/>
        </w:rPr>
        <w:t>Reich  O.,  Lahousen  M.,      Pickel      H.    </w:t>
      </w:r>
      <w:r>
        <w:rPr>
          <w:spacing w:val="7"/>
          <w:sz w:val="28"/>
        </w:rPr>
        <w:t> </w:t>
      </w:r>
      <w:r>
        <w:rPr>
          <w:sz w:val="28"/>
        </w:rPr>
        <w:t>et    </w:t>
      </w:r>
      <w:r>
        <w:rPr>
          <w:spacing w:val="32"/>
          <w:sz w:val="28"/>
        </w:rPr>
        <w:t> </w:t>
      </w:r>
      <w:r>
        <w:rPr>
          <w:sz w:val="28"/>
        </w:rPr>
        <w:t>al.</w:t>
        <w:tab/>
        <w:t>Cervical intraepithelial neoplasia III: long-term follow-up after cold-knife conization with involved margins. // Obstet. gynecol. – 2002. –  Feb. 99(2). –</w:t>
      </w:r>
      <w:r>
        <w:rPr>
          <w:spacing w:val="-10"/>
          <w:sz w:val="28"/>
        </w:rPr>
        <w:t> </w:t>
      </w:r>
      <w:r>
        <w:rPr>
          <w:sz w:val="28"/>
        </w:rPr>
        <w:t>p.193-196.</w:t>
      </w:r>
    </w:p>
    <w:p>
      <w:pPr>
        <w:pStyle w:val="ListParagraph"/>
        <w:numPr>
          <w:ilvl w:val="0"/>
          <w:numId w:val="59"/>
        </w:numPr>
        <w:tabs>
          <w:tab w:pos="1438" w:val="left" w:leader="none"/>
        </w:tabs>
        <w:spacing w:line="360" w:lineRule="auto" w:before="6" w:after="0"/>
        <w:ind w:left="742" w:right="99" w:hanging="360"/>
        <w:jc w:val="both"/>
        <w:rPr>
          <w:sz w:val="28"/>
        </w:rPr>
      </w:pPr>
      <w:r>
        <w:rPr>
          <w:sz w:val="28"/>
        </w:rPr>
        <w:t>Reich O., Pickel H., Lahousen M., Tamussino K., Winter R. Cervical intraepithelial neoplasia III: long-term outcome after cold-knife conization with clear margins. // Obstet. gynecol. – 2001. – Mar. – </w:t>
      </w:r>
      <w:r>
        <w:rPr>
          <w:spacing w:val="50"/>
          <w:sz w:val="28"/>
        </w:rPr>
        <w:t> </w:t>
      </w:r>
      <w:r>
        <w:rPr>
          <w:sz w:val="28"/>
        </w:rPr>
        <w:t>97(3).</w:t>
      </w:r>
    </w:p>
    <w:p>
      <w:pPr>
        <w:pStyle w:val="BodyText"/>
        <w:spacing w:before="5"/>
        <w:ind w:left="741"/>
      </w:pPr>
      <w:r>
        <w:rPr/>
        <w:t>– p.428-430.</w:t>
      </w:r>
    </w:p>
    <w:p>
      <w:pPr>
        <w:pStyle w:val="ListParagraph"/>
        <w:numPr>
          <w:ilvl w:val="0"/>
          <w:numId w:val="59"/>
        </w:numPr>
        <w:tabs>
          <w:tab w:pos="1438" w:val="left" w:leader="none"/>
        </w:tabs>
        <w:spacing w:line="360" w:lineRule="auto" w:before="160" w:after="0"/>
        <w:ind w:left="742" w:right="98" w:hanging="360"/>
        <w:jc w:val="both"/>
        <w:rPr>
          <w:sz w:val="28"/>
        </w:rPr>
      </w:pPr>
      <w:r>
        <w:rPr>
          <w:sz w:val="28"/>
        </w:rPr>
        <w:t>Rose P.R., Nerenstone F., Brady M.F. et al. Secondary surgical cytoreduction for advanced ovarian carcinoma // N. Engl. J. Med. –</w:t>
      </w:r>
      <w:r>
        <w:rPr>
          <w:spacing w:val="63"/>
          <w:sz w:val="28"/>
        </w:rPr>
        <w:t> </w:t>
      </w:r>
      <w:r>
        <w:rPr>
          <w:sz w:val="28"/>
        </w:rPr>
        <w:t>2004.</w:t>
      </w:r>
    </w:p>
    <w:p>
      <w:pPr>
        <w:pStyle w:val="BodyText"/>
        <w:spacing w:before="5"/>
        <w:ind w:left="741"/>
      </w:pPr>
      <w:r>
        <w:rPr/>
        <w:t>– V. 351. – P. 2489-2497.</w:t>
      </w:r>
    </w:p>
    <w:p>
      <w:pPr>
        <w:pStyle w:val="ListParagraph"/>
        <w:numPr>
          <w:ilvl w:val="0"/>
          <w:numId w:val="59"/>
        </w:numPr>
        <w:tabs>
          <w:tab w:pos="1438" w:val="left" w:leader="none"/>
        </w:tabs>
        <w:spacing w:line="360" w:lineRule="auto" w:before="163" w:after="0"/>
        <w:ind w:left="742" w:right="99" w:hanging="360"/>
        <w:jc w:val="both"/>
        <w:rPr>
          <w:sz w:val="28"/>
        </w:rPr>
      </w:pPr>
      <w:r>
        <w:rPr>
          <w:sz w:val="28"/>
        </w:rPr>
        <w:t>Roviello F., Pinto E., Corso G. et al. Safety and potential benefit of hyperthermic intraperitoneal chemotherapy (HIPEC) in peritoneal carcinomatosis from primary or recurrent ovarian cancer // J. Surg.</w:t>
      </w:r>
      <w:r>
        <w:rPr>
          <w:spacing w:val="17"/>
          <w:sz w:val="28"/>
        </w:rPr>
        <w:t> </w:t>
      </w:r>
      <w:r>
        <w:rPr>
          <w:sz w:val="28"/>
        </w:rPr>
        <w:t>Oncol.</w:t>
      </w:r>
    </w:p>
    <w:p>
      <w:pPr>
        <w:pStyle w:val="BodyText"/>
        <w:spacing w:before="5"/>
        <w:ind w:left="741"/>
      </w:pPr>
      <w:r>
        <w:rPr/>
        <w:t>– 2010. – Vol. 102, № 6. – P. 663-670.</w:t>
      </w:r>
    </w:p>
    <w:p>
      <w:pPr>
        <w:pStyle w:val="ListParagraph"/>
        <w:numPr>
          <w:ilvl w:val="0"/>
          <w:numId w:val="59"/>
        </w:numPr>
        <w:tabs>
          <w:tab w:pos="1438" w:val="left" w:leader="none"/>
        </w:tabs>
        <w:spacing w:line="360" w:lineRule="auto" w:before="163" w:after="0"/>
        <w:ind w:left="742" w:right="111" w:hanging="360"/>
        <w:jc w:val="both"/>
        <w:rPr>
          <w:sz w:val="28"/>
        </w:rPr>
      </w:pPr>
      <w:r>
        <w:rPr>
          <w:sz w:val="28"/>
        </w:rPr>
        <w:t>Rubens D., Thornbury John R., Angel C. et al. Stage IB cervical carcinoma: comparison of clinical, MR, and pathologic staging // Amer.  J. Roenfgenol. – 1988. - Vol.150, №1. –</w:t>
      </w:r>
      <w:r>
        <w:rPr>
          <w:spacing w:val="-25"/>
          <w:sz w:val="28"/>
        </w:rPr>
        <w:t> </w:t>
      </w:r>
      <w:r>
        <w:rPr>
          <w:sz w:val="28"/>
        </w:rPr>
        <w:t>P.135-138.</w:t>
      </w:r>
    </w:p>
    <w:p>
      <w:pPr>
        <w:pStyle w:val="ListParagraph"/>
        <w:numPr>
          <w:ilvl w:val="0"/>
          <w:numId w:val="59"/>
        </w:numPr>
        <w:tabs>
          <w:tab w:pos="1438" w:val="left" w:leader="none"/>
        </w:tabs>
        <w:spacing w:line="360" w:lineRule="auto" w:before="5" w:after="0"/>
        <w:ind w:left="742" w:right="109" w:hanging="360"/>
        <w:jc w:val="both"/>
        <w:rPr>
          <w:sz w:val="28"/>
        </w:rPr>
      </w:pPr>
      <w:r>
        <w:rPr>
          <w:sz w:val="28"/>
        </w:rPr>
        <w:t>Rustin G.J., Van der Burg M.E., Griffin C.L. et al. MRC OV05; EORTC 55955 investigators. Early versus delayed treatment of relapsed ovarian cancer (MRC OV05/EORTC 55955): a randomised trial //</w:t>
      </w:r>
      <w:r>
        <w:rPr>
          <w:spacing w:val="-20"/>
          <w:sz w:val="28"/>
        </w:rPr>
        <w:t> </w:t>
      </w:r>
      <w:r>
        <w:rPr>
          <w:sz w:val="28"/>
        </w:rPr>
        <w:t>Lancet.</w:t>
      </w:r>
    </w:p>
    <w:p>
      <w:pPr>
        <w:pStyle w:val="BodyText"/>
        <w:spacing w:before="5"/>
        <w:ind w:left="741"/>
      </w:pPr>
      <w:r>
        <w:rPr/>
        <w:t>– 2010. - Oct 2; 376(9747). – P. 1155-1163.</w:t>
      </w:r>
    </w:p>
    <w:p>
      <w:pPr>
        <w:pStyle w:val="ListParagraph"/>
        <w:numPr>
          <w:ilvl w:val="0"/>
          <w:numId w:val="59"/>
        </w:numPr>
        <w:tabs>
          <w:tab w:pos="1438" w:val="left" w:leader="none"/>
        </w:tabs>
        <w:spacing w:line="362" w:lineRule="auto" w:before="161" w:after="0"/>
        <w:ind w:left="742" w:right="104" w:hanging="360"/>
        <w:jc w:val="both"/>
        <w:rPr>
          <w:sz w:val="28"/>
        </w:rPr>
      </w:pPr>
      <w:r>
        <w:rPr>
          <w:sz w:val="28"/>
        </w:rPr>
        <w:t>Rutledge</w:t>
      </w:r>
      <w:r>
        <w:rPr>
          <w:spacing w:val="-8"/>
          <w:sz w:val="28"/>
        </w:rPr>
        <w:t> </w:t>
      </w:r>
      <w:r>
        <w:rPr>
          <w:sz w:val="28"/>
        </w:rPr>
        <w:t>F.,</w:t>
      </w:r>
      <w:r>
        <w:rPr>
          <w:spacing w:val="-9"/>
          <w:sz w:val="28"/>
        </w:rPr>
        <w:t> </w:t>
      </w:r>
      <w:r>
        <w:rPr>
          <w:sz w:val="28"/>
        </w:rPr>
        <w:t>Burns</w:t>
      </w:r>
      <w:r>
        <w:rPr>
          <w:spacing w:val="-7"/>
          <w:sz w:val="28"/>
        </w:rPr>
        <w:t> </w:t>
      </w:r>
      <w:r>
        <w:rPr>
          <w:sz w:val="28"/>
        </w:rPr>
        <w:t>S.B.</w:t>
      </w:r>
      <w:r>
        <w:rPr>
          <w:spacing w:val="-8"/>
          <w:sz w:val="28"/>
        </w:rPr>
        <w:t> </w:t>
      </w:r>
      <w:r>
        <w:rPr>
          <w:sz w:val="28"/>
        </w:rPr>
        <w:t>Chemotherapy</w:t>
      </w:r>
      <w:r>
        <w:rPr>
          <w:spacing w:val="-12"/>
          <w:sz w:val="28"/>
        </w:rPr>
        <w:t> </w:t>
      </w:r>
      <w:r>
        <w:rPr>
          <w:sz w:val="28"/>
        </w:rPr>
        <w:t>for</w:t>
      </w:r>
      <w:r>
        <w:rPr>
          <w:spacing w:val="-10"/>
          <w:sz w:val="28"/>
        </w:rPr>
        <w:t> </w:t>
      </w:r>
      <w:r>
        <w:rPr>
          <w:sz w:val="28"/>
        </w:rPr>
        <w:t>advanced</w:t>
      </w:r>
      <w:r>
        <w:rPr>
          <w:spacing w:val="-7"/>
          <w:sz w:val="28"/>
        </w:rPr>
        <w:t> </w:t>
      </w:r>
      <w:r>
        <w:rPr>
          <w:sz w:val="28"/>
        </w:rPr>
        <w:t>ovarian</w:t>
      </w:r>
      <w:r>
        <w:rPr>
          <w:spacing w:val="-9"/>
          <w:sz w:val="28"/>
        </w:rPr>
        <w:t> </w:t>
      </w:r>
      <w:r>
        <w:rPr>
          <w:sz w:val="28"/>
        </w:rPr>
        <w:t>cancer. Am J Obstet Gynecol 1966;</w:t>
      </w:r>
      <w:r>
        <w:rPr>
          <w:spacing w:val="-51"/>
          <w:sz w:val="28"/>
        </w:rPr>
        <w:t> </w:t>
      </w:r>
      <w:r>
        <w:rPr>
          <w:sz w:val="28"/>
        </w:rPr>
        <w:t>96:761-70.</w:t>
      </w:r>
    </w:p>
    <w:p>
      <w:pPr>
        <w:pStyle w:val="ListParagraph"/>
        <w:numPr>
          <w:ilvl w:val="0"/>
          <w:numId w:val="59"/>
        </w:numPr>
        <w:tabs>
          <w:tab w:pos="1438" w:val="left" w:leader="none"/>
        </w:tabs>
        <w:spacing w:line="360" w:lineRule="auto" w:before="2" w:after="0"/>
        <w:ind w:left="742" w:right="108" w:hanging="360"/>
        <w:jc w:val="both"/>
        <w:rPr>
          <w:sz w:val="28"/>
        </w:rPr>
      </w:pPr>
      <w:r>
        <w:rPr>
          <w:sz w:val="28"/>
        </w:rPr>
        <w:t>Salzer H., Sevelda P., Genger H. Die bedentung der chirurgischen stadierung beim Fruhstadien der ovarialkarzinoms // Wien. Klin. Wochenschr. – 1990. – Bd. 102, № 15. – S.</w:t>
      </w:r>
      <w:r>
        <w:rPr>
          <w:spacing w:val="-20"/>
          <w:sz w:val="28"/>
        </w:rPr>
        <w:t> </w:t>
      </w:r>
      <w:r>
        <w:rPr>
          <w:sz w:val="28"/>
        </w:rPr>
        <w:t>437-440.</w:t>
      </w:r>
    </w:p>
    <w:p>
      <w:pPr>
        <w:pStyle w:val="ListParagraph"/>
        <w:numPr>
          <w:ilvl w:val="0"/>
          <w:numId w:val="59"/>
        </w:numPr>
        <w:tabs>
          <w:tab w:pos="1438" w:val="left" w:leader="none"/>
        </w:tabs>
        <w:spacing w:line="360" w:lineRule="auto" w:before="5" w:after="0"/>
        <w:ind w:left="742" w:right="100" w:hanging="360"/>
        <w:jc w:val="both"/>
        <w:rPr>
          <w:sz w:val="28"/>
        </w:rPr>
      </w:pPr>
      <w:r>
        <w:rPr>
          <w:sz w:val="28"/>
        </w:rPr>
        <w:t>Santoro B.T., Griffin W.O. Jr., Wangensteen O.H. The second-look procedure in the management of ovarian malignancies and  pseudomyxoma peritonei // Surgery. – 1961. – Vol. 50. - P.</w:t>
      </w:r>
      <w:r>
        <w:rPr>
          <w:spacing w:val="-31"/>
          <w:sz w:val="28"/>
        </w:rPr>
        <w:t> </w:t>
      </w:r>
      <w:r>
        <w:rPr>
          <w:sz w:val="28"/>
        </w:rPr>
        <w:t>354-358.</w:t>
      </w:r>
    </w:p>
    <w:p>
      <w:pPr>
        <w:spacing w:after="0" w:line="360" w:lineRule="auto"/>
        <w:jc w:val="both"/>
        <w:rPr>
          <w:sz w:val="28"/>
        </w:rPr>
        <w:sectPr>
          <w:headerReference w:type="default" r:id="rId231"/>
          <w:pgSz w:w="11900" w:h="16850"/>
          <w:pgMar w:header="712" w:footer="0" w:top="1020" w:bottom="280" w:left="1680" w:right="1020"/>
          <w:pgNumType w:start="315"/>
        </w:sectPr>
      </w:pPr>
    </w:p>
    <w:p>
      <w:pPr>
        <w:pStyle w:val="ListParagraph"/>
        <w:numPr>
          <w:ilvl w:val="0"/>
          <w:numId w:val="59"/>
        </w:numPr>
        <w:tabs>
          <w:tab w:pos="1438" w:val="left" w:leader="none"/>
        </w:tabs>
        <w:spacing w:line="360" w:lineRule="auto" w:before="0" w:after="0"/>
        <w:ind w:left="742" w:right="99" w:hanging="360"/>
        <w:jc w:val="both"/>
        <w:rPr>
          <w:sz w:val="28"/>
        </w:rPr>
      </w:pPr>
      <w:r>
        <w:rPr>
          <w:sz w:val="28"/>
        </w:rPr>
        <w:t>Schilder J.M., Thompson A.M., DePriest P.D. et al. Outcome of reproductive age women with stage IA or IC invasive epithelial ovarian cancer treated with fertility-sparing therapy. Gynecol Oncol 2002; 87: </w:t>
      </w:r>
      <w:r>
        <w:rPr>
          <w:spacing w:val="4"/>
          <w:sz w:val="28"/>
        </w:rPr>
        <w:t>1- </w:t>
      </w:r>
      <w:r>
        <w:rPr>
          <w:sz w:val="28"/>
        </w:rPr>
        <w:t>7.</w:t>
      </w:r>
    </w:p>
    <w:p>
      <w:pPr>
        <w:pStyle w:val="ListParagraph"/>
        <w:numPr>
          <w:ilvl w:val="0"/>
          <w:numId w:val="59"/>
        </w:numPr>
        <w:tabs>
          <w:tab w:pos="1502" w:val="left" w:leader="none"/>
          <w:tab w:pos="1503" w:val="left" w:leader="none"/>
          <w:tab w:pos="3221" w:val="left" w:leader="none"/>
        </w:tabs>
        <w:spacing w:line="360" w:lineRule="auto" w:before="6" w:after="0"/>
        <w:ind w:left="742" w:right="400" w:hanging="360"/>
        <w:jc w:val="left"/>
        <w:rPr>
          <w:sz w:val="28"/>
        </w:rPr>
      </w:pPr>
      <w:r>
        <w:rPr>
          <w:sz w:val="28"/>
        </w:rPr>
        <w:t>Schneider A., Krause N., Kühne-Heid R. Erhaltung der Fertilität bei frühem Zervixkarzinom: Trachelektomie mit laparoskopischer Lymphonodektomie</w:t>
        <w:tab/>
        <w:t>// Zbl. Gynacol. – 1996. - Vol.118, №1. –</w:t>
      </w:r>
      <w:r>
        <w:rPr>
          <w:spacing w:val="-12"/>
          <w:sz w:val="28"/>
        </w:rPr>
        <w:t> </w:t>
      </w:r>
      <w:r>
        <w:rPr>
          <w:sz w:val="28"/>
        </w:rPr>
        <w:t>P.6-8.</w:t>
      </w:r>
    </w:p>
    <w:p>
      <w:pPr>
        <w:pStyle w:val="ListParagraph"/>
        <w:numPr>
          <w:ilvl w:val="0"/>
          <w:numId w:val="59"/>
        </w:numPr>
        <w:tabs>
          <w:tab w:pos="1438" w:val="left" w:leader="none"/>
          <w:tab w:pos="4979" w:val="left" w:leader="none"/>
          <w:tab w:pos="8457" w:val="left" w:leader="none"/>
        </w:tabs>
        <w:spacing w:line="360" w:lineRule="auto" w:before="5" w:after="0"/>
        <w:ind w:left="742" w:right="98" w:hanging="360"/>
        <w:jc w:val="both"/>
        <w:rPr>
          <w:sz w:val="28"/>
        </w:rPr>
      </w:pPr>
      <w:r>
        <w:rPr>
          <w:sz w:val="28"/>
        </w:rPr>
        <w:t>Schneider A., Possover M., Reiher J. P. et al. Vergleich von peri- und postoperativen Parametern bei laparoskopisch-vaginalem oder abdominalem Vorgehen zur Behandlung des Zervixkarzinoms Stadium I und II // Geburtsh Frauenheilk. – 1997. – Vol.57, №1. – P.31-36. [Электронный</w:t>
        <w:tab/>
        <w:t>ресурс].</w:t>
        <w:tab/>
        <w:t>URL: </w:t>
      </w:r>
      <w:hyperlink r:id="rId232">
        <w:r>
          <w:rPr>
            <w:sz w:val="28"/>
          </w:rPr>
          <w:t>http://bibnet.org/vufind/Record/careum8554/Details</w:t>
        </w:r>
      </w:hyperlink>
      <w:r>
        <w:rPr>
          <w:sz w:val="28"/>
        </w:rPr>
        <w:t> (дата обращения: 08.05.2015)</w:t>
      </w:r>
    </w:p>
    <w:p>
      <w:pPr>
        <w:pStyle w:val="ListParagraph"/>
        <w:numPr>
          <w:ilvl w:val="0"/>
          <w:numId w:val="59"/>
        </w:numPr>
        <w:tabs>
          <w:tab w:pos="1438" w:val="left" w:leader="none"/>
        </w:tabs>
        <w:spacing w:line="362" w:lineRule="auto" w:before="5" w:after="0"/>
        <w:ind w:left="742" w:right="107" w:hanging="360"/>
        <w:jc w:val="both"/>
        <w:rPr>
          <w:sz w:val="28"/>
        </w:rPr>
      </w:pPr>
      <w:r>
        <w:rPr>
          <w:sz w:val="28"/>
        </w:rPr>
        <w:t>Scribner D., Walker J., Johnson G. Surgical management of early stage endometrial cancer in the elderly: is it feasible?   // Gynecol. </w:t>
      </w:r>
      <w:r>
        <w:rPr>
          <w:spacing w:val="1"/>
          <w:sz w:val="28"/>
        </w:rPr>
        <w:t> </w:t>
      </w:r>
      <w:r>
        <w:rPr>
          <w:sz w:val="28"/>
        </w:rPr>
        <w:t>Oncol.</w:t>
      </w:r>
    </w:p>
    <w:p>
      <w:pPr>
        <w:pStyle w:val="BodyText"/>
        <w:spacing w:before="2"/>
        <w:ind w:left="741"/>
      </w:pPr>
      <w:r>
        <w:rPr/>
        <w:t>– 2001. – Vol. 83. – P. 563 – 568.</w:t>
      </w:r>
    </w:p>
    <w:p>
      <w:pPr>
        <w:pStyle w:val="ListParagraph"/>
        <w:numPr>
          <w:ilvl w:val="0"/>
          <w:numId w:val="59"/>
        </w:numPr>
        <w:tabs>
          <w:tab w:pos="1438" w:val="left" w:leader="none"/>
        </w:tabs>
        <w:spacing w:line="360" w:lineRule="auto" w:before="160" w:after="0"/>
        <w:ind w:left="742" w:right="106" w:hanging="360"/>
        <w:jc w:val="both"/>
        <w:rPr>
          <w:sz w:val="28"/>
        </w:rPr>
      </w:pPr>
      <w:r>
        <w:rPr>
          <w:sz w:val="28"/>
        </w:rPr>
        <w:t>Sevelda P. Wertigkeit der Prognosefaktoren beim Ovarialkarzinom im Fruhstadium // Zbl. Gynakol. – 1996. – Bd. 118, № 6. – S.</w:t>
      </w:r>
      <w:r>
        <w:rPr>
          <w:spacing w:val="-29"/>
          <w:sz w:val="28"/>
        </w:rPr>
        <w:t> </w:t>
      </w:r>
      <w:r>
        <w:rPr>
          <w:sz w:val="28"/>
        </w:rPr>
        <w:t>326-329.</w:t>
      </w:r>
    </w:p>
    <w:p>
      <w:pPr>
        <w:pStyle w:val="ListParagraph"/>
        <w:numPr>
          <w:ilvl w:val="0"/>
          <w:numId w:val="59"/>
        </w:numPr>
        <w:tabs>
          <w:tab w:pos="1438" w:val="left" w:leader="none"/>
        </w:tabs>
        <w:spacing w:line="360" w:lineRule="auto" w:before="7" w:after="0"/>
        <w:ind w:left="742" w:right="100" w:hanging="360"/>
        <w:jc w:val="both"/>
        <w:rPr>
          <w:sz w:val="28"/>
        </w:rPr>
      </w:pPr>
      <w:r>
        <w:rPr>
          <w:sz w:val="28"/>
        </w:rPr>
        <w:t>Sevelda P., Vavra N., Schemper M., Salzer H. Prognostic factors  for survival in stage I epithelial ovarian carcinoma // Cancer (Philad.). – 1990. – Vol. 65, № 10. – P.</w:t>
      </w:r>
      <w:r>
        <w:rPr>
          <w:spacing w:val="-18"/>
          <w:sz w:val="28"/>
        </w:rPr>
        <w:t> </w:t>
      </w:r>
      <w:r>
        <w:rPr>
          <w:sz w:val="28"/>
        </w:rPr>
        <w:t>2349-2352.</w:t>
      </w:r>
    </w:p>
    <w:p>
      <w:pPr>
        <w:pStyle w:val="ListParagraph"/>
        <w:numPr>
          <w:ilvl w:val="0"/>
          <w:numId w:val="59"/>
        </w:numPr>
        <w:tabs>
          <w:tab w:pos="1438" w:val="left" w:leader="none"/>
        </w:tabs>
        <w:spacing w:line="360" w:lineRule="auto" w:before="5" w:after="0"/>
        <w:ind w:left="742" w:right="102" w:hanging="360"/>
        <w:jc w:val="both"/>
        <w:rPr>
          <w:sz w:val="28"/>
        </w:rPr>
      </w:pPr>
      <w:r>
        <w:rPr>
          <w:sz w:val="28"/>
        </w:rPr>
        <w:t>Shin C.H., Schorge J.O., Lee K.R., Conservative management of adenocarcinoma in situ of the cervix. // Gynecol. oncol. – 2000. – Oct. – 79(1). –</w:t>
      </w:r>
      <w:r>
        <w:rPr>
          <w:spacing w:val="-7"/>
          <w:sz w:val="28"/>
        </w:rPr>
        <w:t> </w:t>
      </w:r>
      <w:r>
        <w:rPr>
          <w:sz w:val="28"/>
        </w:rPr>
        <w:t>p.6-10.</w:t>
      </w:r>
    </w:p>
    <w:p>
      <w:pPr>
        <w:pStyle w:val="ListParagraph"/>
        <w:numPr>
          <w:ilvl w:val="0"/>
          <w:numId w:val="59"/>
        </w:numPr>
        <w:tabs>
          <w:tab w:pos="1438" w:val="left" w:leader="none"/>
        </w:tabs>
        <w:spacing w:line="360" w:lineRule="auto" w:before="5" w:after="0"/>
        <w:ind w:left="742" w:right="101" w:hanging="360"/>
        <w:jc w:val="both"/>
        <w:rPr>
          <w:sz w:val="28"/>
        </w:rPr>
      </w:pPr>
      <w:r>
        <w:rPr>
          <w:sz w:val="28"/>
        </w:rPr>
        <w:t>Shinozuka Т., Miyamoto Т., Hirazono K. Follow-up laparoscopy in patients with ovarian cancer. // Tokai-J-Exp-Clin-Med. 1994-vol.; 19 (1- 2): p.</w:t>
      </w:r>
      <w:r>
        <w:rPr>
          <w:spacing w:val="-3"/>
          <w:sz w:val="28"/>
        </w:rPr>
        <w:t> </w:t>
      </w:r>
      <w:r>
        <w:rPr>
          <w:sz w:val="28"/>
        </w:rPr>
        <w:t>53-59.</w:t>
      </w:r>
    </w:p>
    <w:p>
      <w:pPr>
        <w:spacing w:after="0" w:line="360" w:lineRule="auto"/>
        <w:jc w:val="both"/>
        <w:rPr>
          <w:sz w:val="28"/>
        </w:rPr>
        <w:sectPr>
          <w:pgSz w:w="11900" w:h="16850"/>
          <w:pgMar w:header="712" w:footer="0" w:top="1020" w:bottom="280" w:left="1680" w:right="1020"/>
        </w:sectPr>
      </w:pPr>
    </w:p>
    <w:p>
      <w:pPr>
        <w:pStyle w:val="ListParagraph"/>
        <w:numPr>
          <w:ilvl w:val="0"/>
          <w:numId w:val="59"/>
        </w:numPr>
        <w:tabs>
          <w:tab w:pos="1438" w:val="left" w:leader="none"/>
        </w:tabs>
        <w:spacing w:line="360" w:lineRule="auto" w:before="0" w:after="0"/>
        <w:ind w:left="742" w:right="107" w:hanging="360"/>
        <w:jc w:val="both"/>
        <w:rPr>
          <w:sz w:val="28"/>
        </w:rPr>
      </w:pPr>
      <w:r>
        <w:rPr>
          <w:sz w:val="28"/>
        </w:rPr>
        <w:t>Shipman  S.D.,  Bristow  R.E.  Adenocarcinoma   in   situ   and early invasive adenocarcinoma of the uterine cervix. // Curr. opin.  </w:t>
      </w:r>
      <w:r>
        <w:rPr>
          <w:spacing w:val="21"/>
          <w:sz w:val="28"/>
        </w:rPr>
        <w:t> </w:t>
      </w:r>
      <w:r>
        <w:rPr>
          <w:sz w:val="28"/>
        </w:rPr>
        <w:t>oncol.</w:t>
      </w:r>
    </w:p>
    <w:p>
      <w:pPr>
        <w:pStyle w:val="BodyText"/>
        <w:spacing w:before="8"/>
        <w:ind w:left="741"/>
      </w:pPr>
      <w:r>
        <w:rPr/>
        <w:t>– 2001. – Sep. – 13(5). – p.394-398.</w:t>
      </w:r>
    </w:p>
    <w:p>
      <w:pPr>
        <w:pStyle w:val="ListParagraph"/>
        <w:numPr>
          <w:ilvl w:val="0"/>
          <w:numId w:val="59"/>
        </w:numPr>
        <w:tabs>
          <w:tab w:pos="1438" w:val="left" w:leader="none"/>
        </w:tabs>
        <w:spacing w:line="360" w:lineRule="auto" w:before="160" w:after="0"/>
        <w:ind w:left="742" w:right="100" w:hanging="360"/>
        <w:jc w:val="both"/>
        <w:rPr>
          <w:sz w:val="28"/>
        </w:rPr>
      </w:pPr>
      <w:r>
        <w:rPr>
          <w:sz w:val="28"/>
        </w:rPr>
        <w:t>Skret A., Kluza R., Fabisiak W. The plasce of second-look Laparoskopy in monitoring treatment of advanced malignant ovarian neoplasms. // Ginekol-Pol. 1997; 68 (4):</w:t>
      </w:r>
      <w:r>
        <w:rPr>
          <w:spacing w:val="-20"/>
          <w:sz w:val="28"/>
        </w:rPr>
        <w:t> </w:t>
      </w:r>
      <w:r>
        <w:rPr>
          <w:sz w:val="28"/>
        </w:rPr>
        <w:t>193-198.</w:t>
      </w:r>
    </w:p>
    <w:p>
      <w:pPr>
        <w:pStyle w:val="ListParagraph"/>
        <w:numPr>
          <w:ilvl w:val="0"/>
          <w:numId w:val="59"/>
        </w:numPr>
        <w:tabs>
          <w:tab w:pos="1438" w:val="left" w:leader="none"/>
        </w:tabs>
        <w:spacing w:line="360" w:lineRule="auto" w:before="7" w:after="0"/>
        <w:ind w:left="742" w:right="103" w:hanging="360"/>
        <w:jc w:val="both"/>
        <w:rPr>
          <w:sz w:val="28"/>
        </w:rPr>
      </w:pPr>
      <w:r>
        <w:rPr>
          <w:sz w:val="28"/>
        </w:rPr>
        <w:t>Soutter W.P., Haidopoulos D., Gornall R.J. et al. Is conservative treatment for adenocarcinoma in situ of the cervix safe? // BJOG. – </w:t>
      </w:r>
      <w:r>
        <w:rPr>
          <w:spacing w:val="23"/>
          <w:sz w:val="28"/>
        </w:rPr>
        <w:t> </w:t>
      </w:r>
      <w:r>
        <w:rPr>
          <w:sz w:val="28"/>
        </w:rPr>
        <w:t>2001.</w:t>
      </w:r>
    </w:p>
    <w:p>
      <w:pPr>
        <w:pStyle w:val="BodyText"/>
        <w:spacing w:before="5"/>
        <w:ind w:left="741"/>
      </w:pPr>
      <w:r>
        <w:rPr/>
        <w:t>– Nov. – 108(11). – p.1184-1189.</w:t>
      </w:r>
    </w:p>
    <w:p>
      <w:pPr>
        <w:pStyle w:val="ListParagraph"/>
        <w:numPr>
          <w:ilvl w:val="0"/>
          <w:numId w:val="59"/>
        </w:numPr>
        <w:tabs>
          <w:tab w:pos="1438" w:val="left" w:leader="none"/>
        </w:tabs>
        <w:spacing w:line="360" w:lineRule="auto" w:before="160" w:after="0"/>
        <w:ind w:left="742" w:right="98" w:hanging="360"/>
        <w:jc w:val="both"/>
        <w:rPr>
          <w:sz w:val="28"/>
        </w:rPr>
      </w:pPr>
      <w:r>
        <w:rPr>
          <w:sz w:val="28"/>
        </w:rPr>
        <w:t>Spratt J.S., Adcock R.A., Sherrill W. Hyperthermic peritoneal perfusion system in canines // Cancer Res. – 1980. – Vol. 40, №. 2. – P. 253-255.</w:t>
      </w:r>
    </w:p>
    <w:p>
      <w:pPr>
        <w:pStyle w:val="ListParagraph"/>
        <w:numPr>
          <w:ilvl w:val="0"/>
          <w:numId w:val="59"/>
        </w:numPr>
        <w:tabs>
          <w:tab w:pos="1438" w:val="left" w:leader="none"/>
        </w:tabs>
        <w:spacing w:line="360" w:lineRule="auto" w:before="5" w:after="0"/>
        <w:ind w:left="742" w:right="98" w:hanging="360"/>
        <w:jc w:val="both"/>
        <w:rPr>
          <w:sz w:val="28"/>
        </w:rPr>
      </w:pPr>
      <w:r>
        <w:rPr>
          <w:sz w:val="28"/>
        </w:rPr>
        <w:t>Stamatopoulos P., Kasapis M., Koliopoulos G.  Outcomes  of carbon dioxide laser conization for the treatment of cervical intraepithelial neoplasia grade III. // Clin. exp. obstet. gynecol. – 2001. - № 28(4). – p. 243-245.</w:t>
      </w:r>
    </w:p>
    <w:p>
      <w:pPr>
        <w:pStyle w:val="ListParagraph"/>
        <w:numPr>
          <w:ilvl w:val="0"/>
          <w:numId w:val="59"/>
        </w:numPr>
        <w:tabs>
          <w:tab w:pos="1438" w:val="left" w:leader="none"/>
        </w:tabs>
        <w:spacing w:line="360" w:lineRule="auto" w:before="5" w:after="0"/>
        <w:ind w:left="742" w:right="103" w:hanging="360"/>
        <w:jc w:val="both"/>
        <w:rPr>
          <w:sz w:val="28"/>
        </w:rPr>
      </w:pPr>
      <w:hyperlink r:id="rId234">
        <w:r>
          <w:rPr>
            <w:color w:val="0000FF"/>
            <w:sz w:val="28"/>
            <w:u w:val="single" w:color="0000FF"/>
          </w:rPr>
          <w:t>Storey D.J., Rush R., Stewart M.,</w:t>
        </w:r>
      </w:hyperlink>
      <w:r>
        <w:rPr>
          <w:color w:val="0000FF"/>
          <w:sz w:val="28"/>
          <w:u w:val="single" w:color="0000FF"/>
        </w:rPr>
        <w:t> </w:t>
      </w:r>
      <w:r>
        <w:rPr>
          <w:sz w:val="28"/>
        </w:rPr>
        <w:t>Endometrioid epithelial ovarian cancer : 20 years of prospectively collected data from a single center // Cancer. 2008 May</w:t>
      </w:r>
      <w:r>
        <w:rPr>
          <w:spacing w:val="-11"/>
          <w:sz w:val="28"/>
        </w:rPr>
        <w:t> </w:t>
      </w:r>
      <w:r>
        <w:rPr>
          <w:sz w:val="28"/>
        </w:rPr>
        <w:t>15;112(10):2211-2220.</w:t>
      </w:r>
    </w:p>
    <w:p>
      <w:pPr>
        <w:pStyle w:val="ListParagraph"/>
        <w:numPr>
          <w:ilvl w:val="0"/>
          <w:numId w:val="59"/>
        </w:numPr>
        <w:tabs>
          <w:tab w:pos="1438" w:val="left" w:leader="none"/>
        </w:tabs>
        <w:spacing w:line="360" w:lineRule="auto" w:before="7" w:after="0"/>
        <w:ind w:left="742" w:right="105" w:hanging="360"/>
        <w:jc w:val="both"/>
        <w:rPr>
          <w:sz w:val="28"/>
        </w:rPr>
      </w:pPr>
      <w:r>
        <w:rPr>
          <w:sz w:val="28"/>
        </w:rPr>
        <w:t>Sugarbaker P. H. Management of peritoneal surface malignancy using intraperitoneal chemotherapy and cytoreductive surgery // Expert. Opin. Pharmacother. – 2009. – Vol. 10, № 12. – P.</w:t>
      </w:r>
      <w:r>
        <w:rPr>
          <w:spacing w:val="-22"/>
          <w:sz w:val="28"/>
        </w:rPr>
        <w:t> </w:t>
      </w:r>
      <w:r>
        <w:rPr>
          <w:sz w:val="28"/>
        </w:rPr>
        <w:t>1965–1977.</w:t>
      </w:r>
    </w:p>
    <w:p>
      <w:pPr>
        <w:pStyle w:val="ListParagraph"/>
        <w:numPr>
          <w:ilvl w:val="0"/>
          <w:numId w:val="59"/>
        </w:numPr>
        <w:tabs>
          <w:tab w:pos="1438" w:val="left" w:leader="none"/>
        </w:tabs>
        <w:spacing w:line="360" w:lineRule="auto" w:before="5" w:after="0"/>
        <w:ind w:left="742" w:right="102" w:hanging="360"/>
        <w:jc w:val="both"/>
        <w:rPr>
          <w:sz w:val="28"/>
        </w:rPr>
      </w:pPr>
      <w:r>
        <w:rPr>
          <w:sz w:val="28"/>
        </w:rPr>
        <w:t>Sugarbaker P.H., Acherman Y.I., Gonzalez-Moreno S. Diagnosis and treatment of peritoneal mesothelioma: The Washington Cancer Institute experience // Semin. Oncol. – 2002. - Vol. 29, №1. - P.</w:t>
      </w:r>
      <w:r>
        <w:rPr>
          <w:spacing w:val="-32"/>
          <w:sz w:val="28"/>
        </w:rPr>
        <w:t> </w:t>
      </w:r>
      <w:r>
        <w:rPr>
          <w:sz w:val="28"/>
        </w:rPr>
        <w:t>51-61.</w:t>
      </w:r>
    </w:p>
    <w:p>
      <w:pPr>
        <w:pStyle w:val="ListParagraph"/>
        <w:numPr>
          <w:ilvl w:val="0"/>
          <w:numId w:val="59"/>
        </w:numPr>
        <w:tabs>
          <w:tab w:pos="1438" w:val="left" w:leader="none"/>
        </w:tabs>
        <w:spacing w:line="360" w:lineRule="auto" w:before="5" w:after="0"/>
        <w:ind w:left="742" w:right="99" w:hanging="360"/>
        <w:jc w:val="both"/>
        <w:rPr>
          <w:sz w:val="28"/>
        </w:rPr>
      </w:pPr>
      <w:r>
        <w:rPr>
          <w:sz w:val="28"/>
        </w:rPr>
        <w:t>Sugarbaker Н.Р. Intraperitoneal chemotherapy and cytoreductive surgery for the prevention and treatment of peritoneal carcinomatosis and sarcomatosis // Semin. Surg. Oncol. – 1998. – Vol. 14, №. 3. – P. 254- 261.</w:t>
      </w:r>
    </w:p>
    <w:p>
      <w:pPr>
        <w:spacing w:after="0" w:line="360" w:lineRule="auto"/>
        <w:jc w:val="both"/>
        <w:rPr>
          <w:sz w:val="28"/>
        </w:rPr>
        <w:sectPr>
          <w:headerReference w:type="default" r:id="rId233"/>
          <w:pgSz w:w="11900" w:h="16850"/>
          <w:pgMar w:header="712" w:footer="0" w:top="1020" w:bottom="280" w:left="1680" w:right="1020"/>
          <w:pgNumType w:start="317"/>
        </w:sectPr>
      </w:pPr>
    </w:p>
    <w:p>
      <w:pPr>
        <w:pStyle w:val="ListParagraph"/>
        <w:numPr>
          <w:ilvl w:val="0"/>
          <w:numId w:val="59"/>
        </w:numPr>
        <w:tabs>
          <w:tab w:pos="1438" w:val="left" w:leader="none"/>
        </w:tabs>
        <w:spacing w:line="360" w:lineRule="auto" w:before="0" w:after="0"/>
        <w:ind w:left="742" w:right="121" w:hanging="360"/>
        <w:jc w:val="both"/>
        <w:rPr>
          <w:sz w:val="28"/>
        </w:rPr>
      </w:pPr>
      <w:r>
        <w:rPr>
          <w:sz w:val="28"/>
        </w:rPr>
        <w:t>Targarona E., Gracia E.,  Rodriguez  M.  Hand-assisted  laparoscopic surgery // Arch. Surg. – 2003. – Vol. 138. – P. 133 –</w:t>
      </w:r>
      <w:r>
        <w:rPr>
          <w:spacing w:val="-29"/>
          <w:sz w:val="28"/>
        </w:rPr>
        <w:t> </w:t>
      </w:r>
      <w:r>
        <w:rPr>
          <w:sz w:val="28"/>
        </w:rPr>
        <w:t>141.</w:t>
      </w:r>
    </w:p>
    <w:p>
      <w:pPr>
        <w:pStyle w:val="ListParagraph"/>
        <w:numPr>
          <w:ilvl w:val="0"/>
          <w:numId w:val="59"/>
        </w:numPr>
        <w:tabs>
          <w:tab w:pos="1438" w:val="left" w:leader="none"/>
        </w:tabs>
        <w:spacing w:line="360" w:lineRule="auto" w:before="8" w:after="0"/>
        <w:ind w:left="742" w:right="122" w:hanging="360"/>
        <w:jc w:val="both"/>
        <w:rPr>
          <w:sz w:val="28"/>
        </w:rPr>
      </w:pPr>
      <w:r>
        <w:rPr>
          <w:sz w:val="28"/>
        </w:rPr>
        <w:t>Thigpen J., Brady M., Malfetano J. et al. Phase III trial of doxorubicin with or without cisplatin in advanced endometrial carcinoma: A Gynecologic Oncology Group Study (GOG) // Journal of Clinical Oncology. – 2004. – Vol. 22, № 19. – Р. 3902 –</w:t>
      </w:r>
      <w:r>
        <w:rPr>
          <w:spacing w:val="-24"/>
          <w:sz w:val="28"/>
        </w:rPr>
        <w:t> </w:t>
      </w:r>
      <w:r>
        <w:rPr>
          <w:sz w:val="28"/>
        </w:rPr>
        <w:t>3908.</w:t>
      </w:r>
    </w:p>
    <w:p>
      <w:pPr>
        <w:pStyle w:val="ListParagraph"/>
        <w:numPr>
          <w:ilvl w:val="0"/>
          <w:numId w:val="59"/>
        </w:numPr>
        <w:tabs>
          <w:tab w:pos="1438" w:val="left" w:leader="none"/>
        </w:tabs>
        <w:spacing w:line="360" w:lineRule="auto" w:before="7" w:after="0"/>
        <w:ind w:left="742" w:right="119" w:hanging="360"/>
        <w:jc w:val="both"/>
        <w:rPr>
          <w:sz w:val="28"/>
        </w:rPr>
      </w:pPr>
      <w:r>
        <w:rPr>
          <w:sz w:val="28"/>
        </w:rPr>
        <w:t>Timmer P.R., Tinga D.J., Pras E. et al. Cervical carcinoma: Changing trends in management // Tumor Diagn. und Ther. – 1989. - Vol.10, №6. –</w:t>
      </w:r>
      <w:r>
        <w:rPr>
          <w:spacing w:val="-10"/>
          <w:sz w:val="28"/>
        </w:rPr>
        <w:t> </w:t>
      </w:r>
      <w:r>
        <w:rPr>
          <w:sz w:val="28"/>
        </w:rPr>
        <w:t>P.238-243.</w:t>
      </w:r>
    </w:p>
    <w:p>
      <w:pPr>
        <w:pStyle w:val="ListParagraph"/>
        <w:numPr>
          <w:ilvl w:val="0"/>
          <w:numId w:val="59"/>
        </w:numPr>
        <w:tabs>
          <w:tab w:pos="1438" w:val="left" w:leader="none"/>
        </w:tabs>
        <w:spacing w:line="360" w:lineRule="auto" w:before="125" w:after="0"/>
        <w:ind w:left="742" w:right="119" w:hanging="360"/>
        <w:jc w:val="both"/>
        <w:rPr>
          <w:sz w:val="28"/>
        </w:rPr>
      </w:pPr>
      <w:r>
        <w:rPr>
          <w:sz w:val="28"/>
        </w:rPr>
        <w:t>Todo Y., Kato H., Kaneuchi M. et al. Survival effect of paraaortic lymphadenectomy in endometrial cancer (SEPAL study): a retrospective cohort analysis  // Lancet. – 2010. – Vol. 375. – P. 1165 –</w:t>
      </w:r>
      <w:r>
        <w:rPr>
          <w:spacing w:val="-26"/>
          <w:sz w:val="28"/>
        </w:rPr>
        <w:t> </w:t>
      </w:r>
      <w:r>
        <w:rPr>
          <w:sz w:val="28"/>
        </w:rPr>
        <w:t>1172.</w:t>
      </w:r>
    </w:p>
    <w:p>
      <w:pPr>
        <w:pStyle w:val="ListParagraph"/>
        <w:numPr>
          <w:ilvl w:val="0"/>
          <w:numId w:val="59"/>
        </w:numPr>
        <w:tabs>
          <w:tab w:pos="1437" w:val="left" w:leader="none"/>
          <w:tab w:pos="1438" w:val="left" w:leader="none"/>
          <w:tab w:pos="7349" w:val="left" w:leader="none"/>
        </w:tabs>
        <w:spacing w:line="360" w:lineRule="auto" w:before="5" w:after="0"/>
        <w:ind w:left="742" w:right="177" w:hanging="360"/>
        <w:jc w:val="left"/>
        <w:rPr>
          <w:sz w:val="28"/>
        </w:rPr>
      </w:pPr>
      <w:r>
        <w:rPr>
          <w:sz w:val="28"/>
        </w:rPr>
        <w:t>Toptas T., Simsek T. Survival analysis of pelvic lymphadenectomy alone versus combined pelvic and para-aortic lymphadenectomy in patients exhibiting endometrioid type</w:t>
      </w:r>
      <w:r>
        <w:rPr>
          <w:spacing w:val="-15"/>
          <w:sz w:val="28"/>
        </w:rPr>
        <w:t> </w:t>
      </w:r>
      <w:r>
        <w:rPr>
          <w:sz w:val="28"/>
        </w:rPr>
        <w:t>endometrial</w:t>
      </w:r>
      <w:r>
        <w:rPr>
          <w:spacing w:val="-4"/>
          <w:sz w:val="28"/>
        </w:rPr>
        <w:t> </w:t>
      </w:r>
      <w:r>
        <w:rPr>
          <w:sz w:val="28"/>
        </w:rPr>
        <w:t>cancer</w:t>
        <w:tab/>
        <w:t>// Oncol.</w:t>
      </w:r>
      <w:r>
        <w:rPr>
          <w:spacing w:val="1"/>
          <w:sz w:val="28"/>
        </w:rPr>
        <w:t> </w:t>
      </w:r>
      <w:r>
        <w:rPr>
          <w:sz w:val="28"/>
        </w:rPr>
        <w:t>Lett.</w:t>
      </w:r>
    </w:p>
    <w:p>
      <w:pPr>
        <w:pStyle w:val="BodyText"/>
        <w:spacing w:before="7"/>
        <w:ind w:left="741"/>
      </w:pPr>
      <w:r>
        <w:rPr/>
        <w:t>– 2015. – Vol. 9 (1). – P. 355-364.</w:t>
      </w:r>
    </w:p>
    <w:p>
      <w:pPr>
        <w:pStyle w:val="ListParagraph"/>
        <w:numPr>
          <w:ilvl w:val="0"/>
          <w:numId w:val="59"/>
        </w:numPr>
        <w:tabs>
          <w:tab w:pos="1438" w:val="left" w:leader="none"/>
        </w:tabs>
        <w:spacing w:line="360" w:lineRule="auto" w:before="159" w:after="0"/>
        <w:ind w:left="742" w:right="120" w:hanging="360"/>
        <w:jc w:val="both"/>
        <w:rPr>
          <w:sz w:val="28"/>
        </w:rPr>
      </w:pPr>
      <w:r>
        <w:rPr>
          <w:sz w:val="28"/>
        </w:rPr>
        <w:t>Tranbaloc P. In situ adenocarcinoma of the uterus cervix:  difficulties of its cytohistological diagnosis . // Gynecol. Obstet. fertil. – 2002. – Apr. – 30(4). –</w:t>
      </w:r>
      <w:r>
        <w:rPr>
          <w:spacing w:val="-17"/>
          <w:sz w:val="28"/>
        </w:rPr>
        <w:t> </w:t>
      </w:r>
      <w:r>
        <w:rPr>
          <w:sz w:val="28"/>
        </w:rPr>
        <w:t>p.308-315.</w:t>
      </w:r>
    </w:p>
    <w:p>
      <w:pPr>
        <w:pStyle w:val="ListParagraph"/>
        <w:numPr>
          <w:ilvl w:val="0"/>
          <w:numId w:val="59"/>
        </w:numPr>
        <w:tabs>
          <w:tab w:pos="1438" w:val="left" w:leader="none"/>
        </w:tabs>
        <w:spacing w:line="360" w:lineRule="auto" w:before="7" w:after="0"/>
        <w:ind w:left="742" w:right="116" w:hanging="360"/>
        <w:jc w:val="both"/>
        <w:rPr>
          <w:sz w:val="28"/>
        </w:rPr>
      </w:pPr>
      <w:r>
        <w:rPr>
          <w:spacing w:val="-5"/>
          <w:sz w:val="28"/>
        </w:rPr>
        <w:t>Trelford </w:t>
      </w:r>
      <w:r>
        <w:rPr>
          <w:sz w:val="28"/>
        </w:rPr>
        <w:t>J. </w:t>
      </w:r>
      <w:r>
        <w:rPr>
          <w:spacing w:val="-4"/>
          <w:sz w:val="28"/>
        </w:rPr>
        <w:t>D., Kinney W., Vogt </w:t>
      </w:r>
      <w:r>
        <w:rPr>
          <w:sz w:val="28"/>
        </w:rPr>
        <w:t>P. </w:t>
      </w:r>
      <w:r>
        <w:rPr>
          <w:spacing w:val="-4"/>
          <w:sz w:val="28"/>
        </w:rPr>
        <w:t>Positive peritoneal  </w:t>
      </w:r>
      <w:r>
        <w:rPr>
          <w:spacing w:val="-5"/>
          <w:sz w:val="28"/>
        </w:rPr>
        <w:t>cytology  </w:t>
      </w:r>
      <w:r>
        <w:rPr>
          <w:sz w:val="28"/>
        </w:rPr>
        <w:t>in </w:t>
      </w:r>
      <w:r>
        <w:rPr>
          <w:spacing w:val="-4"/>
          <w:sz w:val="28"/>
        </w:rPr>
        <w:t>state </w:t>
      </w:r>
      <w:r>
        <w:rPr>
          <w:sz w:val="28"/>
        </w:rPr>
        <w:t>1 </w:t>
      </w:r>
      <w:r>
        <w:rPr>
          <w:spacing w:val="-5"/>
          <w:sz w:val="28"/>
        </w:rPr>
        <w:t>carcinoma </w:t>
      </w:r>
      <w:r>
        <w:rPr>
          <w:sz w:val="28"/>
        </w:rPr>
        <w:t>of </w:t>
      </w:r>
      <w:r>
        <w:rPr>
          <w:spacing w:val="-2"/>
          <w:sz w:val="28"/>
        </w:rPr>
        <w:t>the </w:t>
      </w:r>
      <w:r>
        <w:rPr>
          <w:spacing w:val="-4"/>
          <w:sz w:val="28"/>
        </w:rPr>
        <w:t>cervix. </w:t>
      </w:r>
      <w:r>
        <w:rPr>
          <w:sz w:val="28"/>
        </w:rPr>
        <w:t>// </w:t>
      </w:r>
      <w:r>
        <w:rPr>
          <w:spacing w:val="-4"/>
          <w:sz w:val="28"/>
        </w:rPr>
        <w:t>Acta Cytol. 1995. Vol. </w:t>
      </w:r>
      <w:r>
        <w:rPr>
          <w:spacing w:val="-3"/>
          <w:sz w:val="28"/>
        </w:rPr>
        <w:t>39. </w:t>
      </w:r>
      <w:r>
        <w:rPr>
          <w:sz w:val="28"/>
        </w:rPr>
        <w:t>N 2. P. 177- </w:t>
      </w:r>
      <w:r>
        <w:rPr>
          <w:spacing w:val="-4"/>
          <w:sz w:val="28"/>
        </w:rPr>
        <w:t>179.</w:t>
      </w:r>
    </w:p>
    <w:p>
      <w:pPr>
        <w:pStyle w:val="ListParagraph"/>
        <w:numPr>
          <w:ilvl w:val="0"/>
          <w:numId w:val="59"/>
        </w:numPr>
        <w:tabs>
          <w:tab w:pos="1438" w:val="left" w:leader="none"/>
        </w:tabs>
        <w:spacing w:line="360" w:lineRule="auto" w:before="6" w:after="0"/>
        <w:ind w:left="742" w:right="128" w:hanging="360"/>
        <w:jc w:val="both"/>
        <w:rPr>
          <w:sz w:val="28"/>
        </w:rPr>
      </w:pPr>
      <w:r>
        <w:rPr>
          <w:sz w:val="28"/>
        </w:rPr>
        <w:t>Trimbos J.B., Schueler J.A., Van der Burg M. et al.  Watch  and wait after careful surgical treatment staged in well differentiated early ovarian cancer // Cancer. – 1991. – Vol. 67,  № 3. – Р.</w:t>
      </w:r>
      <w:r>
        <w:rPr>
          <w:spacing w:val="-25"/>
          <w:sz w:val="28"/>
        </w:rPr>
        <w:t> </w:t>
      </w:r>
      <w:r>
        <w:rPr>
          <w:sz w:val="28"/>
        </w:rPr>
        <w:t>597-602.</w:t>
      </w:r>
    </w:p>
    <w:p>
      <w:pPr>
        <w:pStyle w:val="ListParagraph"/>
        <w:numPr>
          <w:ilvl w:val="0"/>
          <w:numId w:val="59"/>
        </w:numPr>
        <w:tabs>
          <w:tab w:pos="1438" w:val="left" w:leader="none"/>
        </w:tabs>
        <w:spacing w:line="360" w:lineRule="auto" w:before="5" w:after="0"/>
        <w:ind w:left="742" w:right="120" w:hanging="360"/>
        <w:jc w:val="both"/>
        <w:rPr>
          <w:sz w:val="28"/>
        </w:rPr>
      </w:pPr>
      <w:r>
        <w:rPr>
          <w:sz w:val="28"/>
        </w:rPr>
        <w:t>Trope C., Alektiar K., Sabbatini P. Principles and Practice of Gynecologic Oncology    // Philadelphia: Lippincott Williams &amp;</w:t>
      </w:r>
      <w:r>
        <w:rPr>
          <w:spacing w:val="65"/>
          <w:sz w:val="28"/>
        </w:rPr>
        <w:t> </w:t>
      </w:r>
      <w:r>
        <w:rPr>
          <w:sz w:val="28"/>
        </w:rPr>
        <w:t>Wilkins.</w:t>
      </w:r>
    </w:p>
    <w:p>
      <w:pPr>
        <w:pStyle w:val="BodyText"/>
        <w:spacing w:before="5"/>
        <w:ind w:left="741"/>
      </w:pPr>
      <w:r>
        <w:rPr/>
        <w:t>– 2005. – Vol. 78. – Р. 823 – 872.</w:t>
      </w:r>
    </w:p>
    <w:p>
      <w:pPr>
        <w:spacing w:after="0"/>
        <w:sectPr>
          <w:pgSz w:w="11900" w:h="16850"/>
          <w:pgMar w:header="712" w:footer="0" w:top="1020" w:bottom="280" w:left="1680" w:right="1000"/>
        </w:sectPr>
      </w:pPr>
    </w:p>
    <w:p>
      <w:pPr>
        <w:pStyle w:val="BodyText"/>
        <w:spacing w:line="322" w:lineRule="exact" w:before="60"/>
        <w:ind w:left="375" w:right="456"/>
        <w:jc w:val="center"/>
      </w:pPr>
      <w:r>
        <w:rPr/>
        <w:t>319</w:t>
      </w:r>
    </w:p>
    <w:p>
      <w:pPr>
        <w:pStyle w:val="ListParagraph"/>
        <w:numPr>
          <w:ilvl w:val="0"/>
          <w:numId w:val="60"/>
        </w:numPr>
        <w:tabs>
          <w:tab w:pos="1438" w:val="left" w:leader="none"/>
        </w:tabs>
        <w:spacing w:line="360" w:lineRule="auto" w:before="0" w:after="0"/>
        <w:ind w:left="742" w:right="104" w:hanging="360"/>
        <w:jc w:val="both"/>
        <w:rPr>
          <w:sz w:val="28"/>
        </w:rPr>
      </w:pPr>
      <w:r>
        <w:rPr>
          <w:sz w:val="28"/>
        </w:rPr>
        <w:t>Tsukamoto N., Saito T., Matsukuma K. et al. Evaluation of para-aortic lymph node metastases in patients with cervical cancer // Gan no Rinsho, Jap. J. Cancer Clin. – 1988. - Vol.34, №1. -</w:t>
      </w:r>
      <w:r>
        <w:rPr>
          <w:spacing w:val="-28"/>
          <w:sz w:val="28"/>
        </w:rPr>
        <w:t> </w:t>
      </w:r>
      <w:r>
        <w:rPr>
          <w:sz w:val="28"/>
        </w:rPr>
        <w:t>P.57-62.</w:t>
      </w:r>
    </w:p>
    <w:p>
      <w:pPr>
        <w:pStyle w:val="ListParagraph"/>
        <w:numPr>
          <w:ilvl w:val="0"/>
          <w:numId w:val="60"/>
        </w:numPr>
        <w:tabs>
          <w:tab w:pos="1438" w:val="left" w:leader="none"/>
        </w:tabs>
        <w:spacing w:line="360" w:lineRule="auto" w:before="5" w:after="0"/>
        <w:ind w:left="742" w:right="99" w:hanging="360"/>
        <w:jc w:val="both"/>
        <w:rPr>
          <w:sz w:val="28"/>
        </w:rPr>
      </w:pPr>
      <w:r>
        <w:rPr>
          <w:sz w:val="28"/>
        </w:rPr>
        <w:t>Ungar L., Palfalvi L., Hogg R. et al. Abdominal radical trache- lectomy: a fertility-preserving option for women with early cervical  cancer // Br. J. Gynaecol. 2005. Vol. 112. Suppl. 3. P.</w:t>
      </w:r>
      <w:r>
        <w:rPr>
          <w:spacing w:val="-21"/>
          <w:sz w:val="28"/>
        </w:rPr>
        <w:t> </w:t>
      </w:r>
      <w:r>
        <w:rPr>
          <w:sz w:val="28"/>
        </w:rPr>
        <w:t>366–369.</w:t>
      </w:r>
    </w:p>
    <w:p>
      <w:pPr>
        <w:pStyle w:val="ListParagraph"/>
        <w:numPr>
          <w:ilvl w:val="0"/>
          <w:numId w:val="60"/>
        </w:numPr>
        <w:tabs>
          <w:tab w:pos="1438" w:val="left" w:leader="none"/>
        </w:tabs>
        <w:spacing w:line="360" w:lineRule="auto" w:before="96" w:after="0"/>
        <w:ind w:left="742" w:right="101" w:hanging="360"/>
        <w:jc w:val="both"/>
        <w:rPr>
          <w:sz w:val="28"/>
        </w:rPr>
      </w:pPr>
      <w:hyperlink r:id="rId236">
        <w:r>
          <w:rPr>
            <w:sz w:val="28"/>
          </w:rPr>
          <w:t>Vasilev S.A</w:t>
        </w:r>
      </w:hyperlink>
      <w:r>
        <w:rPr>
          <w:sz w:val="28"/>
        </w:rPr>
        <w:t>., McGonigle K.F. Extraperitoneal laparoscopic paraaortic lymph node dissection: development of a technique // J.Laparoendosc Surg. – 1995, Apr. – Vol.5, №2. –</w:t>
      </w:r>
      <w:r>
        <w:rPr>
          <w:spacing w:val="-24"/>
          <w:sz w:val="28"/>
        </w:rPr>
        <w:t> </w:t>
      </w:r>
      <w:r>
        <w:rPr>
          <w:sz w:val="28"/>
        </w:rPr>
        <w:t>P.85-90.</w:t>
      </w:r>
    </w:p>
    <w:p>
      <w:pPr>
        <w:pStyle w:val="ListParagraph"/>
        <w:numPr>
          <w:ilvl w:val="0"/>
          <w:numId w:val="60"/>
        </w:numPr>
        <w:tabs>
          <w:tab w:pos="1438" w:val="left" w:leader="none"/>
        </w:tabs>
        <w:spacing w:line="360" w:lineRule="auto" w:before="5" w:after="0"/>
        <w:ind w:left="742" w:right="100" w:hanging="360"/>
        <w:jc w:val="both"/>
        <w:rPr>
          <w:sz w:val="28"/>
        </w:rPr>
      </w:pPr>
      <w:r>
        <w:rPr>
          <w:sz w:val="28"/>
        </w:rPr>
        <w:t>Vergote I., Tropé C.G., Amant F. et al. Neoadjuvant chemotherapy or primary surgery in stage IIIC or IV ovarian cancer // N. Engl. J. Med. – 2010. – Vol. 363. – N 10. – P.</w:t>
      </w:r>
      <w:r>
        <w:rPr>
          <w:spacing w:val="-16"/>
          <w:sz w:val="28"/>
        </w:rPr>
        <w:t> </w:t>
      </w:r>
      <w:r>
        <w:rPr>
          <w:sz w:val="28"/>
        </w:rPr>
        <w:t>943-953.</w:t>
      </w:r>
    </w:p>
    <w:p>
      <w:pPr>
        <w:pStyle w:val="ListParagraph"/>
        <w:numPr>
          <w:ilvl w:val="0"/>
          <w:numId w:val="60"/>
        </w:numPr>
        <w:tabs>
          <w:tab w:pos="1438" w:val="left" w:leader="none"/>
        </w:tabs>
        <w:spacing w:line="360" w:lineRule="auto" w:before="5" w:after="0"/>
        <w:ind w:left="742" w:right="99" w:hanging="360"/>
        <w:jc w:val="both"/>
        <w:rPr>
          <w:sz w:val="28"/>
        </w:rPr>
      </w:pPr>
      <w:r>
        <w:rPr>
          <w:sz w:val="28"/>
        </w:rPr>
        <w:t>Vigliotti A.P., Wen B.C., Hussei D.H. et al. Extended field irradiation for carcinoma of the uterine cervix with positive periaortic nodes // Int. J. Radiation. Oncol. Biol. Physics. – 1992. – Vol. 23, N 3. - P.501-509.</w:t>
      </w:r>
    </w:p>
    <w:p>
      <w:pPr>
        <w:pStyle w:val="ListParagraph"/>
        <w:numPr>
          <w:ilvl w:val="0"/>
          <w:numId w:val="60"/>
        </w:numPr>
        <w:tabs>
          <w:tab w:pos="1438" w:val="left" w:leader="none"/>
        </w:tabs>
        <w:spacing w:line="360" w:lineRule="auto" w:before="5" w:after="0"/>
        <w:ind w:left="742" w:right="101" w:hanging="360"/>
        <w:jc w:val="both"/>
        <w:rPr>
          <w:sz w:val="28"/>
        </w:rPr>
      </w:pPr>
      <w:r>
        <w:rPr>
          <w:sz w:val="28"/>
        </w:rPr>
        <w:t>Vishnevskaya E.E. Corpus uteri cancer: the results of surgical combined and complex therapy.// Eur. J. Gynaec. Jncol. 1991. - Vol.XII. N3-4.</w:t>
      </w:r>
      <w:r>
        <w:rPr>
          <w:spacing w:val="-3"/>
          <w:sz w:val="28"/>
        </w:rPr>
        <w:t> </w:t>
      </w:r>
      <w:r>
        <w:rPr>
          <w:sz w:val="28"/>
        </w:rPr>
        <w:t>P.238.</w:t>
      </w:r>
    </w:p>
    <w:p>
      <w:pPr>
        <w:pStyle w:val="ListParagraph"/>
        <w:numPr>
          <w:ilvl w:val="0"/>
          <w:numId w:val="60"/>
        </w:numPr>
        <w:tabs>
          <w:tab w:pos="1438" w:val="left" w:leader="none"/>
        </w:tabs>
        <w:spacing w:line="360" w:lineRule="auto" w:before="5" w:after="0"/>
        <w:ind w:left="742" w:right="107" w:hanging="360"/>
        <w:jc w:val="both"/>
        <w:rPr>
          <w:sz w:val="28"/>
        </w:rPr>
      </w:pPr>
      <w:r>
        <w:rPr>
          <w:sz w:val="28"/>
        </w:rPr>
        <w:t>Walker J. Laparoscopy compared with laparotomy for comprehensive surgical staging of uterine cancer: Gynecologic Oncology Group Study LAP2 // J. Clin. Oncol. – 2009. – Vol. 27. – Р. 5331 –</w:t>
      </w:r>
      <w:r>
        <w:rPr>
          <w:spacing w:val="-28"/>
          <w:sz w:val="28"/>
        </w:rPr>
        <w:t> </w:t>
      </w:r>
      <w:r>
        <w:rPr>
          <w:sz w:val="28"/>
        </w:rPr>
        <w:t>5336.</w:t>
      </w:r>
    </w:p>
    <w:p>
      <w:pPr>
        <w:pStyle w:val="ListParagraph"/>
        <w:numPr>
          <w:ilvl w:val="0"/>
          <w:numId w:val="60"/>
        </w:numPr>
        <w:tabs>
          <w:tab w:pos="1438" w:val="left" w:leader="none"/>
        </w:tabs>
        <w:spacing w:line="360" w:lineRule="auto" w:before="6" w:after="0"/>
        <w:ind w:left="742" w:right="109" w:hanging="360"/>
        <w:jc w:val="both"/>
        <w:rPr>
          <w:sz w:val="28"/>
        </w:rPr>
      </w:pPr>
      <w:r>
        <w:rPr>
          <w:sz w:val="28"/>
        </w:rPr>
        <w:t>Wangensteen O.H. Forum on fundamental surgical problems //  Bull. Am. Coll. Surg. – 1948. – Vol. 33, № 1. –</w:t>
      </w:r>
      <w:r>
        <w:rPr>
          <w:spacing w:val="-18"/>
          <w:sz w:val="28"/>
        </w:rPr>
        <w:t> </w:t>
      </w:r>
      <w:r>
        <w:rPr>
          <w:sz w:val="28"/>
        </w:rPr>
        <w:t>P.11.</w:t>
      </w:r>
    </w:p>
    <w:p>
      <w:pPr>
        <w:pStyle w:val="ListParagraph"/>
        <w:numPr>
          <w:ilvl w:val="0"/>
          <w:numId w:val="60"/>
        </w:numPr>
        <w:tabs>
          <w:tab w:pos="1438" w:val="left" w:leader="none"/>
        </w:tabs>
        <w:spacing w:line="360" w:lineRule="auto" w:before="5" w:after="0"/>
        <w:ind w:left="742" w:right="108" w:hanging="360"/>
        <w:jc w:val="both"/>
        <w:rPr>
          <w:sz w:val="28"/>
        </w:rPr>
      </w:pPr>
      <w:r>
        <w:rPr>
          <w:sz w:val="28"/>
        </w:rPr>
        <w:t>Weiss N.S., Daling J.R., Chow W. Incidence of cancer of the large bowel in women related to reproductive and hormonal factors // J. Natl. Cancer Inst. – 1987. – Vol. 67. – P.</w:t>
      </w:r>
      <w:r>
        <w:rPr>
          <w:spacing w:val="-16"/>
          <w:sz w:val="28"/>
        </w:rPr>
        <w:t> </w:t>
      </w:r>
      <w:r>
        <w:rPr>
          <w:sz w:val="28"/>
        </w:rPr>
        <w:t>57.</w:t>
      </w:r>
    </w:p>
    <w:p>
      <w:pPr>
        <w:pStyle w:val="ListParagraph"/>
        <w:numPr>
          <w:ilvl w:val="0"/>
          <w:numId w:val="60"/>
        </w:numPr>
        <w:tabs>
          <w:tab w:pos="1438" w:val="left" w:leader="none"/>
        </w:tabs>
        <w:spacing w:line="360" w:lineRule="auto" w:before="5" w:after="0"/>
        <w:ind w:left="742" w:right="102" w:hanging="360"/>
        <w:jc w:val="both"/>
        <w:rPr>
          <w:sz w:val="28"/>
        </w:rPr>
      </w:pPr>
      <w:r>
        <w:rPr>
          <w:sz w:val="28"/>
        </w:rPr>
        <w:t>Wertheim E. The extended abdominal operation for carcinoma uteri (based on 500 operative cases). // J.Obstet.Dis.Wom.Child. 1912. Vol. 66. N. 2. P.</w:t>
      </w:r>
      <w:r>
        <w:rPr>
          <w:spacing w:val="-6"/>
          <w:sz w:val="28"/>
        </w:rPr>
        <w:t> </w:t>
      </w:r>
      <w:r>
        <w:rPr>
          <w:sz w:val="28"/>
        </w:rPr>
        <w:t>169–232.</w:t>
      </w:r>
    </w:p>
    <w:p>
      <w:pPr>
        <w:spacing w:after="0" w:line="360" w:lineRule="auto"/>
        <w:jc w:val="both"/>
        <w:rPr>
          <w:sz w:val="28"/>
        </w:rPr>
        <w:sectPr>
          <w:headerReference w:type="default" r:id="rId235"/>
          <w:pgSz w:w="11900" w:h="16850"/>
          <w:pgMar w:header="0" w:footer="0" w:top="640" w:bottom="280" w:left="1680" w:right="1020"/>
        </w:sectPr>
      </w:pPr>
    </w:p>
    <w:p>
      <w:pPr>
        <w:pStyle w:val="BodyText"/>
        <w:spacing w:line="322" w:lineRule="exact" w:before="60"/>
        <w:ind w:left="375" w:right="456"/>
        <w:jc w:val="center"/>
      </w:pPr>
      <w:r>
        <w:rPr/>
        <w:t>320</w:t>
      </w:r>
    </w:p>
    <w:p>
      <w:pPr>
        <w:pStyle w:val="ListParagraph"/>
        <w:numPr>
          <w:ilvl w:val="0"/>
          <w:numId w:val="61"/>
        </w:numPr>
        <w:tabs>
          <w:tab w:pos="1438" w:val="left" w:leader="none"/>
        </w:tabs>
        <w:spacing w:line="360" w:lineRule="auto" w:before="0" w:after="0"/>
        <w:ind w:left="742" w:right="104" w:hanging="360"/>
        <w:jc w:val="both"/>
        <w:rPr>
          <w:sz w:val="28"/>
        </w:rPr>
      </w:pPr>
      <w:r>
        <w:rPr>
          <w:sz w:val="28"/>
        </w:rPr>
        <w:t>Williams J. On cancer of the Uterus – Being  the  Harveian  Lectures for 1886. / Ed. H.K.Lewis, London,</w:t>
      </w:r>
      <w:r>
        <w:rPr>
          <w:spacing w:val="-20"/>
          <w:sz w:val="28"/>
        </w:rPr>
        <w:t> </w:t>
      </w:r>
      <w:r>
        <w:rPr>
          <w:sz w:val="28"/>
        </w:rPr>
        <w:t>1888.</w:t>
      </w:r>
    </w:p>
    <w:p>
      <w:pPr>
        <w:pStyle w:val="ListParagraph"/>
        <w:numPr>
          <w:ilvl w:val="0"/>
          <w:numId w:val="61"/>
        </w:numPr>
        <w:tabs>
          <w:tab w:pos="1438" w:val="left" w:leader="none"/>
        </w:tabs>
        <w:spacing w:line="360" w:lineRule="auto" w:before="8" w:after="0"/>
        <w:ind w:left="742" w:right="107" w:hanging="360"/>
        <w:jc w:val="both"/>
        <w:rPr>
          <w:sz w:val="28"/>
        </w:rPr>
      </w:pPr>
      <w:r>
        <w:rPr>
          <w:sz w:val="28"/>
        </w:rPr>
        <w:t>World Health Organization. Control of cancer of the cervix uteri: review article based on a report of WHO meeting, November 1985, Geneva // Bulletin of the World Health Organization. Vol. 64(4). 1986. P.607-618.</w:t>
      </w:r>
    </w:p>
    <w:p>
      <w:pPr>
        <w:pStyle w:val="ListParagraph"/>
        <w:numPr>
          <w:ilvl w:val="0"/>
          <w:numId w:val="61"/>
        </w:numPr>
        <w:tabs>
          <w:tab w:pos="1438" w:val="left" w:leader="none"/>
        </w:tabs>
        <w:spacing w:line="360" w:lineRule="auto" w:before="7" w:after="0"/>
        <w:ind w:left="742" w:right="100" w:hanging="360"/>
        <w:jc w:val="both"/>
        <w:rPr>
          <w:sz w:val="28"/>
        </w:rPr>
      </w:pPr>
      <w:r>
        <w:rPr>
          <w:sz w:val="28"/>
        </w:rPr>
        <w:t>Yan T.D., Morris D.L. Cytoreductive surgery and perioperative intraperitoneal chemotherapy for isolated colorectal peritoneal carcinomatosis: experimental therapy or standard of care? // Ann. Surg. – 2008. – Vol. 248. – P.</w:t>
      </w:r>
      <w:r>
        <w:rPr>
          <w:spacing w:val="-16"/>
          <w:sz w:val="28"/>
        </w:rPr>
        <w:t> </w:t>
      </w:r>
      <w:r>
        <w:rPr>
          <w:sz w:val="28"/>
        </w:rPr>
        <w:t>829-835.</w:t>
      </w:r>
    </w:p>
    <w:p>
      <w:pPr>
        <w:pStyle w:val="ListParagraph"/>
        <w:numPr>
          <w:ilvl w:val="0"/>
          <w:numId w:val="61"/>
        </w:numPr>
        <w:tabs>
          <w:tab w:pos="1438" w:val="left" w:leader="none"/>
        </w:tabs>
        <w:spacing w:line="360" w:lineRule="auto" w:before="4" w:after="0"/>
        <w:ind w:left="742" w:right="102" w:hanging="360"/>
        <w:jc w:val="both"/>
        <w:rPr>
          <w:sz w:val="28"/>
        </w:rPr>
      </w:pPr>
      <w:r>
        <w:rPr>
          <w:sz w:val="28"/>
        </w:rPr>
        <w:t>Yonemura Y., Fujimura T., Fushida S. et al. Hyperthermo- chemotherapy combined with cytoreductive surgery for the treatment of gastric cancer with peritoneal dissemination // World J. Surg. – 1991. – Vol. 15, № 4. – P. 530-5. - discussion</w:t>
      </w:r>
      <w:r>
        <w:rPr>
          <w:spacing w:val="-21"/>
          <w:sz w:val="28"/>
        </w:rPr>
        <w:t> </w:t>
      </w:r>
      <w:r>
        <w:rPr>
          <w:sz w:val="28"/>
        </w:rPr>
        <w:t>535-536.</w:t>
      </w:r>
    </w:p>
    <w:p>
      <w:pPr>
        <w:pStyle w:val="ListParagraph"/>
        <w:numPr>
          <w:ilvl w:val="0"/>
          <w:numId w:val="61"/>
        </w:numPr>
        <w:tabs>
          <w:tab w:pos="1438" w:val="left" w:leader="none"/>
        </w:tabs>
        <w:spacing w:line="360" w:lineRule="auto" w:before="4" w:after="0"/>
        <w:ind w:left="742" w:right="100" w:hanging="360"/>
        <w:jc w:val="both"/>
        <w:rPr>
          <w:sz w:val="28"/>
        </w:rPr>
      </w:pPr>
      <w:r>
        <w:rPr>
          <w:sz w:val="28"/>
        </w:rPr>
        <w:t>Young R.C., Wlaton L.A., Elleaberg S.S. et al. // Adjuvant therapy in stage I and stage II epithelial ovarian cancer // New Engl. J. Med. – 1990. – Vol. 322, № 15. – Р.</w:t>
      </w:r>
      <w:r>
        <w:rPr>
          <w:spacing w:val="-22"/>
          <w:sz w:val="28"/>
        </w:rPr>
        <w:t> </w:t>
      </w:r>
      <w:r>
        <w:rPr>
          <w:sz w:val="28"/>
        </w:rPr>
        <w:t>1021-1027.</w:t>
      </w:r>
    </w:p>
    <w:p>
      <w:pPr>
        <w:pStyle w:val="ListParagraph"/>
        <w:numPr>
          <w:ilvl w:val="0"/>
          <w:numId w:val="61"/>
        </w:numPr>
        <w:tabs>
          <w:tab w:pos="1438" w:val="left" w:leader="none"/>
        </w:tabs>
        <w:spacing w:line="360" w:lineRule="auto" w:before="4" w:after="0"/>
        <w:ind w:left="742" w:right="111" w:hanging="360"/>
        <w:jc w:val="both"/>
        <w:rPr>
          <w:sz w:val="28"/>
        </w:rPr>
      </w:pPr>
      <w:r>
        <w:rPr>
          <w:sz w:val="28"/>
        </w:rPr>
        <w:t>Zanetta G., Chiari S., Rota S. et al. Conservative surgery for stage I ovarian carcinoma in women of childbearing age. Br J Obstet Gynaecol 1997; 104:</w:t>
      </w:r>
      <w:r>
        <w:rPr>
          <w:spacing w:val="-11"/>
          <w:sz w:val="28"/>
        </w:rPr>
        <w:t> </w:t>
      </w:r>
      <w:r>
        <w:rPr>
          <w:sz w:val="28"/>
        </w:rPr>
        <w:t>1030-1035.</w:t>
      </w:r>
    </w:p>
    <w:p>
      <w:pPr>
        <w:pStyle w:val="ListParagraph"/>
        <w:numPr>
          <w:ilvl w:val="0"/>
          <w:numId w:val="61"/>
        </w:numPr>
        <w:tabs>
          <w:tab w:pos="1438" w:val="left" w:leader="none"/>
        </w:tabs>
        <w:spacing w:line="360" w:lineRule="auto" w:before="4" w:after="0"/>
        <w:ind w:left="742" w:right="110" w:hanging="360"/>
        <w:jc w:val="both"/>
        <w:rPr>
          <w:sz w:val="28"/>
        </w:rPr>
      </w:pPr>
      <w:r>
        <w:rPr>
          <w:sz w:val="28"/>
        </w:rPr>
        <w:t>Zanetta G., Rota S., Chiari S., Bonatti C. et al. An accuracy of staging: An important prognostic determinator in stage I ovarian carcinoma // Annals of Oncology. – 1998. – Vol. 9. – P.</w:t>
      </w:r>
      <w:r>
        <w:rPr>
          <w:spacing w:val="-27"/>
          <w:sz w:val="28"/>
        </w:rPr>
        <w:t> </w:t>
      </w:r>
      <w:r>
        <w:rPr>
          <w:sz w:val="28"/>
        </w:rPr>
        <w:t>1097-1107.</w:t>
      </w:r>
    </w:p>
    <w:p>
      <w:pPr>
        <w:pStyle w:val="ListParagraph"/>
        <w:numPr>
          <w:ilvl w:val="0"/>
          <w:numId w:val="61"/>
        </w:numPr>
        <w:tabs>
          <w:tab w:pos="875" w:val="left" w:leader="none"/>
        </w:tabs>
        <w:spacing w:line="360" w:lineRule="auto" w:before="7" w:after="0"/>
        <w:ind w:left="742" w:right="100" w:hanging="360"/>
        <w:jc w:val="both"/>
        <w:rPr>
          <w:sz w:val="28"/>
        </w:rPr>
      </w:pPr>
      <w:r>
        <w:rPr>
          <w:sz w:val="28"/>
        </w:rPr>
        <w:t>Zhao Enfeng, Bao Lei, Li Chao et al. Changes in epidemiology and clinical characteristics of cervical cancer over the past 50 years // Di-yi junyi daxue xuebao=J.First Mil. Med. Univ. – 2005. - Vol.25, №6. – P.605-609.</w:t>
      </w:r>
    </w:p>
    <w:sectPr>
      <w:headerReference w:type="default" r:id="rId237"/>
      <w:pgSz w:w="11900" w:h="16850"/>
      <w:pgMar w:header="0" w:footer="0" w:top="640" w:bottom="280" w:left="168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Cambria">
    <w:altName w:val="Cambria"/>
    <w:charset w:val="CC"/>
    <w:family w:val="roman"/>
    <w:pitch w:val="variable"/>
  </w:font>
  <w:font w:name="Symbol">
    <w:altName w:val="Symbol"/>
    <w:charset w:val="2"/>
    <w:family w:val="roman"/>
    <w:pitch w:val="variable"/>
  </w:font>
  <w:font w:name="Cambria Math">
    <w:altName w:val="Cambria Math"/>
    <w:charset w:val="CC"/>
    <w:family w:val="roman"/>
    <w:pitch w:val="variable"/>
  </w:font>
  <w:font w:name="MS Mincho">
    <w:altName w:val="MS Mincho"/>
    <w:charset w:val="CC"/>
    <w:family w:val="modern"/>
    <w:pitch w:val="fixed"/>
  </w:font>
  <w:font w:name="Calibri">
    <w:altName w:val="Calibri"/>
    <w:charset w:val="CC"/>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2.850006pt;margin-top:34.608749pt;width:18.2pt;height:17.55pt;mso-position-horizontal-relative:page;mso-position-vertical-relative:page;z-index:-341176" type="#_x0000_t202" filled="false" stroked="false">
          <v:textbox inset="0,0,0,0">
            <w:txbxContent>
              <w:p>
                <w:pPr>
                  <w:pStyle w:val="BodyText"/>
                  <w:spacing w:before="9"/>
                  <w:ind w:left="40"/>
                </w:pPr>
                <w:r>
                  <w:rPr/>
                  <w:fldChar w:fldCharType="begin"/>
                </w:r>
                <w:r>
                  <w:rPr/>
                  <w:instrText> PAGE </w:instrText>
                </w:r>
                <w:r>
                  <w:rPr/>
                  <w:fldChar w:fldCharType="separate"/>
                </w:r>
                <w:r>
                  <w:rPr/>
                  <w:t>10</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960" type="#_x0000_t202" filled="false" stroked="false">
          <v:textbox inset="0,0,0,0">
            <w:txbxContent>
              <w:p>
                <w:pPr>
                  <w:pStyle w:val="BodyText"/>
                  <w:spacing w:before="9"/>
                  <w:ind w:left="40"/>
                </w:pPr>
                <w:r>
                  <w:rPr/>
                  <w:fldChar w:fldCharType="begin"/>
                </w:r>
                <w:r>
                  <w:rPr/>
                  <w:instrText> PAGE </w:instrText>
                </w:r>
                <w:r>
                  <w:rPr/>
                  <w:fldChar w:fldCharType="separate"/>
                </w:r>
                <w:r>
                  <w:rPr/>
                  <w:t>180</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936" type="#_x0000_t202" filled="false" stroked="false">
          <v:textbox inset="0,0,0,0">
            <w:txbxContent>
              <w:p>
                <w:pPr>
                  <w:pStyle w:val="BodyText"/>
                  <w:spacing w:before="9"/>
                  <w:ind w:left="40"/>
                </w:pPr>
                <w:r>
                  <w:rPr/>
                  <w:fldChar w:fldCharType="begin"/>
                </w:r>
                <w:r>
                  <w:rPr/>
                  <w:instrText> PAGE </w:instrText>
                </w:r>
                <w:r>
                  <w:rPr/>
                  <w:fldChar w:fldCharType="separate"/>
                </w:r>
                <w:r>
                  <w:rPr/>
                  <w:t>190</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912" type="#_x0000_t202" filled="false" stroked="false">
          <v:textbox inset="0,0,0,0">
            <w:txbxContent>
              <w:p>
                <w:pPr>
                  <w:pStyle w:val="BodyText"/>
                  <w:spacing w:before="9"/>
                  <w:ind w:left="40"/>
                </w:pPr>
                <w:r>
                  <w:rPr/>
                  <w:fldChar w:fldCharType="begin"/>
                </w:r>
                <w:r>
                  <w:rPr/>
                  <w:instrText> PAGE </w:instrText>
                </w:r>
                <w:r>
                  <w:rPr/>
                  <w:fldChar w:fldCharType="separate"/>
                </w:r>
                <w:r>
                  <w:rPr/>
                  <w:t>200</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888" type="#_x0000_t202" filled="false" stroked="false">
          <v:textbox inset="0,0,0,0">
            <w:txbxContent>
              <w:p>
                <w:pPr>
                  <w:pStyle w:val="BodyText"/>
                  <w:spacing w:before="9"/>
                  <w:ind w:left="40"/>
                </w:pPr>
                <w:r>
                  <w:rPr/>
                  <w:fldChar w:fldCharType="begin"/>
                </w:r>
                <w:r>
                  <w:rPr/>
                  <w:instrText> PAGE </w:instrText>
                </w:r>
                <w:r>
                  <w:rPr/>
                  <w:fldChar w:fldCharType="separate"/>
                </w:r>
                <w:r>
                  <w:rPr/>
                  <w:t>210</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864" type="#_x0000_t202" filled="false" stroked="false">
          <v:textbox inset="0,0,0,0">
            <w:txbxContent>
              <w:p>
                <w:pPr>
                  <w:pStyle w:val="BodyText"/>
                  <w:spacing w:before="9"/>
                  <w:ind w:left="40"/>
                </w:pPr>
                <w:r>
                  <w:rPr/>
                  <w:fldChar w:fldCharType="begin"/>
                </w:r>
                <w:r>
                  <w:rPr/>
                  <w:instrText> PAGE </w:instrText>
                </w:r>
                <w:r>
                  <w:rPr/>
                  <w:fldChar w:fldCharType="separate"/>
                </w:r>
                <w:r>
                  <w:rPr/>
                  <w:t>220</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840" type="#_x0000_t202" filled="false" stroked="false">
          <v:textbox inset="0,0,0,0">
            <w:txbxContent>
              <w:p>
                <w:pPr>
                  <w:pStyle w:val="BodyText"/>
                  <w:spacing w:before="9"/>
                  <w:ind w:left="40"/>
                </w:pPr>
                <w:r>
                  <w:rPr/>
                  <w:fldChar w:fldCharType="begin"/>
                </w:r>
                <w:r>
                  <w:rPr/>
                  <w:instrText> PAGE </w:instrText>
                </w:r>
                <w:r>
                  <w:rPr/>
                  <w:fldChar w:fldCharType="separate"/>
                </w:r>
                <w:r>
                  <w:rPr/>
                  <w:t>231</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816" type="#_x0000_t202" filled="false" stroked="false">
          <v:textbox inset="0,0,0,0">
            <w:txbxContent>
              <w:p>
                <w:pPr>
                  <w:pStyle w:val="BodyText"/>
                  <w:spacing w:before="9"/>
                  <w:ind w:left="40"/>
                </w:pPr>
                <w:r>
                  <w:rPr/>
                  <w:fldChar w:fldCharType="begin"/>
                </w:r>
                <w:r>
                  <w:rPr/>
                  <w:instrText> PAGE </w:instrText>
                </w:r>
                <w:r>
                  <w:rPr/>
                  <w:fldChar w:fldCharType="separate"/>
                </w:r>
                <w:r>
                  <w:rPr/>
                  <w:t>240</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792" type="#_x0000_t202" filled="false" stroked="false">
          <v:textbox inset="0,0,0,0">
            <w:txbxContent>
              <w:p>
                <w:pPr>
                  <w:pStyle w:val="BodyText"/>
                  <w:spacing w:before="9"/>
                  <w:ind w:left="40"/>
                </w:pPr>
                <w:r>
                  <w:rPr/>
                  <w:fldChar w:fldCharType="begin"/>
                </w:r>
                <w:r>
                  <w:rPr/>
                  <w:instrText> PAGE </w:instrText>
                </w:r>
                <w:r>
                  <w:rPr/>
                  <w:fldChar w:fldCharType="separate"/>
                </w:r>
                <w:r>
                  <w:rPr/>
                  <w:t>250</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768" type="#_x0000_t202" filled="false" stroked="false">
          <v:textbox inset="0,0,0,0">
            <w:txbxContent>
              <w:p>
                <w:pPr>
                  <w:pStyle w:val="BodyText"/>
                  <w:spacing w:before="9"/>
                  <w:ind w:left="40"/>
                </w:pPr>
                <w:r>
                  <w:rPr/>
                  <w:fldChar w:fldCharType="begin"/>
                </w:r>
                <w:r>
                  <w:rPr/>
                  <w:instrText> PAGE </w:instrText>
                </w:r>
                <w:r>
                  <w:rPr/>
                  <w:fldChar w:fldCharType="separate"/>
                </w:r>
                <w:r>
                  <w:rPr/>
                  <w:t>260</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744" type="#_x0000_t202" filled="false" stroked="false">
          <v:textbox inset="0,0,0,0">
            <w:txbxContent>
              <w:p>
                <w:pPr>
                  <w:pStyle w:val="BodyText"/>
                  <w:spacing w:before="9"/>
                  <w:ind w:left="40"/>
                </w:pPr>
                <w:r>
                  <w:rPr/>
                  <w:fldChar w:fldCharType="begin"/>
                </w:r>
                <w:r>
                  <w:rPr/>
                  <w:instrText> PAGE </w:instrText>
                </w:r>
                <w:r>
                  <w:rPr/>
                  <w:fldChar w:fldCharType="separate"/>
                </w:r>
                <w:r>
                  <w:rPr/>
                  <w:t>270</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1152" type="#_x0000_t202" filled="false" stroked="false">
          <v:textbox inset="0,0,0,0">
            <w:txbxContent>
              <w:p>
                <w:pPr>
                  <w:pStyle w:val="BodyText"/>
                  <w:spacing w:before="9"/>
                  <w:ind w:left="40"/>
                </w:pPr>
                <w:r>
                  <w:rPr/>
                  <w:fldChar w:fldCharType="begin"/>
                </w:r>
                <w:r>
                  <w:rPr/>
                  <w:instrText> PAGE </w:instrText>
                </w:r>
                <w:r>
                  <w:rPr/>
                  <w:fldChar w:fldCharType="separate"/>
                </w:r>
                <w:r>
                  <w:rPr/>
                  <w:t>100</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720" type="#_x0000_t202" filled="false" stroked="false">
          <v:textbox inset="0,0,0,0">
            <w:txbxContent>
              <w:p>
                <w:pPr>
                  <w:pStyle w:val="BodyText"/>
                  <w:spacing w:before="9"/>
                  <w:ind w:left="40"/>
                </w:pPr>
                <w:r>
                  <w:rPr/>
                  <w:fldChar w:fldCharType="begin"/>
                </w:r>
                <w:r>
                  <w:rPr/>
                  <w:instrText> PAGE </w:instrText>
                </w:r>
                <w:r>
                  <w:rPr/>
                  <w:fldChar w:fldCharType="separate"/>
                </w:r>
                <w:r>
                  <w:rPr/>
                  <w:t>280</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696" type="#_x0000_t202" filled="false" stroked="false">
          <v:textbox inset="0,0,0,0">
            <w:txbxContent>
              <w:p>
                <w:pPr>
                  <w:pStyle w:val="BodyText"/>
                  <w:spacing w:before="9"/>
                  <w:ind w:left="40"/>
                </w:pPr>
                <w:r>
                  <w:rPr/>
                  <w:fldChar w:fldCharType="begin"/>
                </w:r>
                <w:r>
                  <w:rPr/>
                  <w:instrText> PAGE </w:instrText>
                </w:r>
                <w:r>
                  <w:rPr/>
                  <w:fldChar w:fldCharType="separate"/>
                </w:r>
                <w:r>
                  <w:rPr/>
                  <w:t>290</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672" type="#_x0000_t202" filled="false" stroked="false">
          <v:textbox inset="0,0,0,0">
            <w:txbxContent>
              <w:p>
                <w:pPr>
                  <w:pStyle w:val="BodyText"/>
                  <w:spacing w:before="9"/>
                  <w:ind w:left="40"/>
                </w:pPr>
                <w:r>
                  <w:rPr/>
                  <w:fldChar w:fldCharType="begin"/>
                </w:r>
                <w:r>
                  <w:rPr/>
                  <w:instrText> PAGE </w:instrText>
                </w:r>
                <w:r>
                  <w:rPr/>
                  <w:fldChar w:fldCharType="separate"/>
                </w:r>
                <w:r>
                  <w:rPr/>
                  <w:t>291</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648" type="#_x0000_t202" filled="false" stroked="false">
          <v:textbox inset="0,0,0,0">
            <w:txbxContent>
              <w:p>
                <w:pPr>
                  <w:pStyle w:val="BodyText"/>
                  <w:spacing w:before="9"/>
                  <w:ind w:left="40"/>
                </w:pPr>
                <w:r>
                  <w:rPr/>
                  <w:fldChar w:fldCharType="begin"/>
                </w:r>
                <w:r>
                  <w:rPr/>
                  <w:instrText> PAGE </w:instrText>
                </w:r>
                <w:r>
                  <w:rPr/>
                  <w:fldChar w:fldCharType="separate"/>
                </w:r>
                <w:r>
                  <w:rPr/>
                  <w:t>293</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624" type="#_x0000_t202" filled="false" stroked="false">
          <v:textbox inset="0,0,0,0">
            <w:txbxContent>
              <w:p>
                <w:pPr>
                  <w:pStyle w:val="BodyText"/>
                  <w:spacing w:before="9"/>
                  <w:ind w:left="40"/>
                </w:pPr>
                <w:r>
                  <w:rPr/>
                  <w:fldChar w:fldCharType="begin"/>
                </w:r>
                <w:r>
                  <w:rPr/>
                  <w:instrText> PAGE </w:instrText>
                </w:r>
                <w:r>
                  <w:rPr/>
                  <w:fldChar w:fldCharType="separate"/>
                </w:r>
                <w:r>
                  <w:rPr/>
                  <w:t>302</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600" type="#_x0000_t202" filled="false" stroked="false">
          <v:textbox inset="0,0,0,0">
            <w:txbxContent>
              <w:p>
                <w:pPr>
                  <w:pStyle w:val="BodyText"/>
                  <w:spacing w:before="9"/>
                  <w:ind w:left="40"/>
                </w:pPr>
                <w:r>
                  <w:rPr/>
                  <w:fldChar w:fldCharType="begin"/>
                </w:r>
                <w:r>
                  <w:rPr/>
                  <w:instrText> PAGE </w:instrText>
                </w:r>
                <w:r>
                  <w:rPr/>
                  <w:fldChar w:fldCharType="separate"/>
                </w:r>
                <w:r>
                  <w:rPr/>
                  <w:t>305</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576" type="#_x0000_t202" filled="false" stroked="false">
          <v:textbox inset="0,0,0,0">
            <w:txbxContent>
              <w:p>
                <w:pPr>
                  <w:pStyle w:val="BodyText"/>
                  <w:spacing w:before="9"/>
                  <w:ind w:left="40"/>
                </w:pPr>
                <w:r>
                  <w:rPr/>
                  <w:fldChar w:fldCharType="begin"/>
                </w:r>
                <w:r>
                  <w:rPr/>
                  <w:instrText> PAGE </w:instrText>
                </w:r>
                <w:r>
                  <w:rPr/>
                  <w:fldChar w:fldCharType="separate"/>
                </w:r>
                <w:r>
                  <w:rPr/>
                  <w:t>309</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1128" type="#_x0000_t202" filled="false" stroked="false">
          <v:textbox inset="0,0,0,0">
            <w:txbxContent>
              <w:p>
                <w:pPr>
                  <w:pStyle w:val="BodyText"/>
                  <w:spacing w:before="9"/>
                  <w:ind w:left="40"/>
                </w:pPr>
                <w:r>
                  <w:rPr/>
                  <w:fldChar w:fldCharType="begin"/>
                </w:r>
                <w:r>
                  <w:rPr/>
                  <w:instrText> PAGE </w:instrText>
                </w:r>
                <w:r>
                  <w:rPr/>
                  <w:fldChar w:fldCharType="separate"/>
                </w:r>
                <w:r>
                  <w:rPr/>
                  <w:t>110</w:t>
                </w:r>
                <w:r>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552" type="#_x0000_t202" filled="false" stroked="false">
          <v:textbox inset="0,0,0,0">
            <w:txbxContent>
              <w:p>
                <w:pPr>
                  <w:pStyle w:val="BodyText"/>
                  <w:spacing w:before="9"/>
                  <w:ind w:left="40"/>
                </w:pPr>
                <w:r>
                  <w:rPr/>
                  <w:fldChar w:fldCharType="begin"/>
                </w:r>
                <w:r>
                  <w:rPr/>
                  <w:instrText> PAGE </w:instrText>
                </w:r>
                <w:r>
                  <w:rPr/>
                  <w:fldChar w:fldCharType="separate"/>
                </w:r>
                <w:r>
                  <w:rPr/>
                  <w:t>310</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528" type="#_x0000_t202" filled="false" stroked="false">
          <v:textbox inset="0,0,0,0">
            <w:txbxContent>
              <w:p>
                <w:pPr>
                  <w:pStyle w:val="BodyText"/>
                  <w:spacing w:before="9"/>
                  <w:ind w:left="40"/>
                </w:pPr>
                <w:r>
                  <w:rPr/>
                  <w:fldChar w:fldCharType="begin"/>
                </w:r>
                <w:r>
                  <w:rPr/>
                  <w:instrText> PAGE </w:instrText>
                </w:r>
                <w:r>
                  <w:rPr/>
                  <w:fldChar w:fldCharType="separate"/>
                </w:r>
                <w:r>
                  <w:rPr/>
                  <w:t>313</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504" type="#_x0000_t202" filled="false" stroked="false">
          <v:textbox inset="0,0,0,0">
            <w:txbxContent>
              <w:p>
                <w:pPr>
                  <w:pStyle w:val="BodyText"/>
                  <w:spacing w:before="9"/>
                  <w:ind w:left="40"/>
                </w:pPr>
                <w:r>
                  <w:rPr/>
                  <w:fldChar w:fldCharType="begin"/>
                </w:r>
                <w:r>
                  <w:rPr/>
                  <w:instrText> PAGE </w:instrText>
                </w:r>
                <w:r>
                  <w:rPr/>
                  <w:fldChar w:fldCharType="separate"/>
                </w:r>
                <w:r>
                  <w:rPr/>
                  <w:t>315</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0480" type="#_x0000_t202" filled="false" stroked="false">
          <v:textbox inset="0,0,0,0">
            <w:txbxContent>
              <w:p>
                <w:pPr>
                  <w:pStyle w:val="BodyText"/>
                  <w:spacing w:before="9"/>
                  <w:ind w:left="40"/>
                </w:pPr>
                <w:r>
                  <w:rPr/>
                  <w:fldChar w:fldCharType="begin"/>
                </w:r>
                <w:r>
                  <w:rPr/>
                  <w:instrText> PAGE </w:instrText>
                </w:r>
                <w:r>
                  <w:rPr/>
                  <w:fldChar w:fldCharType="separate"/>
                </w:r>
                <w:r>
                  <w:rPr/>
                  <w:t>317</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1104" type="#_x0000_t202" filled="false" stroked="false">
          <v:textbox inset="0,0,0,0">
            <w:txbxContent>
              <w:p>
                <w:pPr>
                  <w:pStyle w:val="BodyText"/>
                  <w:spacing w:before="9"/>
                  <w:ind w:left="40"/>
                </w:pPr>
                <w:r>
                  <w:rPr/>
                  <w:fldChar w:fldCharType="begin"/>
                </w:r>
                <w:r>
                  <w:rPr/>
                  <w:instrText> PAGE </w:instrText>
                </w:r>
                <w:r>
                  <w:rPr/>
                  <w:fldChar w:fldCharType="separate"/>
                </w:r>
                <w:r>
                  <w:rPr/>
                  <w:t>120</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1080" type="#_x0000_t202" filled="false" stroked="false">
          <v:textbox inset="0,0,0,0">
            <w:txbxContent>
              <w:p>
                <w:pPr>
                  <w:pStyle w:val="BodyText"/>
                  <w:spacing w:before="9"/>
                  <w:ind w:left="40"/>
                </w:pPr>
                <w:r>
                  <w:rPr/>
                  <w:fldChar w:fldCharType="begin"/>
                </w:r>
                <w:r>
                  <w:rPr/>
                  <w:instrText> PAGE </w:instrText>
                </w:r>
                <w:r>
                  <w:rPr/>
                  <w:fldChar w:fldCharType="separate"/>
                </w:r>
                <w:r>
                  <w:rPr/>
                  <w:t>130</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1056" type="#_x0000_t202" filled="false" stroked="false">
          <v:textbox inset="0,0,0,0">
            <w:txbxContent>
              <w:p>
                <w:pPr>
                  <w:pStyle w:val="BodyText"/>
                  <w:spacing w:before="9"/>
                  <w:ind w:left="40"/>
                </w:pPr>
                <w:r>
                  <w:rPr/>
                  <w:fldChar w:fldCharType="begin"/>
                </w:r>
                <w:r>
                  <w:rPr/>
                  <w:instrText> PAGE </w:instrText>
                </w:r>
                <w:r>
                  <w:rPr/>
                  <w:fldChar w:fldCharType="separate"/>
                </w:r>
                <w:r>
                  <w:rPr/>
                  <w:t>140</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1032" type="#_x0000_t202" filled="false" stroked="false">
          <v:textbox inset="0,0,0,0">
            <w:txbxContent>
              <w:p>
                <w:pPr>
                  <w:pStyle w:val="BodyText"/>
                  <w:spacing w:before="9"/>
                  <w:ind w:left="40"/>
                </w:pPr>
                <w:r>
                  <w:rPr/>
                  <w:fldChar w:fldCharType="begin"/>
                </w:r>
                <w:r>
                  <w:rPr/>
                  <w:instrText> PAGE </w:instrText>
                </w:r>
                <w:r>
                  <w:rPr/>
                  <w:fldChar w:fldCharType="separate"/>
                </w:r>
                <w:r>
                  <w:rPr/>
                  <w:t>150</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05pt;height:17.55pt;mso-position-horizontal-relative:page;mso-position-vertical-relative:page;z-index:-341008" type="#_x0000_t202" filled="false" stroked="false">
          <v:textbox inset="0,0,0,0">
            <w:txbxContent>
              <w:p>
                <w:pPr>
                  <w:pStyle w:val="BodyText"/>
                  <w:spacing w:before="9"/>
                  <w:ind w:left="40"/>
                </w:pPr>
                <w:r>
                  <w:rPr/>
                  <w:fldChar w:fldCharType="begin"/>
                </w:r>
                <w:r>
                  <w:rPr/>
                  <w:instrText> PAGE </w:instrText>
                </w:r>
                <w:r>
                  <w:rPr/>
                  <w:fldChar w:fldCharType="separate"/>
                </w:r>
                <w:r>
                  <w:rPr/>
                  <w:t>160</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69995pt;margin-top:34.608749pt;width:25.1pt;height:17.55pt;mso-position-horizontal-relative:page;mso-position-vertical-relative:page;z-index:-340984" type="#_x0000_t202" filled="false" stroked="false">
          <v:textbox inset="0,0,0,0">
            <w:txbxContent>
              <w:p>
                <w:pPr>
                  <w:pStyle w:val="BodyText"/>
                  <w:spacing w:before="9"/>
                  <w:ind w:left="40"/>
                </w:pPr>
                <w:r>
                  <w:rPr/>
                  <w:fldChar w:fldCharType="begin"/>
                </w:r>
                <w:r>
                  <w:rPr/>
                  <w:instrText> PAGE </w:instrText>
                </w:r>
                <w:r>
                  <w:rPr/>
                  <w:fldChar w:fldCharType="separate"/>
                </w:r>
                <w:r>
                  <w:rPr/>
                  <w:t>173</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0">
    <w:multiLevelType w:val="hybridMultilevel"/>
    <w:lvl w:ilvl="0">
      <w:start w:val="2"/>
      <w:numFmt w:val="decimal"/>
      <w:lvlText w:val="%1"/>
      <w:lvlJc w:val="left"/>
      <w:pPr>
        <w:ind w:left="4511" w:hanging="212"/>
        <w:jc w:val="left"/>
      </w:pPr>
      <w:rPr>
        <w:rFonts w:hint="default" w:ascii="Times New Roman" w:hAnsi="Times New Roman" w:eastAsia="Times New Roman" w:cs="Times New Roman"/>
        <w:w w:val="100"/>
        <w:sz w:val="28"/>
        <w:szCs w:val="28"/>
      </w:rPr>
    </w:lvl>
    <w:lvl w:ilvl="1">
      <w:start w:val="2"/>
      <w:numFmt w:val="decimal"/>
      <w:lvlText w:val="%2"/>
      <w:lvlJc w:val="left"/>
      <w:pPr>
        <w:ind w:left="5423" w:hanging="212"/>
        <w:jc w:val="left"/>
      </w:pPr>
      <w:rPr>
        <w:rFonts w:hint="default" w:ascii="Times New Roman" w:hAnsi="Times New Roman" w:eastAsia="Times New Roman" w:cs="Times New Roman"/>
        <w:w w:val="100"/>
        <w:sz w:val="28"/>
        <w:szCs w:val="28"/>
      </w:rPr>
    </w:lvl>
    <w:lvl w:ilvl="2">
      <w:start w:val="0"/>
      <w:numFmt w:val="bullet"/>
      <w:lvlText w:val="•"/>
      <w:lvlJc w:val="left"/>
      <w:pPr>
        <w:ind w:left="5775" w:hanging="212"/>
      </w:pPr>
      <w:rPr>
        <w:rFonts w:hint="default"/>
      </w:rPr>
    </w:lvl>
    <w:lvl w:ilvl="3">
      <w:start w:val="0"/>
      <w:numFmt w:val="bullet"/>
      <w:lvlText w:val="•"/>
      <w:lvlJc w:val="left"/>
      <w:pPr>
        <w:ind w:left="6130" w:hanging="212"/>
      </w:pPr>
      <w:rPr>
        <w:rFonts w:hint="default"/>
      </w:rPr>
    </w:lvl>
    <w:lvl w:ilvl="4">
      <w:start w:val="0"/>
      <w:numFmt w:val="bullet"/>
      <w:lvlText w:val="•"/>
      <w:lvlJc w:val="left"/>
      <w:pPr>
        <w:ind w:left="6486" w:hanging="212"/>
      </w:pPr>
      <w:rPr>
        <w:rFonts w:hint="default"/>
      </w:rPr>
    </w:lvl>
    <w:lvl w:ilvl="5">
      <w:start w:val="0"/>
      <w:numFmt w:val="bullet"/>
      <w:lvlText w:val="•"/>
      <w:lvlJc w:val="left"/>
      <w:pPr>
        <w:ind w:left="6841" w:hanging="212"/>
      </w:pPr>
      <w:rPr>
        <w:rFonts w:hint="default"/>
      </w:rPr>
    </w:lvl>
    <w:lvl w:ilvl="6">
      <w:start w:val="0"/>
      <w:numFmt w:val="bullet"/>
      <w:lvlText w:val="•"/>
      <w:lvlJc w:val="left"/>
      <w:pPr>
        <w:ind w:left="7197" w:hanging="212"/>
      </w:pPr>
      <w:rPr>
        <w:rFonts w:hint="default"/>
      </w:rPr>
    </w:lvl>
    <w:lvl w:ilvl="7">
      <w:start w:val="0"/>
      <w:numFmt w:val="bullet"/>
      <w:lvlText w:val="•"/>
      <w:lvlJc w:val="left"/>
      <w:pPr>
        <w:ind w:left="7552" w:hanging="212"/>
      </w:pPr>
      <w:rPr>
        <w:rFonts w:hint="default"/>
      </w:rPr>
    </w:lvl>
    <w:lvl w:ilvl="8">
      <w:start w:val="0"/>
      <w:numFmt w:val="bullet"/>
      <w:lvlText w:val="•"/>
      <w:lvlJc w:val="left"/>
      <w:pPr>
        <w:ind w:left="7908" w:hanging="212"/>
      </w:pPr>
      <w:rPr>
        <w:rFonts w:hint="default"/>
      </w:rPr>
    </w:lvl>
  </w:abstractNum>
  <w:abstractNum w:abstractNumId="42">
    <w:multiLevelType w:val="hybridMultilevel"/>
    <w:lvl w:ilvl="0">
      <w:start w:val="2"/>
      <w:numFmt w:val="decimal"/>
      <w:lvlText w:val="%1"/>
      <w:lvlJc w:val="left"/>
      <w:pPr>
        <w:ind w:left="5493" w:hanging="1124"/>
        <w:jc w:val="left"/>
      </w:pPr>
      <w:rPr>
        <w:rFonts w:hint="default" w:ascii="Times New Roman" w:hAnsi="Times New Roman" w:eastAsia="Times New Roman" w:cs="Times New Roman"/>
        <w:w w:val="100"/>
        <w:sz w:val="28"/>
        <w:szCs w:val="28"/>
      </w:rPr>
    </w:lvl>
    <w:lvl w:ilvl="1">
      <w:start w:val="0"/>
      <w:numFmt w:val="bullet"/>
      <w:lvlText w:val="•"/>
      <w:lvlJc w:val="left"/>
      <w:pPr>
        <w:ind w:left="5877" w:hanging="1124"/>
      </w:pPr>
      <w:rPr>
        <w:rFonts w:hint="default"/>
      </w:rPr>
    </w:lvl>
    <w:lvl w:ilvl="2">
      <w:start w:val="0"/>
      <w:numFmt w:val="bullet"/>
      <w:lvlText w:val="•"/>
      <w:lvlJc w:val="left"/>
      <w:pPr>
        <w:ind w:left="6255" w:hanging="1124"/>
      </w:pPr>
      <w:rPr>
        <w:rFonts w:hint="default"/>
      </w:rPr>
    </w:lvl>
    <w:lvl w:ilvl="3">
      <w:start w:val="0"/>
      <w:numFmt w:val="bullet"/>
      <w:lvlText w:val="•"/>
      <w:lvlJc w:val="left"/>
      <w:pPr>
        <w:ind w:left="6633" w:hanging="1124"/>
      </w:pPr>
      <w:rPr>
        <w:rFonts w:hint="default"/>
      </w:rPr>
    </w:lvl>
    <w:lvl w:ilvl="4">
      <w:start w:val="0"/>
      <w:numFmt w:val="bullet"/>
      <w:lvlText w:val="•"/>
      <w:lvlJc w:val="left"/>
      <w:pPr>
        <w:ind w:left="7011" w:hanging="1124"/>
      </w:pPr>
      <w:rPr>
        <w:rFonts w:hint="default"/>
      </w:rPr>
    </w:lvl>
    <w:lvl w:ilvl="5">
      <w:start w:val="0"/>
      <w:numFmt w:val="bullet"/>
      <w:lvlText w:val="•"/>
      <w:lvlJc w:val="left"/>
      <w:pPr>
        <w:ind w:left="7389" w:hanging="1124"/>
      </w:pPr>
      <w:rPr>
        <w:rFonts w:hint="default"/>
      </w:rPr>
    </w:lvl>
    <w:lvl w:ilvl="6">
      <w:start w:val="0"/>
      <w:numFmt w:val="bullet"/>
      <w:lvlText w:val="•"/>
      <w:lvlJc w:val="left"/>
      <w:pPr>
        <w:ind w:left="7767" w:hanging="1124"/>
      </w:pPr>
      <w:rPr>
        <w:rFonts w:hint="default"/>
      </w:rPr>
    </w:lvl>
    <w:lvl w:ilvl="7">
      <w:start w:val="0"/>
      <w:numFmt w:val="bullet"/>
      <w:lvlText w:val="•"/>
      <w:lvlJc w:val="left"/>
      <w:pPr>
        <w:ind w:left="8145" w:hanging="1124"/>
      </w:pPr>
      <w:rPr>
        <w:rFonts w:hint="default"/>
      </w:rPr>
    </w:lvl>
    <w:lvl w:ilvl="8">
      <w:start w:val="0"/>
      <w:numFmt w:val="bullet"/>
      <w:lvlText w:val="•"/>
      <w:lvlJc w:val="left"/>
      <w:pPr>
        <w:ind w:left="8523" w:hanging="1124"/>
      </w:pPr>
      <w:rPr>
        <w:rFonts w:hint="default"/>
      </w:rPr>
    </w:lvl>
  </w:abstractNum>
  <w:abstractNum w:abstractNumId="39">
    <w:multiLevelType w:val="hybridMultilevel"/>
    <w:lvl w:ilvl="0">
      <w:start w:val="2"/>
      <w:numFmt w:val="decimal"/>
      <w:lvlText w:val="%1"/>
      <w:lvlJc w:val="left"/>
      <w:pPr>
        <w:ind w:left="4091" w:hanging="281"/>
        <w:jc w:val="left"/>
      </w:pPr>
      <w:rPr>
        <w:rFonts w:hint="default" w:ascii="Times New Roman" w:hAnsi="Times New Roman" w:eastAsia="Times New Roman" w:cs="Times New Roman"/>
        <w:w w:val="100"/>
        <w:sz w:val="28"/>
        <w:szCs w:val="28"/>
      </w:rPr>
    </w:lvl>
    <w:lvl w:ilvl="1">
      <w:start w:val="0"/>
      <w:numFmt w:val="bullet"/>
      <w:lvlText w:val="•"/>
      <w:lvlJc w:val="left"/>
      <w:pPr>
        <w:ind w:left="4617" w:hanging="281"/>
      </w:pPr>
      <w:rPr>
        <w:rFonts w:hint="default"/>
      </w:rPr>
    </w:lvl>
    <w:lvl w:ilvl="2">
      <w:start w:val="0"/>
      <w:numFmt w:val="bullet"/>
      <w:lvlText w:val="•"/>
      <w:lvlJc w:val="left"/>
      <w:pPr>
        <w:ind w:left="5135" w:hanging="281"/>
      </w:pPr>
      <w:rPr>
        <w:rFonts w:hint="default"/>
      </w:rPr>
    </w:lvl>
    <w:lvl w:ilvl="3">
      <w:start w:val="0"/>
      <w:numFmt w:val="bullet"/>
      <w:lvlText w:val="•"/>
      <w:lvlJc w:val="left"/>
      <w:pPr>
        <w:ind w:left="5653" w:hanging="281"/>
      </w:pPr>
      <w:rPr>
        <w:rFonts w:hint="default"/>
      </w:rPr>
    </w:lvl>
    <w:lvl w:ilvl="4">
      <w:start w:val="0"/>
      <w:numFmt w:val="bullet"/>
      <w:lvlText w:val="•"/>
      <w:lvlJc w:val="left"/>
      <w:pPr>
        <w:ind w:left="6171" w:hanging="281"/>
      </w:pPr>
      <w:rPr>
        <w:rFonts w:hint="default"/>
      </w:rPr>
    </w:lvl>
    <w:lvl w:ilvl="5">
      <w:start w:val="0"/>
      <w:numFmt w:val="bullet"/>
      <w:lvlText w:val="•"/>
      <w:lvlJc w:val="left"/>
      <w:pPr>
        <w:ind w:left="6689" w:hanging="281"/>
      </w:pPr>
      <w:rPr>
        <w:rFonts w:hint="default"/>
      </w:rPr>
    </w:lvl>
    <w:lvl w:ilvl="6">
      <w:start w:val="0"/>
      <w:numFmt w:val="bullet"/>
      <w:lvlText w:val="•"/>
      <w:lvlJc w:val="left"/>
      <w:pPr>
        <w:ind w:left="7207" w:hanging="281"/>
      </w:pPr>
      <w:rPr>
        <w:rFonts w:hint="default"/>
      </w:rPr>
    </w:lvl>
    <w:lvl w:ilvl="7">
      <w:start w:val="0"/>
      <w:numFmt w:val="bullet"/>
      <w:lvlText w:val="•"/>
      <w:lvlJc w:val="left"/>
      <w:pPr>
        <w:ind w:left="7725" w:hanging="281"/>
      </w:pPr>
      <w:rPr>
        <w:rFonts w:hint="default"/>
      </w:rPr>
    </w:lvl>
    <w:lvl w:ilvl="8">
      <w:start w:val="0"/>
      <w:numFmt w:val="bullet"/>
      <w:lvlText w:val="•"/>
      <w:lvlJc w:val="left"/>
      <w:pPr>
        <w:ind w:left="8243" w:hanging="281"/>
      </w:pPr>
      <w:rPr>
        <w:rFonts w:hint="default"/>
      </w:rPr>
    </w:lvl>
  </w:abstractNum>
  <w:abstractNum w:abstractNumId="31">
    <w:multiLevelType w:val="hybridMultilevel"/>
    <w:lvl w:ilvl="0">
      <w:start w:val="1"/>
      <w:numFmt w:val="decimal"/>
      <w:lvlText w:val="%1."/>
      <w:lvlJc w:val="left"/>
      <w:pPr>
        <w:ind w:left="1002" w:hanging="54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827" w:hanging="540"/>
      </w:pPr>
      <w:rPr>
        <w:rFonts w:hint="default"/>
      </w:rPr>
    </w:lvl>
    <w:lvl w:ilvl="2">
      <w:start w:val="0"/>
      <w:numFmt w:val="bullet"/>
      <w:lvlText w:val="•"/>
      <w:lvlJc w:val="left"/>
      <w:pPr>
        <w:ind w:left="2655" w:hanging="540"/>
      </w:pPr>
      <w:rPr>
        <w:rFonts w:hint="default"/>
      </w:rPr>
    </w:lvl>
    <w:lvl w:ilvl="3">
      <w:start w:val="0"/>
      <w:numFmt w:val="bullet"/>
      <w:lvlText w:val="•"/>
      <w:lvlJc w:val="left"/>
      <w:pPr>
        <w:ind w:left="3483" w:hanging="540"/>
      </w:pPr>
      <w:rPr>
        <w:rFonts w:hint="default"/>
      </w:rPr>
    </w:lvl>
    <w:lvl w:ilvl="4">
      <w:start w:val="0"/>
      <w:numFmt w:val="bullet"/>
      <w:lvlText w:val="•"/>
      <w:lvlJc w:val="left"/>
      <w:pPr>
        <w:ind w:left="4311" w:hanging="540"/>
      </w:pPr>
      <w:rPr>
        <w:rFonts w:hint="default"/>
      </w:rPr>
    </w:lvl>
    <w:lvl w:ilvl="5">
      <w:start w:val="0"/>
      <w:numFmt w:val="bullet"/>
      <w:lvlText w:val="•"/>
      <w:lvlJc w:val="left"/>
      <w:pPr>
        <w:ind w:left="5139" w:hanging="540"/>
      </w:pPr>
      <w:rPr>
        <w:rFonts w:hint="default"/>
      </w:rPr>
    </w:lvl>
    <w:lvl w:ilvl="6">
      <w:start w:val="0"/>
      <w:numFmt w:val="bullet"/>
      <w:lvlText w:val="•"/>
      <w:lvlJc w:val="left"/>
      <w:pPr>
        <w:ind w:left="5967" w:hanging="540"/>
      </w:pPr>
      <w:rPr>
        <w:rFonts w:hint="default"/>
      </w:rPr>
    </w:lvl>
    <w:lvl w:ilvl="7">
      <w:start w:val="0"/>
      <w:numFmt w:val="bullet"/>
      <w:lvlText w:val="•"/>
      <w:lvlJc w:val="left"/>
      <w:pPr>
        <w:ind w:left="6795" w:hanging="540"/>
      </w:pPr>
      <w:rPr>
        <w:rFonts w:hint="default"/>
      </w:rPr>
    </w:lvl>
    <w:lvl w:ilvl="8">
      <w:start w:val="0"/>
      <w:numFmt w:val="bullet"/>
      <w:lvlText w:val="•"/>
      <w:lvlJc w:val="left"/>
      <w:pPr>
        <w:ind w:left="7623" w:hanging="540"/>
      </w:pPr>
      <w:rPr>
        <w:rFonts w:hint="default"/>
      </w:rPr>
    </w:lvl>
  </w:abstractNum>
  <w:abstractNum w:abstractNumId="30">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685" w:hanging="360"/>
      </w:pPr>
      <w:rPr>
        <w:rFonts w:hint="default"/>
      </w:rPr>
    </w:lvl>
    <w:lvl w:ilvl="2">
      <w:start w:val="0"/>
      <w:numFmt w:val="bullet"/>
      <w:lvlText w:val="•"/>
      <w:lvlJc w:val="left"/>
      <w:pPr>
        <w:ind w:left="2551" w:hanging="360"/>
      </w:pPr>
      <w:rPr>
        <w:rFonts w:hint="default"/>
      </w:rPr>
    </w:lvl>
    <w:lvl w:ilvl="3">
      <w:start w:val="0"/>
      <w:numFmt w:val="bullet"/>
      <w:lvlText w:val="•"/>
      <w:lvlJc w:val="left"/>
      <w:pPr>
        <w:ind w:left="3417" w:hanging="360"/>
      </w:pPr>
      <w:rPr>
        <w:rFonts w:hint="default"/>
      </w:rPr>
    </w:lvl>
    <w:lvl w:ilvl="4">
      <w:start w:val="0"/>
      <w:numFmt w:val="bullet"/>
      <w:lvlText w:val="•"/>
      <w:lvlJc w:val="left"/>
      <w:pPr>
        <w:ind w:left="4283" w:hanging="360"/>
      </w:pPr>
      <w:rPr>
        <w:rFonts w:hint="default"/>
      </w:rPr>
    </w:lvl>
    <w:lvl w:ilvl="5">
      <w:start w:val="0"/>
      <w:numFmt w:val="bullet"/>
      <w:lvlText w:val="•"/>
      <w:lvlJc w:val="left"/>
      <w:pPr>
        <w:ind w:left="5149" w:hanging="360"/>
      </w:pPr>
      <w:rPr>
        <w:rFonts w:hint="default"/>
      </w:rPr>
    </w:lvl>
    <w:lvl w:ilvl="6">
      <w:start w:val="0"/>
      <w:numFmt w:val="bullet"/>
      <w:lvlText w:val="•"/>
      <w:lvlJc w:val="left"/>
      <w:pPr>
        <w:ind w:left="6015" w:hanging="360"/>
      </w:pPr>
      <w:rPr>
        <w:rFonts w:hint="default"/>
      </w:rPr>
    </w:lvl>
    <w:lvl w:ilvl="7">
      <w:start w:val="0"/>
      <w:numFmt w:val="bullet"/>
      <w:lvlText w:val="•"/>
      <w:lvlJc w:val="left"/>
      <w:pPr>
        <w:ind w:left="6881" w:hanging="360"/>
      </w:pPr>
      <w:rPr>
        <w:rFonts w:hint="default"/>
      </w:rPr>
    </w:lvl>
    <w:lvl w:ilvl="8">
      <w:start w:val="0"/>
      <w:numFmt w:val="bullet"/>
      <w:lvlText w:val="•"/>
      <w:lvlJc w:val="left"/>
      <w:pPr>
        <w:ind w:left="7747" w:hanging="360"/>
      </w:pPr>
      <w:rPr>
        <w:rFonts w:hint="default"/>
      </w:rPr>
    </w:lvl>
  </w:abstractNum>
  <w:abstractNum w:abstractNumId="23">
    <w:multiLevelType w:val="hybridMultilevel"/>
    <w:lvl w:ilvl="0">
      <w:start w:val="1"/>
      <w:numFmt w:val="decimal"/>
      <w:lvlText w:val="%1."/>
      <w:lvlJc w:val="left"/>
      <w:pPr>
        <w:ind w:left="982" w:hanging="521"/>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809" w:hanging="521"/>
      </w:pPr>
      <w:rPr>
        <w:rFonts w:hint="default"/>
      </w:rPr>
    </w:lvl>
    <w:lvl w:ilvl="2">
      <w:start w:val="0"/>
      <w:numFmt w:val="bullet"/>
      <w:lvlText w:val="•"/>
      <w:lvlJc w:val="left"/>
      <w:pPr>
        <w:ind w:left="2639" w:hanging="521"/>
      </w:pPr>
      <w:rPr>
        <w:rFonts w:hint="default"/>
      </w:rPr>
    </w:lvl>
    <w:lvl w:ilvl="3">
      <w:start w:val="0"/>
      <w:numFmt w:val="bullet"/>
      <w:lvlText w:val="•"/>
      <w:lvlJc w:val="left"/>
      <w:pPr>
        <w:ind w:left="3469" w:hanging="521"/>
      </w:pPr>
      <w:rPr>
        <w:rFonts w:hint="default"/>
      </w:rPr>
    </w:lvl>
    <w:lvl w:ilvl="4">
      <w:start w:val="0"/>
      <w:numFmt w:val="bullet"/>
      <w:lvlText w:val="•"/>
      <w:lvlJc w:val="left"/>
      <w:pPr>
        <w:ind w:left="4299" w:hanging="521"/>
      </w:pPr>
      <w:rPr>
        <w:rFonts w:hint="default"/>
      </w:rPr>
    </w:lvl>
    <w:lvl w:ilvl="5">
      <w:start w:val="0"/>
      <w:numFmt w:val="bullet"/>
      <w:lvlText w:val="•"/>
      <w:lvlJc w:val="left"/>
      <w:pPr>
        <w:ind w:left="5129" w:hanging="521"/>
      </w:pPr>
      <w:rPr>
        <w:rFonts w:hint="default"/>
      </w:rPr>
    </w:lvl>
    <w:lvl w:ilvl="6">
      <w:start w:val="0"/>
      <w:numFmt w:val="bullet"/>
      <w:lvlText w:val="•"/>
      <w:lvlJc w:val="left"/>
      <w:pPr>
        <w:ind w:left="5959" w:hanging="521"/>
      </w:pPr>
      <w:rPr>
        <w:rFonts w:hint="default"/>
      </w:rPr>
    </w:lvl>
    <w:lvl w:ilvl="7">
      <w:start w:val="0"/>
      <w:numFmt w:val="bullet"/>
      <w:lvlText w:val="•"/>
      <w:lvlJc w:val="left"/>
      <w:pPr>
        <w:ind w:left="6789" w:hanging="521"/>
      </w:pPr>
      <w:rPr>
        <w:rFonts w:hint="default"/>
      </w:rPr>
    </w:lvl>
    <w:lvl w:ilvl="8">
      <w:start w:val="0"/>
      <w:numFmt w:val="bullet"/>
      <w:lvlText w:val="•"/>
      <w:lvlJc w:val="left"/>
      <w:pPr>
        <w:ind w:left="7619" w:hanging="521"/>
      </w:pPr>
      <w:rPr>
        <w:rFonts w:hint="default"/>
      </w:rPr>
    </w:lvl>
  </w:abstractNum>
  <w:abstractNum w:abstractNumId="15">
    <w:multiLevelType w:val="hybridMultilevel"/>
    <w:lvl w:ilvl="0">
      <w:start w:val="1"/>
      <w:numFmt w:val="decimal"/>
      <w:lvlText w:val="%1."/>
      <w:lvlJc w:val="left"/>
      <w:pPr>
        <w:ind w:left="502" w:hanging="281"/>
        <w:jc w:val="left"/>
      </w:pPr>
      <w:rPr>
        <w:rFonts w:hint="default" w:ascii="Times New Roman" w:hAnsi="Times New Roman" w:eastAsia="Times New Roman" w:cs="Times New Roman"/>
        <w:w w:val="100"/>
        <w:sz w:val="28"/>
        <w:szCs w:val="28"/>
      </w:rPr>
    </w:lvl>
    <w:lvl w:ilvl="1">
      <w:start w:val="0"/>
      <w:numFmt w:val="bullet"/>
      <w:lvlText w:val="•"/>
      <w:lvlJc w:val="left"/>
      <w:pPr>
        <w:ind w:left="1401" w:hanging="281"/>
      </w:pPr>
      <w:rPr>
        <w:rFonts w:hint="default"/>
      </w:rPr>
    </w:lvl>
    <w:lvl w:ilvl="2">
      <w:start w:val="0"/>
      <w:numFmt w:val="bullet"/>
      <w:lvlText w:val="•"/>
      <w:lvlJc w:val="left"/>
      <w:pPr>
        <w:ind w:left="2303" w:hanging="281"/>
      </w:pPr>
      <w:rPr>
        <w:rFonts w:hint="default"/>
      </w:rPr>
    </w:lvl>
    <w:lvl w:ilvl="3">
      <w:start w:val="0"/>
      <w:numFmt w:val="bullet"/>
      <w:lvlText w:val="•"/>
      <w:lvlJc w:val="left"/>
      <w:pPr>
        <w:ind w:left="3205" w:hanging="281"/>
      </w:pPr>
      <w:rPr>
        <w:rFonts w:hint="default"/>
      </w:rPr>
    </w:lvl>
    <w:lvl w:ilvl="4">
      <w:start w:val="0"/>
      <w:numFmt w:val="bullet"/>
      <w:lvlText w:val="•"/>
      <w:lvlJc w:val="left"/>
      <w:pPr>
        <w:ind w:left="4107" w:hanging="281"/>
      </w:pPr>
      <w:rPr>
        <w:rFonts w:hint="default"/>
      </w:rPr>
    </w:lvl>
    <w:lvl w:ilvl="5">
      <w:start w:val="0"/>
      <w:numFmt w:val="bullet"/>
      <w:lvlText w:val="•"/>
      <w:lvlJc w:val="left"/>
      <w:pPr>
        <w:ind w:left="5009" w:hanging="281"/>
      </w:pPr>
      <w:rPr>
        <w:rFonts w:hint="default"/>
      </w:rPr>
    </w:lvl>
    <w:lvl w:ilvl="6">
      <w:start w:val="0"/>
      <w:numFmt w:val="bullet"/>
      <w:lvlText w:val="•"/>
      <w:lvlJc w:val="left"/>
      <w:pPr>
        <w:ind w:left="5911" w:hanging="281"/>
      </w:pPr>
      <w:rPr>
        <w:rFonts w:hint="default"/>
      </w:rPr>
    </w:lvl>
    <w:lvl w:ilvl="7">
      <w:start w:val="0"/>
      <w:numFmt w:val="bullet"/>
      <w:lvlText w:val="•"/>
      <w:lvlJc w:val="left"/>
      <w:pPr>
        <w:ind w:left="6813" w:hanging="281"/>
      </w:pPr>
      <w:rPr>
        <w:rFonts w:hint="default"/>
      </w:rPr>
    </w:lvl>
    <w:lvl w:ilvl="8">
      <w:start w:val="0"/>
      <w:numFmt w:val="bullet"/>
      <w:lvlText w:val="•"/>
      <w:lvlJc w:val="left"/>
      <w:pPr>
        <w:ind w:left="7715" w:hanging="281"/>
      </w:pPr>
      <w:rPr>
        <w:rFonts w:hint="default"/>
      </w:rPr>
    </w:lvl>
  </w:abstractNum>
  <w:abstractNum w:abstractNumId="9">
    <w:multiLevelType w:val="hybridMultilevel"/>
    <w:lvl w:ilvl="0">
      <w:start w:val="0"/>
      <w:numFmt w:val="bullet"/>
      <w:lvlText w:val="•"/>
      <w:lvlJc w:val="left"/>
      <w:pPr>
        <w:ind w:left="822" w:hanging="360"/>
      </w:pPr>
      <w:rPr>
        <w:rFonts w:hint="default" w:ascii="Arial" w:hAnsi="Arial" w:eastAsia="Arial" w:cs="Arial"/>
        <w:w w:val="100"/>
        <w:sz w:val="28"/>
        <w:szCs w:val="28"/>
      </w:rPr>
    </w:lvl>
    <w:lvl w:ilvl="1">
      <w:start w:val="0"/>
      <w:numFmt w:val="bullet"/>
      <w:lvlText w:val="•"/>
      <w:lvlJc w:val="left"/>
      <w:pPr>
        <w:ind w:left="1665" w:hanging="360"/>
      </w:pPr>
      <w:rPr>
        <w:rFonts w:hint="default"/>
      </w:rPr>
    </w:lvl>
    <w:lvl w:ilvl="2">
      <w:start w:val="0"/>
      <w:numFmt w:val="bullet"/>
      <w:lvlText w:val="•"/>
      <w:lvlJc w:val="left"/>
      <w:pPr>
        <w:ind w:left="2511" w:hanging="360"/>
      </w:pPr>
      <w:rPr>
        <w:rFonts w:hint="default"/>
      </w:rPr>
    </w:lvl>
    <w:lvl w:ilvl="3">
      <w:start w:val="0"/>
      <w:numFmt w:val="bullet"/>
      <w:lvlText w:val="•"/>
      <w:lvlJc w:val="left"/>
      <w:pPr>
        <w:ind w:left="3357" w:hanging="360"/>
      </w:pPr>
      <w:rPr>
        <w:rFonts w:hint="default"/>
      </w:rPr>
    </w:lvl>
    <w:lvl w:ilvl="4">
      <w:start w:val="0"/>
      <w:numFmt w:val="bullet"/>
      <w:lvlText w:val="•"/>
      <w:lvlJc w:val="left"/>
      <w:pPr>
        <w:ind w:left="4203" w:hanging="360"/>
      </w:pPr>
      <w:rPr>
        <w:rFonts w:hint="default"/>
      </w:rPr>
    </w:lvl>
    <w:lvl w:ilvl="5">
      <w:start w:val="0"/>
      <w:numFmt w:val="bullet"/>
      <w:lvlText w:val="•"/>
      <w:lvlJc w:val="left"/>
      <w:pPr>
        <w:ind w:left="5049" w:hanging="360"/>
      </w:pPr>
      <w:rPr>
        <w:rFonts w:hint="default"/>
      </w:rPr>
    </w:lvl>
    <w:lvl w:ilvl="6">
      <w:start w:val="0"/>
      <w:numFmt w:val="bullet"/>
      <w:lvlText w:val="•"/>
      <w:lvlJc w:val="left"/>
      <w:pPr>
        <w:ind w:left="5895" w:hanging="360"/>
      </w:pPr>
      <w:rPr>
        <w:rFonts w:hint="default"/>
      </w:rPr>
    </w:lvl>
    <w:lvl w:ilvl="7">
      <w:start w:val="0"/>
      <w:numFmt w:val="bullet"/>
      <w:lvlText w:val="•"/>
      <w:lvlJc w:val="left"/>
      <w:pPr>
        <w:ind w:left="6741" w:hanging="360"/>
      </w:pPr>
      <w:rPr>
        <w:rFonts w:hint="default"/>
      </w:rPr>
    </w:lvl>
    <w:lvl w:ilvl="8">
      <w:start w:val="0"/>
      <w:numFmt w:val="bullet"/>
      <w:lvlText w:val="•"/>
      <w:lvlJc w:val="left"/>
      <w:pPr>
        <w:ind w:left="7587" w:hanging="360"/>
      </w:pPr>
      <w:rPr>
        <w:rFonts w:hint="default"/>
      </w:rPr>
    </w:lvl>
  </w:abstractNum>
  <w:abstractNum w:abstractNumId="7">
    <w:multiLevelType w:val="hybridMultilevel"/>
    <w:lvl w:ilvl="0">
      <w:start w:val="0"/>
      <w:numFmt w:val="bullet"/>
      <w:lvlText w:val="•"/>
      <w:lvlJc w:val="left"/>
      <w:pPr>
        <w:ind w:left="822" w:hanging="360"/>
      </w:pPr>
      <w:rPr>
        <w:rFonts w:hint="default" w:ascii="Arial" w:hAnsi="Arial" w:eastAsia="Arial" w:cs="Arial"/>
        <w:w w:val="100"/>
        <w:sz w:val="28"/>
        <w:szCs w:val="28"/>
      </w:rPr>
    </w:lvl>
    <w:lvl w:ilvl="1">
      <w:start w:val="0"/>
      <w:numFmt w:val="bullet"/>
      <w:lvlText w:val="•"/>
      <w:lvlJc w:val="left"/>
      <w:pPr>
        <w:ind w:left="1667" w:hanging="360"/>
      </w:pPr>
      <w:rPr>
        <w:rFonts w:hint="default"/>
      </w:rPr>
    </w:lvl>
    <w:lvl w:ilvl="2">
      <w:start w:val="0"/>
      <w:numFmt w:val="bullet"/>
      <w:lvlText w:val="•"/>
      <w:lvlJc w:val="left"/>
      <w:pPr>
        <w:ind w:left="2515" w:hanging="360"/>
      </w:pPr>
      <w:rPr>
        <w:rFonts w:hint="default"/>
      </w:rPr>
    </w:lvl>
    <w:lvl w:ilvl="3">
      <w:start w:val="0"/>
      <w:numFmt w:val="bullet"/>
      <w:lvlText w:val="•"/>
      <w:lvlJc w:val="left"/>
      <w:pPr>
        <w:ind w:left="3363" w:hanging="360"/>
      </w:pPr>
      <w:rPr>
        <w:rFonts w:hint="default"/>
      </w:rPr>
    </w:lvl>
    <w:lvl w:ilvl="4">
      <w:start w:val="0"/>
      <w:numFmt w:val="bullet"/>
      <w:lvlText w:val="•"/>
      <w:lvlJc w:val="left"/>
      <w:pPr>
        <w:ind w:left="4211" w:hanging="360"/>
      </w:pPr>
      <w:rPr>
        <w:rFonts w:hint="default"/>
      </w:rPr>
    </w:lvl>
    <w:lvl w:ilvl="5">
      <w:start w:val="0"/>
      <w:numFmt w:val="bullet"/>
      <w:lvlText w:val="•"/>
      <w:lvlJc w:val="left"/>
      <w:pPr>
        <w:ind w:left="5059" w:hanging="360"/>
      </w:pPr>
      <w:rPr>
        <w:rFonts w:hint="default"/>
      </w:rPr>
    </w:lvl>
    <w:lvl w:ilvl="6">
      <w:start w:val="0"/>
      <w:numFmt w:val="bullet"/>
      <w:lvlText w:val="•"/>
      <w:lvlJc w:val="left"/>
      <w:pPr>
        <w:ind w:left="5907" w:hanging="360"/>
      </w:pPr>
      <w:rPr>
        <w:rFonts w:hint="default"/>
      </w:rPr>
    </w:lvl>
    <w:lvl w:ilvl="7">
      <w:start w:val="0"/>
      <w:numFmt w:val="bullet"/>
      <w:lvlText w:val="•"/>
      <w:lvlJc w:val="left"/>
      <w:pPr>
        <w:ind w:left="6755" w:hanging="360"/>
      </w:pPr>
      <w:rPr>
        <w:rFonts w:hint="default"/>
      </w:rPr>
    </w:lvl>
    <w:lvl w:ilvl="8">
      <w:start w:val="0"/>
      <w:numFmt w:val="bullet"/>
      <w:lvlText w:val="•"/>
      <w:lvlJc w:val="left"/>
      <w:pPr>
        <w:ind w:left="7603" w:hanging="360"/>
      </w:pPr>
      <w:rPr>
        <w:rFonts w:hint="default"/>
      </w:rPr>
    </w:lvl>
  </w:abstractNum>
  <w:abstractNum w:abstractNumId="60">
    <w:multiLevelType w:val="hybridMultilevel"/>
    <w:lvl w:ilvl="0">
      <w:start w:val="275"/>
      <w:numFmt w:val="decimal"/>
      <w:lvlText w:val="%1."/>
      <w:lvlJc w:val="left"/>
      <w:pPr>
        <w:ind w:left="742" w:hanging="1056"/>
        <w:jc w:val="left"/>
      </w:pPr>
      <w:rPr>
        <w:rFonts w:hint="default" w:ascii="Times New Roman" w:hAnsi="Times New Roman" w:eastAsia="Times New Roman" w:cs="Times New Roman"/>
        <w:spacing w:val="-2"/>
        <w:w w:val="100"/>
        <w:sz w:val="28"/>
        <w:szCs w:val="28"/>
      </w:rPr>
    </w:lvl>
    <w:lvl w:ilvl="1">
      <w:start w:val="0"/>
      <w:numFmt w:val="bullet"/>
      <w:lvlText w:val="•"/>
      <w:lvlJc w:val="left"/>
      <w:pPr>
        <w:ind w:left="1585" w:hanging="1056"/>
      </w:pPr>
      <w:rPr>
        <w:rFonts w:hint="default"/>
      </w:rPr>
    </w:lvl>
    <w:lvl w:ilvl="2">
      <w:start w:val="0"/>
      <w:numFmt w:val="bullet"/>
      <w:lvlText w:val="•"/>
      <w:lvlJc w:val="left"/>
      <w:pPr>
        <w:ind w:left="2431" w:hanging="1056"/>
      </w:pPr>
      <w:rPr>
        <w:rFonts w:hint="default"/>
      </w:rPr>
    </w:lvl>
    <w:lvl w:ilvl="3">
      <w:start w:val="0"/>
      <w:numFmt w:val="bullet"/>
      <w:lvlText w:val="•"/>
      <w:lvlJc w:val="left"/>
      <w:pPr>
        <w:ind w:left="3277" w:hanging="1056"/>
      </w:pPr>
      <w:rPr>
        <w:rFonts w:hint="default"/>
      </w:rPr>
    </w:lvl>
    <w:lvl w:ilvl="4">
      <w:start w:val="0"/>
      <w:numFmt w:val="bullet"/>
      <w:lvlText w:val="•"/>
      <w:lvlJc w:val="left"/>
      <w:pPr>
        <w:ind w:left="4123" w:hanging="1056"/>
      </w:pPr>
      <w:rPr>
        <w:rFonts w:hint="default"/>
      </w:rPr>
    </w:lvl>
    <w:lvl w:ilvl="5">
      <w:start w:val="0"/>
      <w:numFmt w:val="bullet"/>
      <w:lvlText w:val="•"/>
      <w:lvlJc w:val="left"/>
      <w:pPr>
        <w:ind w:left="4969" w:hanging="1056"/>
      </w:pPr>
      <w:rPr>
        <w:rFonts w:hint="default"/>
      </w:rPr>
    </w:lvl>
    <w:lvl w:ilvl="6">
      <w:start w:val="0"/>
      <w:numFmt w:val="bullet"/>
      <w:lvlText w:val="•"/>
      <w:lvlJc w:val="left"/>
      <w:pPr>
        <w:ind w:left="5815" w:hanging="1056"/>
      </w:pPr>
      <w:rPr>
        <w:rFonts w:hint="default"/>
      </w:rPr>
    </w:lvl>
    <w:lvl w:ilvl="7">
      <w:start w:val="0"/>
      <w:numFmt w:val="bullet"/>
      <w:lvlText w:val="•"/>
      <w:lvlJc w:val="left"/>
      <w:pPr>
        <w:ind w:left="6661" w:hanging="1056"/>
      </w:pPr>
      <w:rPr>
        <w:rFonts w:hint="default"/>
      </w:rPr>
    </w:lvl>
    <w:lvl w:ilvl="8">
      <w:start w:val="0"/>
      <w:numFmt w:val="bullet"/>
      <w:lvlText w:val="•"/>
      <w:lvlJc w:val="left"/>
      <w:pPr>
        <w:ind w:left="7507" w:hanging="1056"/>
      </w:pPr>
      <w:rPr>
        <w:rFonts w:hint="default"/>
      </w:rPr>
    </w:lvl>
  </w:abstractNum>
  <w:abstractNum w:abstractNumId="59">
    <w:multiLevelType w:val="hybridMultilevel"/>
    <w:lvl w:ilvl="0">
      <w:start w:val="265"/>
      <w:numFmt w:val="decimal"/>
      <w:lvlText w:val="%1."/>
      <w:lvlJc w:val="left"/>
      <w:pPr>
        <w:ind w:left="742" w:hanging="1056"/>
        <w:jc w:val="left"/>
      </w:pPr>
      <w:rPr>
        <w:rFonts w:hint="default" w:ascii="Times New Roman" w:hAnsi="Times New Roman" w:eastAsia="Times New Roman" w:cs="Times New Roman"/>
        <w:spacing w:val="-2"/>
        <w:w w:val="100"/>
        <w:sz w:val="28"/>
        <w:szCs w:val="28"/>
      </w:rPr>
    </w:lvl>
    <w:lvl w:ilvl="1">
      <w:start w:val="0"/>
      <w:numFmt w:val="bullet"/>
      <w:lvlText w:val="•"/>
      <w:lvlJc w:val="left"/>
      <w:pPr>
        <w:ind w:left="1585" w:hanging="1056"/>
      </w:pPr>
      <w:rPr>
        <w:rFonts w:hint="default"/>
      </w:rPr>
    </w:lvl>
    <w:lvl w:ilvl="2">
      <w:start w:val="0"/>
      <w:numFmt w:val="bullet"/>
      <w:lvlText w:val="•"/>
      <w:lvlJc w:val="left"/>
      <w:pPr>
        <w:ind w:left="2431" w:hanging="1056"/>
      </w:pPr>
      <w:rPr>
        <w:rFonts w:hint="default"/>
      </w:rPr>
    </w:lvl>
    <w:lvl w:ilvl="3">
      <w:start w:val="0"/>
      <w:numFmt w:val="bullet"/>
      <w:lvlText w:val="•"/>
      <w:lvlJc w:val="left"/>
      <w:pPr>
        <w:ind w:left="3277" w:hanging="1056"/>
      </w:pPr>
      <w:rPr>
        <w:rFonts w:hint="default"/>
      </w:rPr>
    </w:lvl>
    <w:lvl w:ilvl="4">
      <w:start w:val="0"/>
      <w:numFmt w:val="bullet"/>
      <w:lvlText w:val="•"/>
      <w:lvlJc w:val="left"/>
      <w:pPr>
        <w:ind w:left="4123" w:hanging="1056"/>
      </w:pPr>
      <w:rPr>
        <w:rFonts w:hint="default"/>
      </w:rPr>
    </w:lvl>
    <w:lvl w:ilvl="5">
      <w:start w:val="0"/>
      <w:numFmt w:val="bullet"/>
      <w:lvlText w:val="•"/>
      <w:lvlJc w:val="left"/>
      <w:pPr>
        <w:ind w:left="4969" w:hanging="1056"/>
      </w:pPr>
      <w:rPr>
        <w:rFonts w:hint="default"/>
      </w:rPr>
    </w:lvl>
    <w:lvl w:ilvl="6">
      <w:start w:val="0"/>
      <w:numFmt w:val="bullet"/>
      <w:lvlText w:val="•"/>
      <w:lvlJc w:val="left"/>
      <w:pPr>
        <w:ind w:left="5815" w:hanging="1056"/>
      </w:pPr>
      <w:rPr>
        <w:rFonts w:hint="default"/>
      </w:rPr>
    </w:lvl>
    <w:lvl w:ilvl="7">
      <w:start w:val="0"/>
      <w:numFmt w:val="bullet"/>
      <w:lvlText w:val="•"/>
      <w:lvlJc w:val="left"/>
      <w:pPr>
        <w:ind w:left="6661" w:hanging="1056"/>
      </w:pPr>
      <w:rPr>
        <w:rFonts w:hint="default"/>
      </w:rPr>
    </w:lvl>
    <w:lvl w:ilvl="8">
      <w:start w:val="0"/>
      <w:numFmt w:val="bullet"/>
      <w:lvlText w:val="•"/>
      <w:lvlJc w:val="left"/>
      <w:pPr>
        <w:ind w:left="7507" w:hanging="1056"/>
      </w:pPr>
      <w:rPr>
        <w:rFonts w:hint="default"/>
      </w:rPr>
    </w:lvl>
  </w:abstractNum>
  <w:abstractNum w:abstractNumId="58">
    <w:multiLevelType w:val="hybridMultilevel"/>
    <w:lvl w:ilvl="0">
      <w:start w:val="140"/>
      <w:numFmt w:val="decimal"/>
      <w:lvlText w:val="%1."/>
      <w:lvlJc w:val="left"/>
      <w:pPr>
        <w:ind w:left="742" w:hanging="1056"/>
        <w:jc w:val="left"/>
      </w:pPr>
      <w:rPr>
        <w:rFonts w:hint="default" w:ascii="Times New Roman" w:hAnsi="Times New Roman" w:eastAsia="Times New Roman" w:cs="Times New Roman"/>
        <w:spacing w:val="-2"/>
        <w:w w:val="100"/>
        <w:sz w:val="28"/>
        <w:szCs w:val="28"/>
      </w:rPr>
    </w:lvl>
    <w:lvl w:ilvl="1">
      <w:start w:val="0"/>
      <w:numFmt w:val="bullet"/>
      <w:lvlText w:val="•"/>
      <w:lvlJc w:val="left"/>
      <w:pPr>
        <w:ind w:left="1587" w:hanging="1056"/>
      </w:pPr>
      <w:rPr>
        <w:rFonts w:hint="default"/>
      </w:rPr>
    </w:lvl>
    <w:lvl w:ilvl="2">
      <w:start w:val="0"/>
      <w:numFmt w:val="bullet"/>
      <w:lvlText w:val="•"/>
      <w:lvlJc w:val="left"/>
      <w:pPr>
        <w:ind w:left="2435" w:hanging="1056"/>
      </w:pPr>
      <w:rPr>
        <w:rFonts w:hint="default"/>
      </w:rPr>
    </w:lvl>
    <w:lvl w:ilvl="3">
      <w:start w:val="0"/>
      <w:numFmt w:val="bullet"/>
      <w:lvlText w:val="•"/>
      <w:lvlJc w:val="left"/>
      <w:pPr>
        <w:ind w:left="3283" w:hanging="1056"/>
      </w:pPr>
      <w:rPr>
        <w:rFonts w:hint="default"/>
      </w:rPr>
    </w:lvl>
    <w:lvl w:ilvl="4">
      <w:start w:val="0"/>
      <w:numFmt w:val="bullet"/>
      <w:lvlText w:val="•"/>
      <w:lvlJc w:val="left"/>
      <w:pPr>
        <w:ind w:left="4131" w:hanging="1056"/>
      </w:pPr>
      <w:rPr>
        <w:rFonts w:hint="default"/>
      </w:rPr>
    </w:lvl>
    <w:lvl w:ilvl="5">
      <w:start w:val="0"/>
      <w:numFmt w:val="bullet"/>
      <w:lvlText w:val="•"/>
      <w:lvlJc w:val="left"/>
      <w:pPr>
        <w:ind w:left="4979" w:hanging="1056"/>
      </w:pPr>
      <w:rPr>
        <w:rFonts w:hint="default"/>
      </w:rPr>
    </w:lvl>
    <w:lvl w:ilvl="6">
      <w:start w:val="0"/>
      <w:numFmt w:val="bullet"/>
      <w:lvlText w:val="•"/>
      <w:lvlJc w:val="left"/>
      <w:pPr>
        <w:ind w:left="5827" w:hanging="1056"/>
      </w:pPr>
      <w:rPr>
        <w:rFonts w:hint="default"/>
      </w:rPr>
    </w:lvl>
    <w:lvl w:ilvl="7">
      <w:start w:val="0"/>
      <w:numFmt w:val="bullet"/>
      <w:lvlText w:val="•"/>
      <w:lvlJc w:val="left"/>
      <w:pPr>
        <w:ind w:left="6675" w:hanging="1056"/>
      </w:pPr>
      <w:rPr>
        <w:rFonts w:hint="default"/>
      </w:rPr>
    </w:lvl>
    <w:lvl w:ilvl="8">
      <w:start w:val="0"/>
      <w:numFmt w:val="bullet"/>
      <w:lvlText w:val="•"/>
      <w:lvlJc w:val="left"/>
      <w:pPr>
        <w:ind w:left="7523" w:hanging="1056"/>
      </w:pPr>
      <w:rPr>
        <w:rFonts w:hint="default"/>
      </w:rPr>
    </w:lvl>
  </w:abstractNum>
  <w:abstractNum w:abstractNumId="57">
    <w:multiLevelType w:val="hybridMultilevel"/>
    <w:lvl w:ilvl="0">
      <w:start w:val="115"/>
      <w:numFmt w:val="decimal"/>
      <w:lvlText w:val="%1."/>
      <w:lvlJc w:val="left"/>
      <w:pPr>
        <w:ind w:left="742" w:hanging="1056"/>
        <w:jc w:val="left"/>
      </w:pPr>
      <w:rPr>
        <w:rFonts w:hint="default" w:ascii="Times New Roman" w:hAnsi="Times New Roman" w:eastAsia="Times New Roman" w:cs="Times New Roman"/>
        <w:spacing w:val="-2"/>
        <w:w w:val="100"/>
        <w:sz w:val="28"/>
        <w:szCs w:val="28"/>
      </w:rPr>
    </w:lvl>
    <w:lvl w:ilvl="1">
      <w:start w:val="0"/>
      <w:numFmt w:val="bullet"/>
      <w:lvlText w:val="•"/>
      <w:lvlJc w:val="left"/>
      <w:pPr>
        <w:ind w:left="1585" w:hanging="1056"/>
      </w:pPr>
      <w:rPr>
        <w:rFonts w:hint="default"/>
      </w:rPr>
    </w:lvl>
    <w:lvl w:ilvl="2">
      <w:start w:val="0"/>
      <w:numFmt w:val="bullet"/>
      <w:lvlText w:val="•"/>
      <w:lvlJc w:val="left"/>
      <w:pPr>
        <w:ind w:left="2431" w:hanging="1056"/>
      </w:pPr>
      <w:rPr>
        <w:rFonts w:hint="default"/>
      </w:rPr>
    </w:lvl>
    <w:lvl w:ilvl="3">
      <w:start w:val="0"/>
      <w:numFmt w:val="bullet"/>
      <w:lvlText w:val="•"/>
      <w:lvlJc w:val="left"/>
      <w:pPr>
        <w:ind w:left="3277" w:hanging="1056"/>
      </w:pPr>
      <w:rPr>
        <w:rFonts w:hint="default"/>
      </w:rPr>
    </w:lvl>
    <w:lvl w:ilvl="4">
      <w:start w:val="0"/>
      <w:numFmt w:val="bullet"/>
      <w:lvlText w:val="•"/>
      <w:lvlJc w:val="left"/>
      <w:pPr>
        <w:ind w:left="4123" w:hanging="1056"/>
      </w:pPr>
      <w:rPr>
        <w:rFonts w:hint="default"/>
      </w:rPr>
    </w:lvl>
    <w:lvl w:ilvl="5">
      <w:start w:val="0"/>
      <w:numFmt w:val="bullet"/>
      <w:lvlText w:val="•"/>
      <w:lvlJc w:val="left"/>
      <w:pPr>
        <w:ind w:left="4969" w:hanging="1056"/>
      </w:pPr>
      <w:rPr>
        <w:rFonts w:hint="default"/>
      </w:rPr>
    </w:lvl>
    <w:lvl w:ilvl="6">
      <w:start w:val="0"/>
      <w:numFmt w:val="bullet"/>
      <w:lvlText w:val="•"/>
      <w:lvlJc w:val="left"/>
      <w:pPr>
        <w:ind w:left="5815" w:hanging="1056"/>
      </w:pPr>
      <w:rPr>
        <w:rFonts w:hint="default"/>
      </w:rPr>
    </w:lvl>
    <w:lvl w:ilvl="7">
      <w:start w:val="0"/>
      <w:numFmt w:val="bullet"/>
      <w:lvlText w:val="•"/>
      <w:lvlJc w:val="left"/>
      <w:pPr>
        <w:ind w:left="6661" w:hanging="1056"/>
      </w:pPr>
      <w:rPr>
        <w:rFonts w:hint="default"/>
      </w:rPr>
    </w:lvl>
    <w:lvl w:ilvl="8">
      <w:start w:val="0"/>
      <w:numFmt w:val="bullet"/>
      <w:lvlText w:val="•"/>
      <w:lvlJc w:val="left"/>
      <w:pPr>
        <w:ind w:left="7507" w:hanging="1056"/>
      </w:pPr>
      <w:rPr>
        <w:rFonts w:hint="default"/>
      </w:rPr>
    </w:lvl>
  </w:abstractNum>
  <w:abstractNum w:abstractNumId="56">
    <w:multiLevelType w:val="hybridMultilevel"/>
    <w:lvl w:ilvl="0">
      <w:start w:val="105"/>
      <w:numFmt w:val="decimal"/>
      <w:lvlText w:val="%1."/>
      <w:lvlJc w:val="left"/>
      <w:pPr>
        <w:ind w:left="742" w:hanging="1056"/>
        <w:jc w:val="left"/>
      </w:pPr>
      <w:rPr>
        <w:rFonts w:hint="default" w:ascii="Times New Roman" w:hAnsi="Times New Roman" w:eastAsia="Times New Roman" w:cs="Times New Roman"/>
        <w:spacing w:val="-2"/>
        <w:w w:val="100"/>
        <w:sz w:val="28"/>
        <w:szCs w:val="28"/>
      </w:rPr>
    </w:lvl>
    <w:lvl w:ilvl="1">
      <w:start w:val="0"/>
      <w:numFmt w:val="bullet"/>
      <w:lvlText w:val="•"/>
      <w:lvlJc w:val="left"/>
      <w:pPr>
        <w:ind w:left="1585" w:hanging="1056"/>
      </w:pPr>
      <w:rPr>
        <w:rFonts w:hint="default"/>
      </w:rPr>
    </w:lvl>
    <w:lvl w:ilvl="2">
      <w:start w:val="0"/>
      <w:numFmt w:val="bullet"/>
      <w:lvlText w:val="•"/>
      <w:lvlJc w:val="left"/>
      <w:pPr>
        <w:ind w:left="2431" w:hanging="1056"/>
      </w:pPr>
      <w:rPr>
        <w:rFonts w:hint="default"/>
      </w:rPr>
    </w:lvl>
    <w:lvl w:ilvl="3">
      <w:start w:val="0"/>
      <w:numFmt w:val="bullet"/>
      <w:lvlText w:val="•"/>
      <w:lvlJc w:val="left"/>
      <w:pPr>
        <w:ind w:left="3277" w:hanging="1056"/>
      </w:pPr>
      <w:rPr>
        <w:rFonts w:hint="default"/>
      </w:rPr>
    </w:lvl>
    <w:lvl w:ilvl="4">
      <w:start w:val="0"/>
      <w:numFmt w:val="bullet"/>
      <w:lvlText w:val="•"/>
      <w:lvlJc w:val="left"/>
      <w:pPr>
        <w:ind w:left="4123" w:hanging="1056"/>
      </w:pPr>
      <w:rPr>
        <w:rFonts w:hint="default"/>
      </w:rPr>
    </w:lvl>
    <w:lvl w:ilvl="5">
      <w:start w:val="0"/>
      <w:numFmt w:val="bullet"/>
      <w:lvlText w:val="•"/>
      <w:lvlJc w:val="left"/>
      <w:pPr>
        <w:ind w:left="4969" w:hanging="1056"/>
      </w:pPr>
      <w:rPr>
        <w:rFonts w:hint="default"/>
      </w:rPr>
    </w:lvl>
    <w:lvl w:ilvl="6">
      <w:start w:val="0"/>
      <w:numFmt w:val="bullet"/>
      <w:lvlText w:val="•"/>
      <w:lvlJc w:val="left"/>
      <w:pPr>
        <w:ind w:left="5815" w:hanging="1056"/>
      </w:pPr>
      <w:rPr>
        <w:rFonts w:hint="default"/>
      </w:rPr>
    </w:lvl>
    <w:lvl w:ilvl="7">
      <w:start w:val="0"/>
      <w:numFmt w:val="bullet"/>
      <w:lvlText w:val="•"/>
      <w:lvlJc w:val="left"/>
      <w:pPr>
        <w:ind w:left="6661" w:hanging="1056"/>
      </w:pPr>
      <w:rPr>
        <w:rFonts w:hint="default"/>
      </w:rPr>
    </w:lvl>
    <w:lvl w:ilvl="8">
      <w:start w:val="0"/>
      <w:numFmt w:val="bullet"/>
      <w:lvlText w:val="•"/>
      <w:lvlJc w:val="left"/>
      <w:pPr>
        <w:ind w:left="7507" w:hanging="1056"/>
      </w:pPr>
      <w:rPr>
        <w:rFonts w:hint="default"/>
      </w:rPr>
    </w:lvl>
  </w:abstractNum>
  <w:abstractNum w:abstractNumId="55">
    <w:multiLevelType w:val="hybridMultilevel"/>
    <w:lvl w:ilvl="0">
      <w:start w:val="93"/>
      <w:numFmt w:val="decimal"/>
      <w:lvlText w:val="%1."/>
      <w:lvlJc w:val="left"/>
      <w:pPr>
        <w:ind w:left="742" w:hanging="360"/>
        <w:jc w:val="left"/>
      </w:pPr>
      <w:rPr>
        <w:rFonts w:hint="default" w:ascii="Times New Roman" w:hAnsi="Times New Roman" w:eastAsia="Times New Roman" w:cs="Times New Roman"/>
        <w:spacing w:val="1"/>
        <w:w w:val="100"/>
        <w:sz w:val="28"/>
        <w:szCs w:val="28"/>
      </w:rPr>
    </w:lvl>
    <w:lvl w:ilvl="1">
      <w:start w:val="0"/>
      <w:numFmt w:val="bullet"/>
      <w:lvlText w:val="•"/>
      <w:lvlJc w:val="left"/>
      <w:pPr>
        <w:ind w:left="1587" w:hanging="360"/>
      </w:pPr>
      <w:rPr>
        <w:rFonts w:hint="default"/>
      </w:rPr>
    </w:lvl>
    <w:lvl w:ilvl="2">
      <w:start w:val="0"/>
      <w:numFmt w:val="bullet"/>
      <w:lvlText w:val="•"/>
      <w:lvlJc w:val="left"/>
      <w:pPr>
        <w:ind w:left="2435" w:hanging="360"/>
      </w:pPr>
      <w:rPr>
        <w:rFonts w:hint="default"/>
      </w:rPr>
    </w:lvl>
    <w:lvl w:ilvl="3">
      <w:start w:val="0"/>
      <w:numFmt w:val="bullet"/>
      <w:lvlText w:val="•"/>
      <w:lvlJc w:val="left"/>
      <w:pPr>
        <w:ind w:left="3283" w:hanging="360"/>
      </w:pPr>
      <w:rPr>
        <w:rFonts w:hint="default"/>
      </w:rPr>
    </w:lvl>
    <w:lvl w:ilvl="4">
      <w:start w:val="0"/>
      <w:numFmt w:val="bullet"/>
      <w:lvlText w:val="•"/>
      <w:lvlJc w:val="left"/>
      <w:pPr>
        <w:ind w:left="4131" w:hanging="360"/>
      </w:pPr>
      <w:rPr>
        <w:rFonts w:hint="default"/>
      </w:rPr>
    </w:lvl>
    <w:lvl w:ilvl="5">
      <w:start w:val="0"/>
      <w:numFmt w:val="bullet"/>
      <w:lvlText w:val="•"/>
      <w:lvlJc w:val="left"/>
      <w:pPr>
        <w:ind w:left="4979" w:hanging="360"/>
      </w:pPr>
      <w:rPr>
        <w:rFonts w:hint="default"/>
      </w:rPr>
    </w:lvl>
    <w:lvl w:ilvl="6">
      <w:start w:val="0"/>
      <w:numFmt w:val="bullet"/>
      <w:lvlText w:val="•"/>
      <w:lvlJc w:val="left"/>
      <w:pPr>
        <w:ind w:left="5827" w:hanging="360"/>
      </w:pPr>
      <w:rPr>
        <w:rFonts w:hint="default"/>
      </w:rPr>
    </w:lvl>
    <w:lvl w:ilvl="7">
      <w:start w:val="0"/>
      <w:numFmt w:val="bullet"/>
      <w:lvlText w:val="•"/>
      <w:lvlJc w:val="left"/>
      <w:pPr>
        <w:ind w:left="6675" w:hanging="360"/>
      </w:pPr>
      <w:rPr>
        <w:rFonts w:hint="default"/>
      </w:rPr>
    </w:lvl>
    <w:lvl w:ilvl="8">
      <w:start w:val="0"/>
      <w:numFmt w:val="bullet"/>
      <w:lvlText w:val="•"/>
      <w:lvlJc w:val="left"/>
      <w:pPr>
        <w:ind w:left="7523" w:hanging="360"/>
      </w:pPr>
      <w:rPr>
        <w:rFonts w:hint="default"/>
      </w:rPr>
    </w:lvl>
  </w:abstractNum>
  <w:abstractNum w:abstractNumId="54">
    <w:multiLevelType w:val="hybridMultilevel"/>
    <w:lvl w:ilvl="0">
      <w:start w:val="100"/>
      <w:numFmt w:val="decimal"/>
      <w:lvlText w:val="%1"/>
      <w:lvlJc w:val="left"/>
      <w:pPr>
        <w:ind w:left="1107" w:hanging="1006"/>
        <w:jc w:val="left"/>
      </w:pPr>
      <w:rPr>
        <w:rFonts w:hint="default"/>
      </w:rPr>
    </w:lvl>
    <w:lvl w:ilvl="1">
      <w:start w:val="150"/>
      <w:numFmt w:val="decimal"/>
      <w:lvlText w:val="%1-%2"/>
      <w:lvlJc w:val="left"/>
      <w:pPr>
        <w:ind w:left="1107" w:hanging="1006"/>
        <w:jc w:val="left"/>
      </w:pPr>
      <w:rPr>
        <w:rFonts w:hint="default" w:ascii="Times New Roman" w:hAnsi="Times New Roman" w:eastAsia="Times New Roman" w:cs="Times New Roman"/>
        <w:spacing w:val="-3"/>
        <w:w w:val="100"/>
        <w:sz w:val="28"/>
        <w:szCs w:val="28"/>
      </w:rPr>
    </w:lvl>
    <w:lvl w:ilvl="2">
      <w:start w:val="1"/>
      <w:numFmt w:val="decimal"/>
      <w:lvlText w:val="%3."/>
      <w:lvlJc w:val="left"/>
      <w:pPr>
        <w:ind w:left="742" w:hanging="500"/>
        <w:jc w:val="left"/>
      </w:pPr>
      <w:rPr>
        <w:rFonts w:hint="default" w:ascii="Times New Roman" w:hAnsi="Times New Roman" w:eastAsia="Times New Roman" w:cs="Times New Roman"/>
        <w:spacing w:val="0"/>
        <w:w w:val="100"/>
        <w:sz w:val="28"/>
        <w:szCs w:val="28"/>
      </w:rPr>
    </w:lvl>
    <w:lvl w:ilvl="3">
      <w:start w:val="0"/>
      <w:numFmt w:val="bullet"/>
      <w:lvlText w:val="•"/>
      <w:lvlJc w:val="left"/>
      <w:pPr>
        <w:ind w:left="2899" w:hanging="500"/>
      </w:pPr>
      <w:rPr>
        <w:rFonts w:hint="default"/>
      </w:rPr>
    </w:lvl>
    <w:lvl w:ilvl="4">
      <w:start w:val="0"/>
      <w:numFmt w:val="bullet"/>
      <w:lvlText w:val="•"/>
      <w:lvlJc w:val="left"/>
      <w:pPr>
        <w:ind w:left="3799" w:hanging="500"/>
      </w:pPr>
      <w:rPr>
        <w:rFonts w:hint="default"/>
      </w:rPr>
    </w:lvl>
    <w:lvl w:ilvl="5">
      <w:start w:val="0"/>
      <w:numFmt w:val="bullet"/>
      <w:lvlText w:val="•"/>
      <w:lvlJc w:val="left"/>
      <w:pPr>
        <w:ind w:left="4699" w:hanging="500"/>
      </w:pPr>
      <w:rPr>
        <w:rFonts w:hint="default"/>
      </w:rPr>
    </w:lvl>
    <w:lvl w:ilvl="6">
      <w:start w:val="0"/>
      <w:numFmt w:val="bullet"/>
      <w:lvlText w:val="•"/>
      <w:lvlJc w:val="left"/>
      <w:pPr>
        <w:ind w:left="5599" w:hanging="500"/>
      </w:pPr>
      <w:rPr>
        <w:rFonts w:hint="default"/>
      </w:rPr>
    </w:lvl>
    <w:lvl w:ilvl="7">
      <w:start w:val="0"/>
      <w:numFmt w:val="bullet"/>
      <w:lvlText w:val="•"/>
      <w:lvlJc w:val="left"/>
      <w:pPr>
        <w:ind w:left="6499" w:hanging="500"/>
      </w:pPr>
      <w:rPr>
        <w:rFonts w:hint="default"/>
      </w:rPr>
    </w:lvl>
    <w:lvl w:ilvl="8">
      <w:start w:val="0"/>
      <w:numFmt w:val="bullet"/>
      <w:lvlText w:val="•"/>
      <w:lvlJc w:val="left"/>
      <w:pPr>
        <w:ind w:left="7399" w:hanging="500"/>
      </w:pPr>
      <w:rPr>
        <w:rFonts w:hint="default"/>
      </w:rPr>
    </w:lvl>
  </w:abstractNum>
  <w:abstractNum w:abstractNumId="53">
    <w:multiLevelType w:val="hybridMultilevel"/>
    <w:lvl w:ilvl="0">
      <w:start w:val="17"/>
      <w:numFmt w:val="decimal"/>
      <w:lvlText w:val="%1."/>
      <w:lvlJc w:val="left"/>
      <w:pPr>
        <w:ind w:left="523" w:hanging="422"/>
        <w:jc w:val="left"/>
      </w:pPr>
      <w:rPr>
        <w:rFonts w:hint="default" w:ascii="Times New Roman" w:hAnsi="Times New Roman" w:eastAsia="Times New Roman" w:cs="Times New Roman"/>
        <w:w w:val="100"/>
        <w:sz w:val="28"/>
        <w:szCs w:val="28"/>
      </w:rPr>
    </w:lvl>
    <w:lvl w:ilvl="1">
      <w:start w:val="1"/>
      <w:numFmt w:val="decimal"/>
      <w:lvlText w:val="%2"/>
      <w:lvlJc w:val="left"/>
      <w:pPr>
        <w:ind w:left="3952" w:hanging="212"/>
        <w:jc w:val="right"/>
      </w:pPr>
      <w:rPr>
        <w:rFonts w:hint="default" w:ascii="Times New Roman" w:hAnsi="Times New Roman" w:eastAsia="Times New Roman" w:cs="Times New Roman"/>
        <w:w w:val="100"/>
        <w:sz w:val="28"/>
        <w:szCs w:val="28"/>
      </w:rPr>
    </w:lvl>
    <w:lvl w:ilvl="2">
      <w:start w:val="0"/>
      <w:numFmt w:val="bullet"/>
      <w:lvlText w:val="•"/>
      <w:lvlJc w:val="left"/>
      <w:pPr>
        <w:ind w:left="4551" w:hanging="212"/>
      </w:pPr>
      <w:rPr>
        <w:rFonts w:hint="default"/>
      </w:rPr>
    </w:lvl>
    <w:lvl w:ilvl="3">
      <w:start w:val="0"/>
      <w:numFmt w:val="bullet"/>
      <w:lvlText w:val="•"/>
      <w:lvlJc w:val="left"/>
      <w:pPr>
        <w:ind w:left="5142" w:hanging="212"/>
      </w:pPr>
      <w:rPr>
        <w:rFonts w:hint="default"/>
      </w:rPr>
    </w:lvl>
    <w:lvl w:ilvl="4">
      <w:start w:val="0"/>
      <w:numFmt w:val="bullet"/>
      <w:lvlText w:val="•"/>
      <w:lvlJc w:val="left"/>
      <w:pPr>
        <w:ind w:left="5733" w:hanging="212"/>
      </w:pPr>
      <w:rPr>
        <w:rFonts w:hint="default"/>
      </w:rPr>
    </w:lvl>
    <w:lvl w:ilvl="5">
      <w:start w:val="0"/>
      <w:numFmt w:val="bullet"/>
      <w:lvlText w:val="•"/>
      <w:lvlJc w:val="left"/>
      <w:pPr>
        <w:ind w:left="6324" w:hanging="212"/>
      </w:pPr>
      <w:rPr>
        <w:rFonts w:hint="default"/>
      </w:rPr>
    </w:lvl>
    <w:lvl w:ilvl="6">
      <w:start w:val="0"/>
      <w:numFmt w:val="bullet"/>
      <w:lvlText w:val="•"/>
      <w:lvlJc w:val="left"/>
      <w:pPr>
        <w:ind w:left="6915" w:hanging="212"/>
      </w:pPr>
      <w:rPr>
        <w:rFonts w:hint="default"/>
      </w:rPr>
    </w:lvl>
    <w:lvl w:ilvl="7">
      <w:start w:val="0"/>
      <w:numFmt w:val="bullet"/>
      <w:lvlText w:val="•"/>
      <w:lvlJc w:val="left"/>
      <w:pPr>
        <w:ind w:left="7506" w:hanging="212"/>
      </w:pPr>
      <w:rPr>
        <w:rFonts w:hint="default"/>
      </w:rPr>
    </w:lvl>
    <w:lvl w:ilvl="8">
      <w:start w:val="0"/>
      <w:numFmt w:val="bullet"/>
      <w:lvlText w:val="•"/>
      <w:lvlJc w:val="left"/>
      <w:pPr>
        <w:ind w:left="8097" w:hanging="212"/>
      </w:pPr>
      <w:rPr>
        <w:rFonts w:hint="default"/>
      </w:rPr>
    </w:lvl>
  </w:abstractNum>
  <w:abstractNum w:abstractNumId="52">
    <w:multiLevelType w:val="hybridMultilevel"/>
    <w:lvl w:ilvl="0">
      <w:start w:val="12"/>
      <w:numFmt w:val="decimal"/>
      <w:lvlText w:val="%1."/>
      <w:lvlJc w:val="left"/>
      <w:pPr>
        <w:ind w:left="462" w:hanging="43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329" w:hanging="430"/>
      </w:pPr>
      <w:rPr>
        <w:rFonts w:hint="default"/>
      </w:rPr>
    </w:lvl>
    <w:lvl w:ilvl="2">
      <w:start w:val="0"/>
      <w:numFmt w:val="bullet"/>
      <w:lvlText w:val="•"/>
      <w:lvlJc w:val="left"/>
      <w:pPr>
        <w:ind w:left="2199" w:hanging="430"/>
      </w:pPr>
      <w:rPr>
        <w:rFonts w:hint="default"/>
      </w:rPr>
    </w:lvl>
    <w:lvl w:ilvl="3">
      <w:start w:val="0"/>
      <w:numFmt w:val="bullet"/>
      <w:lvlText w:val="•"/>
      <w:lvlJc w:val="left"/>
      <w:pPr>
        <w:ind w:left="3069" w:hanging="430"/>
      </w:pPr>
      <w:rPr>
        <w:rFonts w:hint="default"/>
      </w:rPr>
    </w:lvl>
    <w:lvl w:ilvl="4">
      <w:start w:val="0"/>
      <w:numFmt w:val="bullet"/>
      <w:lvlText w:val="•"/>
      <w:lvlJc w:val="left"/>
      <w:pPr>
        <w:ind w:left="3939" w:hanging="430"/>
      </w:pPr>
      <w:rPr>
        <w:rFonts w:hint="default"/>
      </w:rPr>
    </w:lvl>
    <w:lvl w:ilvl="5">
      <w:start w:val="0"/>
      <w:numFmt w:val="bullet"/>
      <w:lvlText w:val="•"/>
      <w:lvlJc w:val="left"/>
      <w:pPr>
        <w:ind w:left="4809" w:hanging="430"/>
      </w:pPr>
      <w:rPr>
        <w:rFonts w:hint="default"/>
      </w:rPr>
    </w:lvl>
    <w:lvl w:ilvl="6">
      <w:start w:val="0"/>
      <w:numFmt w:val="bullet"/>
      <w:lvlText w:val="•"/>
      <w:lvlJc w:val="left"/>
      <w:pPr>
        <w:ind w:left="5679" w:hanging="430"/>
      </w:pPr>
      <w:rPr>
        <w:rFonts w:hint="default"/>
      </w:rPr>
    </w:lvl>
    <w:lvl w:ilvl="7">
      <w:start w:val="0"/>
      <w:numFmt w:val="bullet"/>
      <w:lvlText w:val="•"/>
      <w:lvlJc w:val="left"/>
      <w:pPr>
        <w:ind w:left="6549" w:hanging="430"/>
      </w:pPr>
      <w:rPr>
        <w:rFonts w:hint="default"/>
      </w:rPr>
    </w:lvl>
    <w:lvl w:ilvl="8">
      <w:start w:val="0"/>
      <w:numFmt w:val="bullet"/>
      <w:lvlText w:val="•"/>
      <w:lvlJc w:val="left"/>
      <w:pPr>
        <w:ind w:left="7419" w:hanging="430"/>
      </w:pPr>
      <w:rPr>
        <w:rFonts w:hint="default"/>
      </w:rPr>
    </w:lvl>
  </w:abstractNum>
  <w:abstractNum w:abstractNumId="51">
    <w:multiLevelType w:val="hybridMultilevel"/>
    <w:lvl w:ilvl="0">
      <w:start w:val="1"/>
      <w:numFmt w:val="decimal"/>
      <w:lvlText w:val="%1."/>
      <w:lvlJc w:val="left"/>
      <w:pPr>
        <w:ind w:left="462" w:hanging="36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329" w:hanging="360"/>
      </w:pPr>
      <w:rPr>
        <w:rFonts w:hint="default"/>
      </w:rPr>
    </w:lvl>
    <w:lvl w:ilvl="2">
      <w:start w:val="0"/>
      <w:numFmt w:val="bullet"/>
      <w:lvlText w:val="•"/>
      <w:lvlJc w:val="left"/>
      <w:pPr>
        <w:ind w:left="2199" w:hanging="360"/>
      </w:pPr>
      <w:rPr>
        <w:rFonts w:hint="default"/>
      </w:rPr>
    </w:lvl>
    <w:lvl w:ilvl="3">
      <w:start w:val="0"/>
      <w:numFmt w:val="bullet"/>
      <w:lvlText w:val="•"/>
      <w:lvlJc w:val="left"/>
      <w:pPr>
        <w:ind w:left="3069" w:hanging="360"/>
      </w:pPr>
      <w:rPr>
        <w:rFonts w:hint="default"/>
      </w:rPr>
    </w:lvl>
    <w:lvl w:ilvl="4">
      <w:start w:val="0"/>
      <w:numFmt w:val="bullet"/>
      <w:lvlText w:val="•"/>
      <w:lvlJc w:val="left"/>
      <w:pPr>
        <w:ind w:left="3939" w:hanging="360"/>
      </w:pPr>
      <w:rPr>
        <w:rFonts w:hint="default"/>
      </w:rPr>
    </w:lvl>
    <w:lvl w:ilvl="5">
      <w:start w:val="0"/>
      <w:numFmt w:val="bullet"/>
      <w:lvlText w:val="•"/>
      <w:lvlJc w:val="left"/>
      <w:pPr>
        <w:ind w:left="4809" w:hanging="360"/>
      </w:pPr>
      <w:rPr>
        <w:rFonts w:hint="default"/>
      </w:rPr>
    </w:lvl>
    <w:lvl w:ilvl="6">
      <w:start w:val="0"/>
      <w:numFmt w:val="bullet"/>
      <w:lvlText w:val="•"/>
      <w:lvlJc w:val="left"/>
      <w:pPr>
        <w:ind w:left="5679" w:hanging="360"/>
      </w:pPr>
      <w:rPr>
        <w:rFonts w:hint="default"/>
      </w:rPr>
    </w:lvl>
    <w:lvl w:ilvl="7">
      <w:start w:val="0"/>
      <w:numFmt w:val="bullet"/>
      <w:lvlText w:val="•"/>
      <w:lvlJc w:val="left"/>
      <w:pPr>
        <w:ind w:left="6549" w:hanging="360"/>
      </w:pPr>
      <w:rPr>
        <w:rFonts w:hint="default"/>
      </w:rPr>
    </w:lvl>
    <w:lvl w:ilvl="8">
      <w:start w:val="0"/>
      <w:numFmt w:val="bullet"/>
      <w:lvlText w:val="•"/>
      <w:lvlJc w:val="left"/>
      <w:pPr>
        <w:ind w:left="7419" w:hanging="360"/>
      </w:pPr>
      <w:rPr>
        <w:rFonts w:hint="default"/>
      </w:rPr>
    </w:lvl>
  </w:abstractNum>
  <w:abstractNum w:abstractNumId="49">
    <w:multiLevelType w:val="hybridMultilevel"/>
    <w:lvl w:ilvl="0">
      <w:start w:val="37"/>
      <w:numFmt w:val="decimal"/>
      <w:lvlText w:val="%1."/>
      <w:lvlJc w:val="left"/>
      <w:pPr>
        <w:ind w:left="102" w:hanging="866"/>
        <w:jc w:val="left"/>
      </w:pPr>
      <w:rPr>
        <w:rFonts w:hint="default" w:ascii="Times New Roman" w:hAnsi="Times New Roman" w:eastAsia="Times New Roman" w:cs="Times New Roman"/>
        <w:w w:val="100"/>
        <w:sz w:val="28"/>
        <w:szCs w:val="28"/>
      </w:rPr>
    </w:lvl>
    <w:lvl w:ilvl="1">
      <w:start w:val="1"/>
      <w:numFmt w:val="decimal"/>
      <w:lvlText w:val="%2"/>
      <w:lvlJc w:val="left"/>
      <w:pPr>
        <w:ind w:left="1081" w:hanging="212"/>
        <w:jc w:val="left"/>
      </w:pPr>
      <w:rPr>
        <w:rFonts w:hint="default" w:ascii="Times New Roman" w:hAnsi="Times New Roman" w:eastAsia="Times New Roman" w:cs="Times New Roman"/>
        <w:w w:val="100"/>
        <w:sz w:val="28"/>
        <w:szCs w:val="28"/>
      </w:rPr>
    </w:lvl>
    <w:lvl w:ilvl="2">
      <w:start w:val="0"/>
      <w:numFmt w:val="bullet"/>
      <w:lvlText w:val="•"/>
      <w:lvlJc w:val="left"/>
      <w:pPr>
        <w:ind w:left="1991" w:hanging="212"/>
      </w:pPr>
      <w:rPr>
        <w:rFonts w:hint="default"/>
      </w:rPr>
    </w:lvl>
    <w:lvl w:ilvl="3">
      <w:start w:val="0"/>
      <w:numFmt w:val="bullet"/>
      <w:lvlText w:val="•"/>
      <w:lvlJc w:val="left"/>
      <w:pPr>
        <w:ind w:left="2902" w:hanging="212"/>
      </w:pPr>
      <w:rPr>
        <w:rFonts w:hint="default"/>
      </w:rPr>
    </w:lvl>
    <w:lvl w:ilvl="4">
      <w:start w:val="0"/>
      <w:numFmt w:val="bullet"/>
      <w:lvlText w:val="•"/>
      <w:lvlJc w:val="left"/>
      <w:pPr>
        <w:ind w:left="3813" w:hanging="212"/>
      </w:pPr>
      <w:rPr>
        <w:rFonts w:hint="default"/>
      </w:rPr>
    </w:lvl>
    <w:lvl w:ilvl="5">
      <w:start w:val="0"/>
      <w:numFmt w:val="bullet"/>
      <w:lvlText w:val="•"/>
      <w:lvlJc w:val="left"/>
      <w:pPr>
        <w:ind w:left="4724" w:hanging="212"/>
      </w:pPr>
      <w:rPr>
        <w:rFonts w:hint="default"/>
      </w:rPr>
    </w:lvl>
    <w:lvl w:ilvl="6">
      <w:start w:val="0"/>
      <w:numFmt w:val="bullet"/>
      <w:lvlText w:val="•"/>
      <w:lvlJc w:val="left"/>
      <w:pPr>
        <w:ind w:left="5635" w:hanging="212"/>
      </w:pPr>
      <w:rPr>
        <w:rFonts w:hint="default"/>
      </w:rPr>
    </w:lvl>
    <w:lvl w:ilvl="7">
      <w:start w:val="0"/>
      <w:numFmt w:val="bullet"/>
      <w:lvlText w:val="•"/>
      <w:lvlJc w:val="left"/>
      <w:pPr>
        <w:ind w:left="6546" w:hanging="212"/>
      </w:pPr>
      <w:rPr>
        <w:rFonts w:hint="default"/>
      </w:rPr>
    </w:lvl>
    <w:lvl w:ilvl="8">
      <w:start w:val="0"/>
      <w:numFmt w:val="bullet"/>
      <w:lvlText w:val="•"/>
      <w:lvlJc w:val="left"/>
      <w:pPr>
        <w:ind w:left="7457" w:hanging="212"/>
      </w:pPr>
      <w:rPr>
        <w:rFonts w:hint="default"/>
      </w:rPr>
    </w:lvl>
  </w:abstractNum>
  <w:abstractNum w:abstractNumId="48">
    <w:multiLevelType w:val="hybridMultilevel"/>
    <w:lvl w:ilvl="0">
      <w:start w:val="1"/>
      <w:numFmt w:val="decimal"/>
      <w:lvlText w:val="%1"/>
      <w:lvlJc w:val="left"/>
      <w:pPr>
        <w:ind w:left="2622" w:hanging="284"/>
        <w:jc w:val="right"/>
      </w:pPr>
      <w:rPr>
        <w:rFonts w:hint="default" w:ascii="Times New Roman" w:hAnsi="Times New Roman" w:eastAsia="Times New Roman" w:cs="Times New Roman"/>
        <w:w w:val="100"/>
        <w:sz w:val="28"/>
        <w:szCs w:val="28"/>
      </w:rPr>
    </w:lvl>
    <w:lvl w:ilvl="1">
      <w:start w:val="0"/>
      <w:numFmt w:val="bullet"/>
      <w:lvlText w:val="•"/>
      <w:lvlJc w:val="left"/>
      <w:pPr>
        <w:ind w:left="3285" w:hanging="284"/>
      </w:pPr>
      <w:rPr>
        <w:rFonts w:hint="default"/>
      </w:rPr>
    </w:lvl>
    <w:lvl w:ilvl="2">
      <w:start w:val="0"/>
      <w:numFmt w:val="bullet"/>
      <w:lvlText w:val="•"/>
      <w:lvlJc w:val="left"/>
      <w:pPr>
        <w:ind w:left="3951" w:hanging="284"/>
      </w:pPr>
      <w:rPr>
        <w:rFonts w:hint="default"/>
      </w:rPr>
    </w:lvl>
    <w:lvl w:ilvl="3">
      <w:start w:val="0"/>
      <w:numFmt w:val="bullet"/>
      <w:lvlText w:val="•"/>
      <w:lvlJc w:val="left"/>
      <w:pPr>
        <w:ind w:left="4617" w:hanging="284"/>
      </w:pPr>
      <w:rPr>
        <w:rFonts w:hint="default"/>
      </w:rPr>
    </w:lvl>
    <w:lvl w:ilvl="4">
      <w:start w:val="0"/>
      <w:numFmt w:val="bullet"/>
      <w:lvlText w:val="•"/>
      <w:lvlJc w:val="left"/>
      <w:pPr>
        <w:ind w:left="5283" w:hanging="284"/>
      </w:pPr>
      <w:rPr>
        <w:rFonts w:hint="default"/>
      </w:rPr>
    </w:lvl>
    <w:lvl w:ilvl="5">
      <w:start w:val="0"/>
      <w:numFmt w:val="bullet"/>
      <w:lvlText w:val="•"/>
      <w:lvlJc w:val="left"/>
      <w:pPr>
        <w:ind w:left="5949" w:hanging="284"/>
      </w:pPr>
      <w:rPr>
        <w:rFonts w:hint="default"/>
      </w:rPr>
    </w:lvl>
    <w:lvl w:ilvl="6">
      <w:start w:val="0"/>
      <w:numFmt w:val="bullet"/>
      <w:lvlText w:val="•"/>
      <w:lvlJc w:val="left"/>
      <w:pPr>
        <w:ind w:left="6615" w:hanging="284"/>
      </w:pPr>
      <w:rPr>
        <w:rFonts w:hint="default"/>
      </w:rPr>
    </w:lvl>
    <w:lvl w:ilvl="7">
      <w:start w:val="0"/>
      <w:numFmt w:val="bullet"/>
      <w:lvlText w:val="•"/>
      <w:lvlJc w:val="left"/>
      <w:pPr>
        <w:ind w:left="7281" w:hanging="284"/>
      </w:pPr>
      <w:rPr>
        <w:rFonts w:hint="default"/>
      </w:rPr>
    </w:lvl>
    <w:lvl w:ilvl="8">
      <w:start w:val="0"/>
      <w:numFmt w:val="bullet"/>
      <w:lvlText w:val="•"/>
      <w:lvlJc w:val="left"/>
      <w:pPr>
        <w:ind w:left="7947" w:hanging="284"/>
      </w:pPr>
      <w:rPr>
        <w:rFonts w:hint="default"/>
      </w:rPr>
    </w:lvl>
  </w:abstractNum>
  <w:abstractNum w:abstractNumId="47">
    <w:multiLevelType w:val="hybridMultilevel"/>
    <w:lvl w:ilvl="0">
      <w:start w:val="1"/>
      <w:numFmt w:val="decimal"/>
      <w:lvlText w:val="%1"/>
      <w:lvlJc w:val="left"/>
      <w:pPr>
        <w:ind w:left="2903" w:hanging="281"/>
        <w:jc w:val="right"/>
      </w:pPr>
      <w:rPr>
        <w:rFonts w:hint="default" w:ascii="Times New Roman" w:hAnsi="Times New Roman" w:eastAsia="Times New Roman" w:cs="Times New Roman"/>
        <w:w w:val="100"/>
        <w:sz w:val="28"/>
        <w:szCs w:val="28"/>
      </w:rPr>
    </w:lvl>
    <w:lvl w:ilvl="1">
      <w:start w:val="0"/>
      <w:numFmt w:val="bullet"/>
      <w:lvlText w:val="•"/>
      <w:lvlJc w:val="left"/>
      <w:pPr>
        <w:ind w:left="3537" w:hanging="281"/>
      </w:pPr>
      <w:rPr>
        <w:rFonts w:hint="default"/>
      </w:rPr>
    </w:lvl>
    <w:lvl w:ilvl="2">
      <w:start w:val="0"/>
      <w:numFmt w:val="bullet"/>
      <w:lvlText w:val="•"/>
      <w:lvlJc w:val="left"/>
      <w:pPr>
        <w:ind w:left="4175" w:hanging="281"/>
      </w:pPr>
      <w:rPr>
        <w:rFonts w:hint="default"/>
      </w:rPr>
    </w:lvl>
    <w:lvl w:ilvl="3">
      <w:start w:val="0"/>
      <w:numFmt w:val="bullet"/>
      <w:lvlText w:val="•"/>
      <w:lvlJc w:val="left"/>
      <w:pPr>
        <w:ind w:left="4813" w:hanging="281"/>
      </w:pPr>
      <w:rPr>
        <w:rFonts w:hint="default"/>
      </w:rPr>
    </w:lvl>
    <w:lvl w:ilvl="4">
      <w:start w:val="0"/>
      <w:numFmt w:val="bullet"/>
      <w:lvlText w:val="•"/>
      <w:lvlJc w:val="left"/>
      <w:pPr>
        <w:ind w:left="5451" w:hanging="281"/>
      </w:pPr>
      <w:rPr>
        <w:rFonts w:hint="default"/>
      </w:rPr>
    </w:lvl>
    <w:lvl w:ilvl="5">
      <w:start w:val="0"/>
      <w:numFmt w:val="bullet"/>
      <w:lvlText w:val="•"/>
      <w:lvlJc w:val="left"/>
      <w:pPr>
        <w:ind w:left="6089" w:hanging="281"/>
      </w:pPr>
      <w:rPr>
        <w:rFonts w:hint="default"/>
      </w:rPr>
    </w:lvl>
    <w:lvl w:ilvl="6">
      <w:start w:val="0"/>
      <w:numFmt w:val="bullet"/>
      <w:lvlText w:val="•"/>
      <w:lvlJc w:val="left"/>
      <w:pPr>
        <w:ind w:left="6727" w:hanging="281"/>
      </w:pPr>
      <w:rPr>
        <w:rFonts w:hint="default"/>
      </w:rPr>
    </w:lvl>
    <w:lvl w:ilvl="7">
      <w:start w:val="0"/>
      <w:numFmt w:val="bullet"/>
      <w:lvlText w:val="•"/>
      <w:lvlJc w:val="left"/>
      <w:pPr>
        <w:ind w:left="7365" w:hanging="281"/>
      </w:pPr>
      <w:rPr>
        <w:rFonts w:hint="default"/>
      </w:rPr>
    </w:lvl>
    <w:lvl w:ilvl="8">
      <w:start w:val="0"/>
      <w:numFmt w:val="bullet"/>
      <w:lvlText w:val="•"/>
      <w:lvlJc w:val="left"/>
      <w:pPr>
        <w:ind w:left="8003" w:hanging="281"/>
      </w:pPr>
      <w:rPr>
        <w:rFonts w:hint="default"/>
      </w:rPr>
    </w:lvl>
  </w:abstractNum>
  <w:abstractNum w:abstractNumId="46">
    <w:multiLevelType w:val="hybridMultilevel"/>
    <w:lvl w:ilvl="0">
      <w:start w:val="1"/>
      <w:numFmt w:val="decimal"/>
      <w:lvlText w:val="%1"/>
      <w:lvlJc w:val="left"/>
      <w:pPr>
        <w:ind w:left="1779" w:hanging="212"/>
        <w:jc w:val="left"/>
      </w:pPr>
      <w:rPr>
        <w:rFonts w:hint="default" w:ascii="Times New Roman" w:hAnsi="Times New Roman" w:eastAsia="Times New Roman" w:cs="Times New Roman"/>
        <w:w w:val="100"/>
        <w:sz w:val="28"/>
        <w:szCs w:val="28"/>
      </w:rPr>
    </w:lvl>
    <w:lvl w:ilvl="1">
      <w:start w:val="0"/>
      <w:numFmt w:val="bullet"/>
      <w:lvlText w:val="•"/>
      <w:lvlJc w:val="left"/>
      <w:pPr>
        <w:ind w:left="6340" w:hanging="212"/>
      </w:pPr>
      <w:rPr>
        <w:rFonts w:hint="default"/>
      </w:rPr>
    </w:lvl>
    <w:lvl w:ilvl="2">
      <w:start w:val="0"/>
      <w:numFmt w:val="bullet"/>
      <w:lvlText w:val="•"/>
      <w:lvlJc w:val="left"/>
      <w:pPr>
        <w:ind w:left="6666" w:hanging="212"/>
      </w:pPr>
      <w:rPr>
        <w:rFonts w:hint="default"/>
      </w:rPr>
    </w:lvl>
    <w:lvl w:ilvl="3">
      <w:start w:val="0"/>
      <w:numFmt w:val="bullet"/>
      <w:lvlText w:val="•"/>
      <w:lvlJc w:val="left"/>
      <w:pPr>
        <w:ind w:left="6993" w:hanging="212"/>
      </w:pPr>
      <w:rPr>
        <w:rFonts w:hint="default"/>
      </w:rPr>
    </w:lvl>
    <w:lvl w:ilvl="4">
      <w:start w:val="0"/>
      <w:numFmt w:val="bullet"/>
      <w:lvlText w:val="•"/>
      <w:lvlJc w:val="left"/>
      <w:pPr>
        <w:ind w:left="7319" w:hanging="212"/>
      </w:pPr>
      <w:rPr>
        <w:rFonts w:hint="default"/>
      </w:rPr>
    </w:lvl>
    <w:lvl w:ilvl="5">
      <w:start w:val="0"/>
      <w:numFmt w:val="bullet"/>
      <w:lvlText w:val="•"/>
      <w:lvlJc w:val="left"/>
      <w:pPr>
        <w:ind w:left="7646" w:hanging="212"/>
      </w:pPr>
      <w:rPr>
        <w:rFonts w:hint="default"/>
      </w:rPr>
    </w:lvl>
    <w:lvl w:ilvl="6">
      <w:start w:val="0"/>
      <w:numFmt w:val="bullet"/>
      <w:lvlText w:val="•"/>
      <w:lvlJc w:val="left"/>
      <w:pPr>
        <w:ind w:left="7972" w:hanging="212"/>
      </w:pPr>
      <w:rPr>
        <w:rFonts w:hint="default"/>
      </w:rPr>
    </w:lvl>
    <w:lvl w:ilvl="7">
      <w:start w:val="0"/>
      <w:numFmt w:val="bullet"/>
      <w:lvlText w:val="•"/>
      <w:lvlJc w:val="left"/>
      <w:pPr>
        <w:ind w:left="8299" w:hanging="212"/>
      </w:pPr>
      <w:rPr>
        <w:rFonts w:hint="default"/>
      </w:rPr>
    </w:lvl>
    <w:lvl w:ilvl="8">
      <w:start w:val="0"/>
      <w:numFmt w:val="bullet"/>
      <w:lvlText w:val="•"/>
      <w:lvlJc w:val="left"/>
      <w:pPr>
        <w:ind w:left="8626" w:hanging="212"/>
      </w:pPr>
      <w:rPr>
        <w:rFonts w:hint="default"/>
      </w:rPr>
    </w:lvl>
  </w:abstractNum>
  <w:abstractNum w:abstractNumId="45">
    <w:multiLevelType w:val="hybridMultilevel"/>
    <w:lvl w:ilvl="0">
      <w:start w:val="1"/>
      <w:numFmt w:val="decimal"/>
      <w:lvlText w:val="%1"/>
      <w:lvlJc w:val="left"/>
      <w:pPr>
        <w:ind w:left="2622" w:hanging="212"/>
        <w:jc w:val="right"/>
      </w:pPr>
      <w:rPr>
        <w:rFonts w:hint="default" w:ascii="Times New Roman" w:hAnsi="Times New Roman" w:eastAsia="Times New Roman" w:cs="Times New Roman"/>
        <w:w w:val="100"/>
        <w:sz w:val="28"/>
        <w:szCs w:val="28"/>
      </w:rPr>
    </w:lvl>
    <w:lvl w:ilvl="1">
      <w:start w:val="0"/>
      <w:numFmt w:val="bullet"/>
      <w:lvlText w:val="•"/>
      <w:lvlJc w:val="left"/>
      <w:pPr>
        <w:ind w:left="3285" w:hanging="212"/>
      </w:pPr>
      <w:rPr>
        <w:rFonts w:hint="default"/>
      </w:rPr>
    </w:lvl>
    <w:lvl w:ilvl="2">
      <w:start w:val="0"/>
      <w:numFmt w:val="bullet"/>
      <w:lvlText w:val="•"/>
      <w:lvlJc w:val="left"/>
      <w:pPr>
        <w:ind w:left="3951" w:hanging="212"/>
      </w:pPr>
      <w:rPr>
        <w:rFonts w:hint="default"/>
      </w:rPr>
    </w:lvl>
    <w:lvl w:ilvl="3">
      <w:start w:val="0"/>
      <w:numFmt w:val="bullet"/>
      <w:lvlText w:val="•"/>
      <w:lvlJc w:val="left"/>
      <w:pPr>
        <w:ind w:left="4617" w:hanging="212"/>
      </w:pPr>
      <w:rPr>
        <w:rFonts w:hint="default"/>
      </w:rPr>
    </w:lvl>
    <w:lvl w:ilvl="4">
      <w:start w:val="0"/>
      <w:numFmt w:val="bullet"/>
      <w:lvlText w:val="•"/>
      <w:lvlJc w:val="left"/>
      <w:pPr>
        <w:ind w:left="5283" w:hanging="212"/>
      </w:pPr>
      <w:rPr>
        <w:rFonts w:hint="default"/>
      </w:rPr>
    </w:lvl>
    <w:lvl w:ilvl="5">
      <w:start w:val="0"/>
      <w:numFmt w:val="bullet"/>
      <w:lvlText w:val="•"/>
      <w:lvlJc w:val="left"/>
      <w:pPr>
        <w:ind w:left="5949" w:hanging="212"/>
      </w:pPr>
      <w:rPr>
        <w:rFonts w:hint="default"/>
      </w:rPr>
    </w:lvl>
    <w:lvl w:ilvl="6">
      <w:start w:val="0"/>
      <w:numFmt w:val="bullet"/>
      <w:lvlText w:val="•"/>
      <w:lvlJc w:val="left"/>
      <w:pPr>
        <w:ind w:left="6615" w:hanging="212"/>
      </w:pPr>
      <w:rPr>
        <w:rFonts w:hint="default"/>
      </w:rPr>
    </w:lvl>
    <w:lvl w:ilvl="7">
      <w:start w:val="0"/>
      <w:numFmt w:val="bullet"/>
      <w:lvlText w:val="•"/>
      <w:lvlJc w:val="left"/>
      <w:pPr>
        <w:ind w:left="7281" w:hanging="212"/>
      </w:pPr>
      <w:rPr>
        <w:rFonts w:hint="default"/>
      </w:rPr>
    </w:lvl>
    <w:lvl w:ilvl="8">
      <w:start w:val="0"/>
      <w:numFmt w:val="bullet"/>
      <w:lvlText w:val="•"/>
      <w:lvlJc w:val="left"/>
      <w:pPr>
        <w:ind w:left="7947" w:hanging="212"/>
      </w:pPr>
      <w:rPr>
        <w:rFonts w:hint="default"/>
      </w:rPr>
    </w:lvl>
  </w:abstractNum>
  <w:abstractNum w:abstractNumId="44">
    <w:multiLevelType w:val="hybridMultilevel"/>
    <w:lvl w:ilvl="0">
      <w:start w:val="1"/>
      <w:numFmt w:val="decimal"/>
      <w:lvlText w:val="%1"/>
      <w:lvlJc w:val="left"/>
      <w:pPr>
        <w:ind w:left="3390" w:hanging="212"/>
        <w:jc w:val="right"/>
      </w:pPr>
      <w:rPr>
        <w:rFonts w:hint="default" w:ascii="Times New Roman" w:hAnsi="Times New Roman" w:eastAsia="Times New Roman" w:cs="Times New Roman"/>
        <w:w w:val="100"/>
        <w:sz w:val="28"/>
        <w:szCs w:val="28"/>
      </w:rPr>
    </w:lvl>
    <w:lvl w:ilvl="1">
      <w:start w:val="0"/>
      <w:numFmt w:val="bullet"/>
      <w:lvlText w:val="•"/>
      <w:lvlJc w:val="left"/>
      <w:pPr>
        <w:ind w:left="3987" w:hanging="212"/>
      </w:pPr>
      <w:rPr>
        <w:rFonts w:hint="default"/>
      </w:rPr>
    </w:lvl>
    <w:lvl w:ilvl="2">
      <w:start w:val="0"/>
      <w:numFmt w:val="bullet"/>
      <w:lvlText w:val="•"/>
      <w:lvlJc w:val="left"/>
      <w:pPr>
        <w:ind w:left="4575" w:hanging="212"/>
      </w:pPr>
      <w:rPr>
        <w:rFonts w:hint="default"/>
      </w:rPr>
    </w:lvl>
    <w:lvl w:ilvl="3">
      <w:start w:val="0"/>
      <w:numFmt w:val="bullet"/>
      <w:lvlText w:val="•"/>
      <w:lvlJc w:val="left"/>
      <w:pPr>
        <w:ind w:left="5163" w:hanging="212"/>
      </w:pPr>
      <w:rPr>
        <w:rFonts w:hint="default"/>
      </w:rPr>
    </w:lvl>
    <w:lvl w:ilvl="4">
      <w:start w:val="0"/>
      <w:numFmt w:val="bullet"/>
      <w:lvlText w:val="•"/>
      <w:lvlJc w:val="left"/>
      <w:pPr>
        <w:ind w:left="5751" w:hanging="212"/>
      </w:pPr>
      <w:rPr>
        <w:rFonts w:hint="default"/>
      </w:rPr>
    </w:lvl>
    <w:lvl w:ilvl="5">
      <w:start w:val="0"/>
      <w:numFmt w:val="bullet"/>
      <w:lvlText w:val="•"/>
      <w:lvlJc w:val="left"/>
      <w:pPr>
        <w:ind w:left="6339" w:hanging="212"/>
      </w:pPr>
      <w:rPr>
        <w:rFonts w:hint="default"/>
      </w:rPr>
    </w:lvl>
    <w:lvl w:ilvl="6">
      <w:start w:val="0"/>
      <w:numFmt w:val="bullet"/>
      <w:lvlText w:val="•"/>
      <w:lvlJc w:val="left"/>
      <w:pPr>
        <w:ind w:left="6927" w:hanging="212"/>
      </w:pPr>
      <w:rPr>
        <w:rFonts w:hint="default"/>
      </w:rPr>
    </w:lvl>
    <w:lvl w:ilvl="7">
      <w:start w:val="0"/>
      <w:numFmt w:val="bullet"/>
      <w:lvlText w:val="•"/>
      <w:lvlJc w:val="left"/>
      <w:pPr>
        <w:ind w:left="7515" w:hanging="212"/>
      </w:pPr>
      <w:rPr>
        <w:rFonts w:hint="default"/>
      </w:rPr>
    </w:lvl>
    <w:lvl w:ilvl="8">
      <w:start w:val="0"/>
      <w:numFmt w:val="bullet"/>
      <w:lvlText w:val="•"/>
      <w:lvlJc w:val="left"/>
      <w:pPr>
        <w:ind w:left="8103" w:hanging="212"/>
      </w:pPr>
      <w:rPr>
        <w:rFonts w:hint="default"/>
      </w:rPr>
    </w:lvl>
  </w:abstractNum>
  <w:abstractNum w:abstractNumId="43">
    <w:multiLevelType w:val="hybridMultilevel"/>
    <w:lvl w:ilvl="0">
      <w:start w:val="1"/>
      <w:numFmt w:val="decimal"/>
      <w:lvlText w:val="%1"/>
      <w:lvlJc w:val="left"/>
      <w:pPr>
        <w:ind w:left="102" w:hanging="281"/>
        <w:jc w:val="right"/>
      </w:pPr>
      <w:rPr>
        <w:rFonts w:hint="default" w:ascii="Times New Roman" w:hAnsi="Times New Roman" w:eastAsia="Times New Roman" w:cs="Times New Roman"/>
        <w:w w:val="100"/>
        <w:sz w:val="28"/>
        <w:szCs w:val="28"/>
      </w:rPr>
    </w:lvl>
    <w:lvl w:ilvl="1">
      <w:start w:val="0"/>
      <w:numFmt w:val="bullet"/>
      <w:lvlText w:val="•"/>
      <w:lvlJc w:val="left"/>
      <w:pPr>
        <w:ind w:left="7520" w:hanging="281"/>
      </w:pPr>
      <w:rPr>
        <w:rFonts w:hint="default"/>
      </w:rPr>
    </w:lvl>
    <w:lvl w:ilvl="2">
      <w:start w:val="0"/>
      <w:numFmt w:val="bullet"/>
      <w:lvlText w:val="•"/>
      <w:lvlJc w:val="left"/>
      <w:pPr>
        <w:ind w:left="7715" w:hanging="281"/>
      </w:pPr>
      <w:rPr>
        <w:rFonts w:hint="default"/>
      </w:rPr>
    </w:lvl>
    <w:lvl w:ilvl="3">
      <w:start w:val="0"/>
      <w:numFmt w:val="bullet"/>
      <w:lvlText w:val="•"/>
      <w:lvlJc w:val="left"/>
      <w:pPr>
        <w:ind w:left="7910" w:hanging="281"/>
      </w:pPr>
      <w:rPr>
        <w:rFonts w:hint="default"/>
      </w:rPr>
    </w:lvl>
    <w:lvl w:ilvl="4">
      <w:start w:val="0"/>
      <w:numFmt w:val="bullet"/>
      <w:lvlText w:val="•"/>
      <w:lvlJc w:val="left"/>
      <w:pPr>
        <w:ind w:left="8106" w:hanging="281"/>
      </w:pPr>
      <w:rPr>
        <w:rFonts w:hint="default"/>
      </w:rPr>
    </w:lvl>
    <w:lvl w:ilvl="5">
      <w:start w:val="0"/>
      <w:numFmt w:val="bullet"/>
      <w:lvlText w:val="•"/>
      <w:lvlJc w:val="left"/>
      <w:pPr>
        <w:ind w:left="8301" w:hanging="281"/>
      </w:pPr>
      <w:rPr>
        <w:rFonts w:hint="default"/>
      </w:rPr>
    </w:lvl>
    <w:lvl w:ilvl="6">
      <w:start w:val="0"/>
      <w:numFmt w:val="bullet"/>
      <w:lvlText w:val="•"/>
      <w:lvlJc w:val="left"/>
      <w:pPr>
        <w:ind w:left="8497" w:hanging="281"/>
      </w:pPr>
      <w:rPr>
        <w:rFonts w:hint="default"/>
      </w:rPr>
    </w:lvl>
    <w:lvl w:ilvl="7">
      <w:start w:val="0"/>
      <w:numFmt w:val="bullet"/>
      <w:lvlText w:val="•"/>
      <w:lvlJc w:val="left"/>
      <w:pPr>
        <w:ind w:left="8692" w:hanging="281"/>
      </w:pPr>
      <w:rPr>
        <w:rFonts w:hint="default"/>
      </w:rPr>
    </w:lvl>
    <w:lvl w:ilvl="8">
      <w:start w:val="0"/>
      <w:numFmt w:val="bullet"/>
      <w:lvlText w:val="•"/>
      <w:lvlJc w:val="left"/>
      <w:pPr>
        <w:ind w:left="8888" w:hanging="281"/>
      </w:pPr>
      <w:rPr>
        <w:rFonts w:hint="default"/>
      </w:rPr>
    </w:lvl>
  </w:abstractNum>
  <w:abstractNum w:abstractNumId="41">
    <w:multiLevelType w:val="hybridMultilevel"/>
    <w:lvl w:ilvl="0">
      <w:start w:val="2"/>
      <w:numFmt w:val="decimal"/>
      <w:lvlText w:val="%1"/>
      <w:lvlJc w:val="left"/>
      <w:pPr>
        <w:ind w:left="2483" w:hanging="214"/>
        <w:jc w:val="left"/>
      </w:pPr>
      <w:rPr>
        <w:rFonts w:hint="default" w:ascii="Times New Roman" w:hAnsi="Times New Roman" w:eastAsia="Times New Roman" w:cs="Times New Roman"/>
        <w:w w:val="100"/>
        <w:sz w:val="28"/>
        <w:szCs w:val="28"/>
      </w:rPr>
    </w:lvl>
    <w:lvl w:ilvl="1">
      <w:start w:val="0"/>
      <w:numFmt w:val="bullet"/>
      <w:lvlText w:val="•"/>
      <w:lvlJc w:val="left"/>
      <w:pPr>
        <w:ind w:left="2700" w:hanging="214"/>
      </w:pPr>
      <w:rPr>
        <w:rFonts w:hint="default"/>
      </w:rPr>
    </w:lvl>
    <w:lvl w:ilvl="2">
      <w:start w:val="0"/>
      <w:numFmt w:val="bullet"/>
      <w:lvlText w:val="•"/>
      <w:lvlJc w:val="left"/>
      <w:pPr>
        <w:ind w:left="4020" w:hanging="214"/>
      </w:pPr>
      <w:rPr>
        <w:rFonts w:hint="default"/>
      </w:rPr>
    </w:lvl>
    <w:lvl w:ilvl="3">
      <w:start w:val="0"/>
      <w:numFmt w:val="bullet"/>
      <w:lvlText w:val="•"/>
      <w:lvlJc w:val="left"/>
      <w:pPr>
        <w:ind w:left="4300" w:hanging="214"/>
      </w:pPr>
      <w:rPr>
        <w:rFonts w:hint="default"/>
      </w:rPr>
    </w:lvl>
    <w:lvl w:ilvl="4">
      <w:start w:val="0"/>
      <w:numFmt w:val="bullet"/>
      <w:lvlText w:val="•"/>
      <w:lvlJc w:val="left"/>
      <w:pPr>
        <w:ind w:left="5140" w:hanging="214"/>
      </w:pPr>
      <w:rPr>
        <w:rFonts w:hint="default"/>
      </w:rPr>
    </w:lvl>
    <w:lvl w:ilvl="5">
      <w:start w:val="0"/>
      <w:numFmt w:val="bullet"/>
      <w:lvlText w:val="•"/>
      <w:lvlJc w:val="left"/>
      <w:pPr>
        <w:ind w:left="5829" w:hanging="214"/>
      </w:pPr>
      <w:rPr>
        <w:rFonts w:hint="default"/>
      </w:rPr>
    </w:lvl>
    <w:lvl w:ilvl="6">
      <w:start w:val="0"/>
      <w:numFmt w:val="bullet"/>
      <w:lvlText w:val="•"/>
      <w:lvlJc w:val="left"/>
      <w:pPr>
        <w:ind w:left="6519" w:hanging="214"/>
      </w:pPr>
      <w:rPr>
        <w:rFonts w:hint="default"/>
      </w:rPr>
    </w:lvl>
    <w:lvl w:ilvl="7">
      <w:start w:val="0"/>
      <w:numFmt w:val="bullet"/>
      <w:lvlText w:val="•"/>
      <w:lvlJc w:val="left"/>
      <w:pPr>
        <w:ind w:left="7209" w:hanging="214"/>
      </w:pPr>
      <w:rPr>
        <w:rFonts w:hint="default"/>
      </w:rPr>
    </w:lvl>
    <w:lvl w:ilvl="8">
      <w:start w:val="0"/>
      <w:numFmt w:val="bullet"/>
      <w:lvlText w:val="•"/>
      <w:lvlJc w:val="left"/>
      <w:pPr>
        <w:ind w:left="7899" w:hanging="214"/>
      </w:pPr>
      <w:rPr>
        <w:rFonts w:hint="default"/>
      </w:rPr>
    </w:lvl>
  </w:abstractNum>
  <w:abstractNum w:abstractNumId="40">
    <w:multiLevelType w:val="hybridMultilevel"/>
    <w:lvl w:ilvl="0">
      <w:start w:val="2"/>
      <w:numFmt w:val="decimal"/>
      <w:lvlText w:val="%1"/>
      <w:lvlJc w:val="left"/>
      <w:pPr>
        <w:ind w:left="3251" w:hanging="281"/>
        <w:jc w:val="left"/>
      </w:pPr>
      <w:rPr>
        <w:rFonts w:hint="default" w:ascii="Times New Roman" w:hAnsi="Times New Roman" w:eastAsia="Times New Roman" w:cs="Times New Roman"/>
        <w:w w:val="100"/>
        <w:sz w:val="28"/>
        <w:szCs w:val="28"/>
      </w:rPr>
    </w:lvl>
    <w:lvl w:ilvl="1">
      <w:start w:val="0"/>
      <w:numFmt w:val="bullet"/>
      <w:lvlText w:val="•"/>
      <w:lvlJc w:val="left"/>
      <w:pPr>
        <w:ind w:left="3820" w:hanging="281"/>
      </w:pPr>
      <w:rPr>
        <w:rFonts w:hint="default"/>
      </w:rPr>
    </w:lvl>
    <w:lvl w:ilvl="2">
      <w:start w:val="0"/>
      <w:numFmt w:val="bullet"/>
      <w:lvlText w:val="•"/>
      <w:lvlJc w:val="left"/>
      <w:pPr>
        <w:ind w:left="4426" w:hanging="281"/>
      </w:pPr>
      <w:rPr>
        <w:rFonts w:hint="default"/>
      </w:rPr>
    </w:lvl>
    <w:lvl w:ilvl="3">
      <w:start w:val="0"/>
      <w:numFmt w:val="bullet"/>
      <w:lvlText w:val="•"/>
      <w:lvlJc w:val="left"/>
      <w:pPr>
        <w:ind w:left="5033" w:hanging="281"/>
      </w:pPr>
      <w:rPr>
        <w:rFonts w:hint="default"/>
      </w:rPr>
    </w:lvl>
    <w:lvl w:ilvl="4">
      <w:start w:val="0"/>
      <w:numFmt w:val="bullet"/>
      <w:lvlText w:val="•"/>
      <w:lvlJc w:val="left"/>
      <w:pPr>
        <w:ind w:left="5639" w:hanging="281"/>
      </w:pPr>
      <w:rPr>
        <w:rFonts w:hint="default"/>
      </w:rPr>
    </w:lvl>
    <w:lvl w:ilvl="5">
      <w:start w:val="0"/>
      <w:numFmt w:val="bullet"/>
      <w:lvlText w:val="•"/>
      <w:lvlJc w:val="left"/>
      <w:pPr>
        <w:ind w:left="6246" w:hanging="281"/>
      </w:pPr>
      <w:rPr>
        <w:rFonts w:hint="default"/>
      </w:rPr>
    </w:lvl>
    <w:lvl w:ilvl="6">
      <w:start w:val="0"/>
      <w:numFmt w:val="bullet"/>
      <w:lvlText w:val="•"/>
      <w:lvlJc w:val="left"/>
      <w:pPr>
        <w:ind w:left="6852" w:hanging="281"/>
      </w:pPr>
      <w:rPr>
        <w:rFonts w:hint="default"/>
      </w:rPr>
    </w:lvl>
    <w:lvl w:ilvl="7">
      <w:start w:val="0"/>
      <w:numFmt w:val="bullet"/>
      <w:lvlText w:val="•"/>
      <w:lvlJc w:val="left"/>
      <w:pPr>
        <w:ind w:left="7459" w:hanging="281"/>
      </w:pPr>
      <w:rPr>
        <w:rFonts w:hint="default"/>
      </w:rPr>
    </w:lvl>
    <w:lvl w:ilvl="8">
      <w:start w:val="0"/>
      <w:numFmt w:val="bullet"/>
      <w:lvlText w:val="•"/>
      <w:lvlJc w:val="left"/>
      <w:pPr>
        <w:ind w:left="8066" w:hanging="281"/>
      </w:pPr>
      <w:rPr>
        <w:rFonts w:hint="default"/>
      </w:rPr>
    </w:lvl>
  </w:abstractNum>
  <w:abstractNum w:abstractNumId="38">
    <w:multiLevelType w:val="hybridMultilevel"/>
    <w:lvl w:ilvl="0">
      <w:start w:val="1"/>
      <w:numFmt w:val="decimal"/>
      <w:lvlText w:val="%1."/>
      <w:lvlJc w:val="left"/>
      <w:pPr>
        <w:ind w:left="102" w:hanging="281"/>
        <w:jc w:val="left"/>
      </w:pPr>
      <w:rPr>
        <w:rFonts w:hint="default" w:ascii="Times New Roman" w:hAnsi="Times New Roman" w:eastAsia="Times New Roman" w:cs="Times New Roman"/>
        <w:w w:val="100"/>
        <w:sz w:val="28"/>
        <w:szCs w:val="28"/>
      </w:rPr>
    </w:lvl>
    <w:lvl w:ilvl="1">
      <w:start w:val="1"/>
      <w:numFmt w:val="decimal"/>
      <w:lvlText w:val="%2"/>
      <w:lvlJc w:val="left"/>
      <w:pPr>
        <w:ind w:left="1220" w:hanging="212"/>
        <w:jc w:val="left"/>
      </w:pPr>
      <w:rPr>
        <w:rFonts w:hint="default" w:ascii="Times New Roman" w:hAnsi="Times New Roman" w:eastAsia="Times New Roman" w:cs="Times New Roman"/>
        <w:w w:val="100"/>
        <w:sz w:val="28"/>
        <w:szCs w:val="28"/>
      </w:rPr>
    </w:lvl>
    <w:lvl w:ilvl="2">
      <w:start w:val="0"/>
      <w:numFmt w:val="bullet"/>
      <w:lvlText w:val="•"/>
      <w:lvlJc w:val="left"/>
      <w:pPr>
        <w:ind w:left="2042" w:hanging="212"/>
      </w:pPr>
      <w:rPr>
        <w:rFonts w:hint="default"/>
      </w:rPr>
    </w:lvl>
    <w:lvl w:ilvl="3">
      <w:start w:val="0"/>
      <w:numFmt w:val="bullet"/>
      <w:lvlText w:val="•"/>
      <w:lvlJc w:val="left"/>
      <w:pPr>
        <w:ind w:left="2864" w:hanging="212"/>
      </w:pPr>
      <w:rPr>
        <w:rFonts w:hint="default"/>
      </w:rPr>
    </w:lvl>
    <w:lvl w:ilvl="4">
      <w:start w:val="0"/>
      <w:numFmt w:val="bullet"/>
      <w:lvlText w:val="•"/>
      <w:lvlJc w:val="left"/>
      <w:pPr>
        <w:ind w:left="3686" w:hanging="212"/>
      </w:pPr>
      <w:rPr>
        <w:rFonts w:hint="default"/>
      </w:rPr>
    </w:lvl>
    <w:lvl w:ilvl="5">
      <w:start w:val="0"/>
      <w:numFmt w:val="bullet"/>
      <w:lvlText w:val="•"/>
      <w:lvlJc w:val="left"/>
      <w:pPr>
        <w:ind w:left="4508" w:hanging="212"/>
      </w:pPr>
      <w:rPr>
        <w:rFonts w:hint="default"/>
      </w:rPr>
    </w:lvl>
    <w:lvl w:ilvl="6">
      <w:start w:val="0"/>
      <w:numFmt w:val="bullet"/>
      <w:lvlText w:val="•"/>
      <w:lvlJc w:val="left"/>
      <w:pPr>
        <w:ind w:left="5330" w:hanging="212"/>
      </w:pPr>
      <w:rPr>
        <w:rFonts w:hint="default"/>
      </w:rPr>
    </w:lvl>
    <w:lvl w:ilvl="7">
      <w:start w:val="0"/>
      <w:numFmt w:val="bullet"/>
      <w:lvlText w:val="•"/>
      <w:lvlJc w:val="left"/>
      <w:pPr>
        <w:ind w:left="6152" w:hanging="212"/>
      </w:pPr>
      <w:rPr>
        <w:rFonts w:hint="default"/>
      </w:rPr>
    </w:lvl>
    <w:lvl w:ilvl="8">
      <w:start w:val="0"/>
      <w:numFmt w:val="bullet"/>
      <w:lvlText w:val="•"/>
      <w:lvlJc w:val="left"/>
      <w:pPr>
        <w:ind w:left="6974" w:hanging="212"/>
      </w:pPr>
      <w:rPr>
        <w:rFonts w:hint="default"/>
      </w:rPr>
    </w:lvl>
  </w:abstractNum>
  <w:abstractNum w:abstractNumId="37">
    <w:multiLevelType w:val="hybridMultilevel"/>
    <w:lvl w:ilvl="0">
      <w:start w:val="36"/>
      <w:numFmt w:val="decimal"/>
      <w:lvlText w:val="%1."/>
      <w:lvlJc w:val="left"/>
      <w:pPr>
        <w:ind w:left="102" w:hanging="43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019" w:hanging="430"/>
      </w:pPr>
      <w:rPr>
        <w:rFonts w:hint="default"/>
      </w:rPr>
    </w:lvl>
    <w:lvl w:ilvl="2">
      <w:start w:val="0"/>
      <w:numFmt w:val="bullet"/>
      <w:lvlText w:val="•"/>
      <w:lvlJc w:val="left"/>
      <w:pPr>
        <w:ind w:left="1939" w:hanging="430"/>
      </w:pPr>
      <w:rPr>
        <w:rFonts w:hint="default"/>
      </w:rPr>
    </w:lvl>
    <w:lvl w:ilvl="3">
      <w:start w:val="0"/>
      <w:numFmt w:val="bullet"/>
      <w:lvlText w:val="•"/>
      <w:lvlJc w:val="left"/>
      <w:pPr>
        <w:ind w:left="2859" w:hanging="430"/>
      </w:pPr>
      <w:rPr>
        <w:rFonts w:hint="default"/>
      </w:rPr>
    </w:lvl>
    <w:lvl w:ilvl="4">
      <w:start w:val="0"/>
      <w:numFmt w:val="bullet"/>
      <w:lvlText w:val="•"/>
      <w:lvlJc w:val="left"/>
      <w:pPr>
        <w:ind w:left="3779" w:hanging="430"/>
      </w:pPr>
      <w:rPr>
        <w:rFonts w:hint="default"/>
      </w:rPr>
    </w:lvl>
    <w:lvl w:ilvl="5">
      <w:start w:val="0"/>
      <w:numFmt w:val="bullet"/>
      <w:lvlText w:val="•"/>
      <w:lvlJc w:val="left"/>
      <w:pPr>
        <w:ind w:left="4699" w:hanging="430"/>
      </w:pPr>
      <w:rPr>
        <w:rFonts w:hint="default"/>
      </w:rPr>
    </w:lvl>
    <w:lvl w:ilvl="6">
      <w:start w:val="0"/>
      <w:numFmt w:val="bullet"/>
      <w:lvlText w:val="•"/>
      <w:lvlJc w:val="left"/>
      <w:pPr>
        <w:ind w:left="5619" w:hanging="430"/>
      </w:pPr>
      <w:rPr>
        <w:rFonts w:hint="default"/>
      </w:rPr>
    </w:lvl>
    <w:lvl w:ilvl="7">
      <w:start w:val="0"/>
      <w:numFmt w:val="bullet"/>
      <w:lvlText w:val="•"/>
      <w:lvlJc w:val="left"/>
      <w:pPr>
        <w:ind w:left="6539" w:hanging="430"/>
      </w:pPr>
      <w:rPr>
        <w:rFonts w:hint="default"/>
      </w:rPr>
    </w:lvl>
    <w:lvl w:ilvl="8">
      <w:start w:val="0"/>
      <w:numFmt w:val="bullet"/>
      <w:lvlText w:val="•"/>
      <w:lvlJc w:val="left"/>
      <w:pPr>
        <w:ind w:left="7459" w:hanging="430"/>
      </w:pPr>
      <w:rPr>
        <w:rFonts w:hint="default"/>
      </w:rPr>
    </w:lvl>
  </w:abstractNum>
  <w:abstractNum w:abstractNumId="36">
    <w:multiLevelType w:val="hybridMultilevel"/>
    <w:lvl w:ilvl="0">
      <w:start w:val="36"/>
      <w:numFmt w:val="decimal"/>
      <w:lvlText w:val="%1."/>
      <w:lvlJc w:val="left"/>
      <w:pPr>
        <w:ind w:left="593" w:hanging="422"/>
        <w:jc w:val="left"/>
      </w:pPr>
      <w:rPr>
        <w:rFonts w:hint="default" w:ascii="Times New Roman" w:hAnsi="Times New Roman" w:eastAsia="Times New Roman" w:cs="Times New Roman"/>
        <w:w w:val="100"/>
        <w:sz w:val="28"/>
        <w:szCs w:val="28"/>
      </w:rPr>
    </w:lvl>
    <w:lvl w:ilvl="1">
      <w:start w:val="1"/>
      <w:numFmt w:val="decimal"/>
      <w:lvlText w:val="%2"/>
      <w:lvlJc w:val="left"/>
      <w:pPr>
        <w:ind w:left="3952" w:hanging="212"/>
        <w:jc w:val="right"/>
      </w:pPr>
      <w:rPr>
        <w:rFonts w:hint="default" w:ascii="Times New Roman" w:hAnsi="Times New Roman" w:eastAsia="Times New Roman" w:cs="Times New Roman"/>
        <w:w w:val="100"/>
        <w:sz w:val="28"/>
        <w:szCs w:val="28"/>
      </w:rPr>
    </w:lvl>
    <w:lvl w:ilvl="2">
      <w:start w:val="0"/>
      <w:numFmt w:val="bullet"/>
      <w:lvlText w:val="•"/>
      <w:lvlJc w:val="left"/>
      <w:pPr>
        <w:ind w:left="4553" w:hanging="212"/>
      </w:pPr>
      <w:rPr>
        <w:rFonts w:hint="default"/>
      </w:rPr>
    </w:lvl>
    <w:lvl w:ilvl="3">
      <w:start w:val="0"/>
      <w:numFmt w:val="bullet"/>
      <w:lvlText w:val="•"/>
      <w:lvlJc w:val="left"/>
      <w:pPr>
        <w:ind w:left="5146" w:hanging="212"/>
      </w:pPr>
      <w:rPr>
        <w:rFonts w:hint="default"/>
      </w:rPr>
    </w:lvl>
    <w:lvl w:ilvl="4">
      <w:start w:val="0"/>
      <w:numFmt w:val="bullet"/>
      <w:lvlText w:val="•"/>
      <w:lvlJc w:val="left"/>
      <w:pPr>
        <w:ind w:left="5739" w:hanging="212"/>
      </w:pPr>
      <w:rPr>
        <w:rFonts w:hint="default"/>
      </w:rPr>
    </w:lvl>
    <w:lvl w:ilvl="5">
      <w:start w:val="0"/>
      <w:numFmt w:val="bullet"/>
      <w:lvlText w:val="•"/>
      <w:lvlJc w:val="left"/>
      <w:pPr>
        <w:ind w:left="6332" w:hanging="212"/>
      </w:pPr>
      <w:rPr>
        <w:rFonts w:hint="default"/>
      </w:rPr>
    </w:lvl>
    <w:lvl w:ilvl="6">
      <w:start w:val="0"/>
      <w:numFmt w:val="bullet"/>
      <w:lvlText w:val="•"/>
      <w:lvlJc w:val="left"/>
      <w:pPr>
        <w:ind w:left="6926" w:hanging="212"/>
      </w:pPr>
      <w:rPr>
        <w:rFonts w:hint="default"/>
      </w:rPr>
    </w:lvl>
    <w:lvl w:ilvl="7">
      <w:start w:val="0"/>
      <w:numFmt w:val="bullet"/>
      <w:lvlText w:val="•"/>
      <w:lvlJc w:val="left"/>
      <w:pPr>
        <w:ind w:left="7519" w:hanging="212"/>
      </w:pPr>
      <w:rPr>
        <w:rFonts w:hint="default"/>
      </w:rPr>
    </w:lvl>
    <w:lvl w:ilvl="8">
      <w:start w:val="0"/>
      <w:numFmt w:val="bullet"/>
      <w:lvlText w:val="•"/>
      <w:lvlJc w:val="left"/>
      <w:pPr>
        <w:ind w:left="8112" w:hanging="212"/>
      </w:pPr>
      <w:rPr>
        <w:rFonts w:hint="default"/>
      </w:rPr>
    </w:lvl>
  </w:abstractNum>
  <w:abstractNum w:abstractNumId="35">
    <w:multiLevelType w:val="hybridMultilevel"/>
    <w:lvl w:ilvl="0">
      <w:start w:val="19"/>
      <w:numFmt w:val="decimal"/>
      <w:lvlText w:val="%1."/>
      <w:lvlJc w:val="left"/>
      <w:pPr>
        <w:ind w:left="462" w:hanging="43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343" w:hanging="430"/>
      </w:pPr>
      <w:rPr>
        <w:rFonts w:hint="default"/>
      </w:rPr>
    </w:lvl>
    <w:lvl w:ilvl="2">
      <w:start w:val="0"/>
      <w:numFmt w:val="bullet"/>
      <w:lvlText w:val="•"/>
      <w:lvlJc w:val="left"/>
      <w:pPr>
        <w:ind w:left="2227" w:hanging="430"/>
      </w:pPr>
      <w:rPr>
        <w:rFonts w:hint="default"/>
      </w:rPr>
    </w:lvl>
    <w:lvl w:ilvl="3">
      <w:start w:val="0"/>
      <w:numFmt w:val="bullet"/>
      <w:lvlText w:val="•"/>
      <w:lvlJc w:val="left"/>
      <w:pPr>
        <w:ind w:left="3111" w:hanging="430"/>
      </w:pPr>
      <w:rPr>
        <w:rFonts w:hint="default"/>
      </w:rPr>
    </w:lvl>
    <w:lvl w:ilvl="4">
      <w:start w:val="0"/>
      <w:numFmt w:val="bullet"/>
      <w:lvlText w:val="•"/>
      <w:lvlJc w:val="left"/>
      <w:pPr>
        <w:ind w:left="3995" w:hanging="430"/>
      </w:pPr>
      <w:rPr>
        <w:rFonts w:hint="default"/>
      </w:rPr>
    </w:lvl>
    <w:lvl w:ilvl="5">
      <w:start w:val="0"/>
      <w:numFmt w:val="bullet"/>
      <w:lvlText w:val="•"/>
      <w:lvlJc w:val="left"/>
      <w:pPr>
        <w:ind w:left="4879" w:hanging="430"/>
      </w:pPr>
      <w:rPr>
        <w:rFonts w:hint="default"/>
      </w:rPr>
    </w:lvl>
    <w:lvl w:ilvl="6">
      <w:start w:val="0"/>
      <w:numFmt w:val="bullet"/>
      <w:lvlText w:val="•"/>
      <w:lvlJc w:val="left"/>
      <w:pPr>
        <w:ind w:left="5763" w:hanging="430"/>
      </w:pPr>
      <w:rPr>
        <w:rFonts w:hint="default"/>
      </w:rPr>
    </w:lvl>
    <w:lvl w:ilvl="7">
      <w:start w:val="0"/>
      <w:numFmt w:val="bullet"/>
      <w:lvlText w:val="•"/>
      <w:lvlJc w:val="left"/>
      <w:pPr>
        <w:ind w:left="6647" w:hanging="430"/>
      </w:pPr>
      <w:rPr>
        <w:rFonts w:hint="default"/>
      </w:rPr>
    </w:lvl>
    <w:lvl w:ilvl="8">
      <w:start w:val="0"/>
      <w:numFmt w:val="bullet"/>
      <w:lvlText w:val="•"/>
      <w:lvlJc w:val="left"/>
      <w:pPr>
        <w:ind w:left="7531" w:hanging="430"/>
      </w:pPr>
      <w:rPr>
        <w:rFonts w:hint="default"/>
      </w:rPr>
    </w:lvl>
  </w:abstractNum>
  <w:abstractNum w:abstractNumId="34">
    <w:multiLevelType w:val="hybridMultilevel"/>
    <w:lvl w:ilvl="0">
      <w:start w:val="5"/>
      <w:numFmt w:val="decimal"/>
      <w:lvlText w:val="%1."/>
      <w:lvlJc w:val="left"/>
      <w:pPr>
        <w:ind w:left="462" w:hanging="36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343" w:hanging="360"/>
      </w:pPr>
      <w:rPr>
        <w:rFonts w:hint="default"/>
      </w:rPr>
    </w:lvl>
    <w:lvl w:ilvl="2">
      <w:start w:val="0"/>
      <w:numFmt w:val="bullet"/>
      <w:lvlText w:val="•"/>
      <w:lvlJc w:val="left"/>
      <w:pPr>
        <w:ind w:left="2227" w:hanging="360"/>
      </w:pPr>
      <w:rPr>
        <w:rFonts w:hint="default"/>
      </w:rPr>
    </w:lvl>
    <w:lvl w:ilvl="3">
      <w:start w:val="0"/>
      <w:numFmt w:val="bullet"/>
      <w:lvlText w:val="•"/>
      <w:lvlJc w:val="left"/>
      <w:pPr>
        <w:ind w:left="3111" w:hanging="360"/>
      </w:pPr>
      <w:rPr>
        <w:rFonts w:hint="default"/>
      </w:rPr>
    </w:lvl>
    <w:lvl w:ilvl="4">
      <w:start w:val="0"/>
      <w:numFmt w:val="bullet"/>
      <w:lvlText w:val="•"/>
      <w:lvlJc w:val="left"/>
      <w:pPr>
        <w:ind w:left="3995" w:hanging="360"/>
      </w:pPr>
      <w:rPr>
        <w:rFonts w:hint="default"/>
      </w:rPr>
    </w:lvl>
    <w:lvl w:ilvl="5">
      <w:start w:val="0"/>
      <w:numFmt w:val="bullet"/>
      <w:lvlText w:val="•"/>
      <w:lvlJc w:val="left"/>
      <w:pPr>
        <w:ind w:left="4879" w:hanging="360"/>
      </w:pPr>
      <w:rPr>
        <w:rFonts w:hint="default"/>
      </w:rPr>
    </w:lvl>
    <w:lvl w:ilvl="6">
      <w:start w:val="0"/>
      <w:numFmt w:val="bullet"/>
      <w:lvlText w:val="•"/>
      <w:lvlJc w:val="left"/>
      <w:pPr>
        <w:ind w:left="5763" w:hanging="360"/>
      </w:pPr>
      <w:rPr>
        <w:rFonts w:hint="default"/>
      </w:rPr>
    </w:lvl>
    <w:lvl w:ilvl="7">
      <w:start w:val="0"/>
      <w:numFmt w:val="bullet"/>
      <w:lvlText w:val="•"/>
      <w:lvlJc w:val="left"/>
      <w:pPr>
        <w:ind w:left="6647" w:hanging="360"/>
      </w:pPr>
      <w:rPr>
        <w:rFonts w:hint="default"/>
      </w:rPr>
    </w:lvl>
    <w:lvl w:ilvl="8">
      <w:start w:val="0"/>
      <w:numFmt w:val="bullet"/>
      <w:lvlText w:val="•"/>
      <w:lvlJc w:val="left"/>
      <w:pPr>
        <w:ind w:left="7531" w:hanging="360"/>
      </w:pPr>
      <w:rPr>
        <w:rFonts w:hint="default"/>
      </w:rPr>
    </w:lvl>
  </w:abstractNum>
  <w:abstractNum w:abstractNumId="33">
    <w:multiLevelType w:val="hybridMultilevel"/>
    <w:lvl w:ilvl="0">
      <w:start w:val="1"/>
      <w:numFmt w:val="decimal"/>
      <w:lvlText w:val="%1."/>
      <w:lvlJc w:val="left"/>
      <w:pPr>
        <w:ind w:left="462" w:hanging="36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343" w:hanging="360"/>
      </w:pPr>
      <w:rPr>
        <w:rFonts w:hint="default"/>
      </w:rPr>
    </w:lvl>
    <w:lvl w:ilvl="2">
      <w:start w:val="0"/>
      <w:numFmt w:val="bullet"/>
      <w:lvlText w:val="•"/>
      <w:lvlJc w:val="left"/>
      <w:pPr>
        <w:ind w:left="2227" w:hanging="360"/>
      </w:pPr>
      <w:rPr>
        <w:rFonts w:hint="default"/>
      </w:rPr>
    </w:lvl>
    <w:lvl w:ilvl="3">
      <w:start w:val="0"/>
      <w:numFmt w:val="bullet"/>
      <w:lvlText w:val="•"/>
      <w:lvlJc w:val="left"/>
      <w:pPr>
        <w:ind w:left="3111" w:hanging="360"/>
      </w:pPr>
      <w:rPr>
        <w:rFonts w:hint="default"/>
      </w:rPr>
    </w:lvl>
    <w:lvl w:ilvl="4">
      <w:start w:val="0"/>
      <w:numFmt w:val="bullet"/>
      <w:lvlText w:val="•"/>
      <w:lvlJc w:val="left"/>
      <w:pPr>
        <w:ind w:left="3995" w:hanging="360"/>
      </w:pPr>
      <w:rPr>
        <w:rFonts w:hint="default"/>
      </w:rPr>
    </w:lvl>
    <w:lvl w:ilvl="5">
      <w:start w:val="0"/>
      <w:numFmt w:val="bullet"/>
      <w:lvlText w:val="•"/>
      <w:lvlJc w:val="left"/>
      <w:pPr>
        <w:ind w:left="4879" w:hanging="360"/>
      </w:pPr>
      <w:rPr>
        <w:rFonts w:hint="default"/>
      </w:rPr>
    </w:lvl>
    <w:lvl w:ilvl="6">
      <w:start w:val="0"/>
      <w:numFmt w:val="bullet"/>
      <w:lvlText w:val="•"/>
      <w:lvlJc w:val="left"/>
      <w:pPr>
        <w:ind w:left="5763" w:hanging="360"/>
      </w:pPr>
      <w:rPr>
        <w:rFonts w:hint="default"/>
      </w:rPr>
    </w:lvl>
    <w:lvl w:ilvl="7">
      <w:start w:val="0"/>
      <w:numFmt w:val="bullet"/>
      <w:lvlText w:val="•"/>
      <w:lvlJc w:val="left"/>
      <w:pPr>
        <w:ind w:left="6647" w:hanging="360"/>
      </w:pPr>
      <w:rPr>
        <w:rFonts w:hint="default"/>
      </w:rPr>
    </w:lvl>
    <w:lvl w:ilvl="8">
      <w:start w:val="0"/>
      <w:numFmt w:val="bullet"/>
      <w:lvlText w:val="•"/>
      <w:lvlJc w:val="left"/>
      <w:pPr>
        <w:ind w:left="7531" w:hanging="360"/>
      </w:pPr>
      <w:rPr>
        <w:rFonts w:hint="default"/>
      </w:rPr>
    </w:lvl>
  </w:abstractNum>
  <w:abstractNum w:abstractNumId="32">
    <w:multiLevelType w:val="hybridMultilevel"/>
    <w:lvl w:ilvl="0">
      <w:start w:val="1"/>
      <w:numFmt w:val="decimal"/>
      <w:lvlText w:val="%1."/>
      <w:lvlJc w:val="left"/>
      <w:pPr>
        <w:ind w:left="462" w:hanging="360"/>
        <w:jc w:val="left"/>
      </w:pPr>
      <w:rPr>
        <w:rFonts w:hint="default"/>
        <w:spacing w:val="0"/>
        <w:w w:val="100"/>
      </w:rPr>
    </w:lvl>
    <w:lvl w:ilvl="1">
      <w:start w:val="1"/>
      <w:numFmt w:val="decimal"/>
      <w:lvlText w:val="%2."/>
      <w:lvlJc w:val="left"/>
      <w:pPr>
        <w:ind w:left="665" w:hanging="360"/>
        <w:jc w:val="left"/>
      </w:pPr>
      <w:rPr>
        <w:rFonts w:hint="default" w:ascii="Times New Roman" w:hAnsi="Times New Roman" w:eastAsia="Times New Roman" w:cs="Times New Roman"/>
        <w:spacing w:val="0"/>
        <w:w w:val="100"/>
        <w:sz w:val="28"/>
        <w:szCs w:val="28"/>
      </w:rPr>
    </w:lvl>
    <w:lvl w:ilvl="2">
      <w:start w:val="0"/>
      <w:numFmt w:val="bullet"/>
      <w:lvlText w:val="•"/>
      <w:lvlJc w:val="left"/>
      <w:pPr>
        <w:ind w:left="1608" w:hanging="360"/>
      </w:pPr>
      <w:rPr>
        <w:rFonts w:hint="default"/>
      </w:rPr>
    </w:lvl>
    <w:lvl w:ilvl="3">
      <w:start w:val="0"/>
      <w:numFmt w:val="bullet"/>
      <w:lvlText w:val="•"/>
      <w:lvlJc w:val="left"/>
      <w:pPr>
        <w:ind w:left="2557" w:hanging="360"/>
      </w:pPr>
      <w:rPr>
        <w:rFonts w:hint="default"/>
      </w:rPr>
    </w:lvl>
    <w:lvl w:ilvl="4">
      <w:start w:val="0"/>
      <w:numFmt w:val="bullet"/>
      <w:lvlText w:val="•"/>
      <w:lvlJc w:val="left"/>
      <w:pPr>
        <w:ind w:left="3506" w:hanging="360"/>
      </w:pPr>
      <w:rPr>
        <w:rFonts w:hint="default"/>
      </w:rPr>
    </w:lvl>
    <w:lvl w:ilvl="5">
      <w:start w:val="0"/>
      <w:numFmt w:val="bullet"/>
      <w:lvlText w:val="•"/>
      <w:lvlJc w:val="left"/>
      <w:pPr>
        <w:ind w:left="4455" w:hanging="360"/>
      </w:pPr>
      <w:rPr>
        <w:rFonts w:hint="default"/>
      </w:rPr>
    </w:lvl>
    <w:lvl w:ilvl="6">
      <w:start w:val="0"/>
      <w:numFmt w:val="bullet"/>
      <w:lvlText w:val="•"/>
      <w:lvlJc w:val="left"/>
      <w:pPr>
        <w:ind w:left="5404" w:hanging="360"/>
      </w:pPr>
      <w:rPr>
        <w:rFonts w:hint="default"/>
      </w:rPr>
    </w:lvl>
    <w:lvl w:ilvl="7">
      <w:start w:val="0"/>
      <w:numFmt w:val="bullet"/>
      <w:lvlText w:val="•"/>
      <w:lvlJc w:val="left"/>
      <w:pPr>
        <w:ind w:left="6352" w:hanging="360"/>
      </w:pPr>
      <w:rPr>
        <w:rFonts w:hint="default"/>
      </w:rPr>
    </w:lvl>
    <w:lvl w:ilvl="8">
      <w:start w:val="0"/>
      <w:numFmt w:val="bullet"/>
      <w:lvlText w:val="•"/>
      <w:lvlJc w:val="left"/>
      <w:pPr>
        <w:ind w:left="7301" w:hanging="360"/>
      </w:pPr>
      <w:rPr>
        <w:rFonts w:hint="default"/>
      </w:rPr>
    </w:lvl>
  </w:abstractNum>
  <w:abstractNum w:abstractNumId="29">
    <w:multiLevelType w:val="hybridMultilevel"/>
    <w:lvl w:ilvl="0">
      <w:start w:val="5"/>
      <w:numFmt w:val="decimal"/>
      <w:lvlText w:val="%1"/>
      <w:lvlJc w:val="left"/>
      <w:pPr>
        <w:ind w:left="968" w:hanging="632"/>
        <w:jc w:val="left"/>
      </w:pPr>
      <w:rPr>
        <w:rFonts w:hint="default"/>
      </w:rPr>
    </w:lvl>
    <w:lvl w:ilvl="1">
      <w:start w:val="2"/>
      <w:numFmt w:val="decimal"/>
      <w:lvlText w:val="%1.%2."/>
      <w:lvlJc w:val="left"/>
      <w:pPr>
        <w:ind w:left="968" w:hanging="632"/>
        <w:jc w:val="right"/>
      </w:pPr>
      <w:rPr>
        <w:rFonts w:hint="default" w:ascii="Times New Roman" w:hAnsi="Times New Roman" w:eastAsia="Times New Roman" w:cs="Times New Roman"/>
        <w:b/>
        <w:bCs/>
        <w:w w:val="100"/>
        <w:sz w:val="28"/>
        <w:szCs w:val="28"/>
      </w:rPr>
    </w:lvl>
    <w:lvl w:ilvl="2">
      <w:start w:val="1"/>
      <w:numFmt w:val="decimal"/>
      <w:lvlText w:val="%1.%2.%3."/>
      <w:lvlJc w:val="left"/>
      <w:pPr>
        <w:ind w:left="1798" w:hanging="701"/>
        <w:jc w:val="left"/>
      </w:pPr>
      <w:rPr>
        <w:rFonts w:hint="default" w:ascii="Times New Roman" w:hAnsi="Times New Roman" w:eastAsia="Times New Roman" w:cs="Times New Roman"/>
        <w:b/>
        <w:bCs/>
        <w:spacing w:val="-3"/>
        <w:w w:val="100"/>
        <w:sz w:val="28"/>
        <w:szCs w:val="28"/>
      </w:rPr>
    </w:lvl>
    <w:lvl w:ilvl="3">
      <w:start w:val="0"/>
      <w:numFmt w:val="bullet"/>
      <w:lvlText w:val="•"/>
      <w:lvlJc w:val="left"/>
      <w:pPr>
        <w:ind w:left="3697" w:hanging="701"/>
      </w:pPr>
      <w:rPr>
        <w:rFonts w:hint="default"/>
      </w:rPr>
    </w:lvl>
    <w:lvl w:ilvl="4">
      <w:start w:val="0"/>
      <w:numFmt w:val="bullet"/>
      <w:lvlText w:val="•"/>
      <w:lvlJc w:val="left"/>
      <w:pPr>
        <w:ind w:left="4474" w:hanging="701"/>
      </w:pPr>
      <w:rPr>
        <w:rFonts w:hint="default"/>
      </w:rPr>
    </w:lvl>
    <w:lvl w:ilvl="5">
      <w:start w:val="0"/>
      <w:numFmt w:val="bullet"/>
      <w:lvlText w:val="•"/>
      <w:lvlJc w:val="left"/>
      <w:pPr>
        <w:ind w:left="5252" w:hanging="701"/>
      </w:pPr>
      <w:rPr>
        <w:rFonts w:hint="default"/>
      </w:rPr>
    </w:lvl>
    <w:lvl w:ilvl="6">
      <w:start w:val="0"/>
      <w:numFmt w:val="bullet"/>
      <w:lvlText w:val="•"/>
      <w:lvlJc w:val="left"/>
      <w:pPr>
        <w:ind w:left="6029" w:hanging="701"/>
      </w:pPr>
      <w:rPr>
        <w:rFonts w:hint="default"/>
      </w:rPr>
    </w:lvl>
    <w:lvl w:ilvl="7">
      <w:start w:val="0"/>
      <w:numFmt w:val="bullet"/>
      <w:lvlText w:val="•"/>
      <w:lvlJc w:val="left"/>
      <w:pPr>
        <w:ind w:left="6807" w:hanging="701"/>
      </w:pPr>
      <w:rPr>
        <w:rFonts w:hint="default"/>
      </w:rPr>
    </w:lvl>
    <w:lvl w:ilvl="8">
      <w:start w:val="0"/>
      <w:numFmt w:val="bullet"/>
      <w:lvlText w:val="•"/>
      <w:lvlJc w:val="left"/>
      <w:pPr>
        <w:ind w:left="7584" w:hanging="701"/>
      </w:pPr>
      <w:rPr>
        <w:rFonts w:hint="default"/>
      </w:rPr>
    </w:lvl>
  </w:abstractNum>
  <w:abstractNum w:abstractNumId="28">
    <w:multiLevelType w:val="hybridMultilevel"/>
    <w:lvl w:ilvl="0">
      <w:start w:val="5"/>
      <w:numFmt w:val="decimal"/>
      <w:lvlText w:val="%1"/>
      <w:lvlJc w:val="left"/>
      <w:pPr>
        <w:ind w:left="1294" w:hanging="493"/>
        <w:jc w:val="left"/>
      </w:pPr>
      <w:rPr>
        <w:rFonts w:hint="default"/>
      </w:rPr>
    </w:lvl>
    <w:lvl w:ilvl="1">
      <w:start w:val="1"/>
      <w:numFmt w:val="decimal"/>
      <w:lvlText w:val="%1.%2."/>
      <w:lvlJc w:val="left"/>
      <w:pPr>
        <w:ind w:left="1294" w:hanging="493"/>
        <w:jc w:val="left"/>
      </w:pPr>
      <w:rPr>
        <w:rFonts w:hint="default" w:ascii="Times New Roman" w:hAnsi="Times New Roman" w:eastAsia="Times New Roman" w:cs="Times New Roman"/>
        <w:b/>
        <w:bCs/>
        <w:w w:val="100"/>
        <w:sz w:val="28"/>
        <w:szCs w:val="28"/>
      </w:rPr>
    </w:lvl>
    <w:lvl w:ilvl="2">
      <w:start w:val="1"/>
      <w:numFmt w:val="decimal"/>
      <w:lvlText w:val="%1.%2.%3."/>
      <w:lvlJc w:val="left"/>
      <w:pPr>
        <w:ind w:left="4014" w:hanging="701"/>
        <w:jc w:val="right"/>
      </w:pPr>
      <w:rPr>
        <w:rFonts w:hint="default" w:ascii="Times New Roman" w:hAnsi="Times New Roman" w:eastAsia="Times New Roman" w:cs="Times New Roman"/>
        <w:b/>
        <w:bCs/>
        <w:spacing w:val="-3"/>
        <w:w w:val="100"/>
        <w:sz w:val="28"/>
        <w:szCs w:val="28"/>
      </w:rPr>
    </w:lvl>
    <w:lvl w:ilvl="3">
      <w:start w:val="0"/>
      <w:numFmt w:val="bullet"/>
      <w:lvlText w:val="•"/>
      <w:lvlJc w:val="left"/>
      <w:pPr>
        <w:ind w:left="5188" w:hanging="701"/>
      </w:pPr>
      <w:rPr>
        <w:rFonts w:hint="default"/>
      </w:rPr>
    </w:lvl>
    <w:lvl w:ilvl="4">
      <w:start w:val="0"/>
      <w:numFmt w:val="bullet"/>
      <w:lvlText w:val="•"/>
      <w:lvlJc w:val="left"/>
      <w:pPr>
        <w:ind w:left="5773" w:hanging="701"/>
      </w:pPr>
      <w:rPr>
        <w:rFonts w:hint="default"/>
      </w:rPr>
    </w:lvl>
    <w:lvl w:ilvl="5">
      <w:start w:val="0"/>
      <w:numFmt w:val="bullet"/>
      <w:lvlText w:val="•"/>
      <w:lvlJc w:val="left"/>
      <w:pPr>
        <w:ind w:left="6357" w:hanging="701"/>
      </w:pPr>
      <w:rPr>
        <w:rFonts w:hint="default"/>
      </w:rPr>
    </w:lvl>
    <w:lvl w:ilvl="6">
      <w:start w:val="0"/>
      <w:numFmt w:val="bullet"/>
      <w:lvlText w:val="•"/>
      <w:lvlJc w:val="left"/>
      <w:pPr>
        <w:ind w:left="6941" w:hanging="701"/>
      </w:pPr>
      <w:rPr>
        <w:rFonts w:hint="default"/>
      </w:rPr>
    </w:lvl>
    <w:lvl w:ilvl="7">
      <w:start w:val="0"/>
      <w:numFmt w:val="bullet"/>
      <w:lvlText w:val="•"/>
      <w:lvlJc w:val="left"/>
      <w:pPr>
        <w:ind w:left="7526" w:hanging="701"/>
      </w:pPr>
      <w:rPr>
        <w:rFonts w:hint="default"/>
      </w:rPr>
    </w:lvl>
    <w:lvl w:ilvl="8">
      <w:start w:val="0"/>
      <w:numFmt w:val="bullet"/>
      <w:lvlText w:val="•"/>
      <w:lvlJc w:val="left"/>
      <w:pPr>
        <w:ind w:left="8110" w:hanging="701"/>
      </w:pPr>
      <w:rPr>
        <w:rFonts w:hint="default"/>
      </w:rPr>
    </w:lvl>
  </w:abstractNum>
  <w:abstractNum w:abstractNumId="27">
    <w:multiLevelType w:val="hybridMultilevel"/>
    <w:lvl w:ilvl="0">
      <w:start w:val="0"/>
      <w:numFmt w:val="bullet"/>
      <w:lvlText w:val="-"/>
      <w:lvlJc w:val="left"/>
      <w:pPr>
        <w:ind w:left="7880" w:hanging="164"/>
      </w:pPr>
      <w:rPr>
        <w:rFonts w:hint="default" w:ascii="Times New Roman" w:hAnsi="Times New Roman" w:eastAsia="Times New Roman" w:cs="Times New Roman"/>
        <w:w w:val="100"/>
        <w:sz w:val="28"/>
        <w:szCs w:val="28"/>
      </w:rPr>
    </w:lvl>
    <w:lvl w:ilvl="1">
      <w:start w:val="0"/>
      <w:numFmt w:val="bullet"/>
      <w:lvlText w:val="•"/>
      <w:lvlJc w:val="left"/>
      <w:pPr>
        <w:ind w:left="8055" w:hanging="164"/>
      </w:pPr>
      <w:rPr>
        <w:rFonts w:hint="default"/>
      </w:rPr>
    </w:lvl>
    <w:lvl w:ilvl="2">
      <w:start w:val="0"/>
      <w:numFmt w:val="bullet"/>
      <w:lvlText w:val="•"/>
      <w:lvlJc w:val="left"/>
      <w:pPr>
        <w:ind w:left="8231" w:hanging="164"/>
      </w:pPr>
      <w:rPr>
        <w:rFonts w:hint="default"/>
      </w:rPr>
    </w:lvl>
    <w:lvl w:ilvl="3">
      <w:start w:val="0"/>
      <w:numFmt w:val="bullet"/>
      <w:lvlText w:val="•"/>
      <w:lvlJc w:val="left"/>
      <w:pPr>
        <w:ind w:left="8407" w:hanging="164"/>
      </w:pPr>
      <w:rPr>
        <w:rFonts w:hint="default"/>
      </w:rPr>
    </w:lvl>
    <w:lvl w:ilvl="4">
      <w:start w:val="0"/>
      <w:numFmt w:val="bullet"/>
      <w:lvlText w:val="•"/>
      <w:lvlJc w:val="left"/>
      <w:pPr>
        <w:ind w:left="8583" w:hanging="164"/>
      </w:pPr>
      <w:rPr>
        <w:rFonts w:hint="default"/>
      </w:rPr>
    </w:lvl>
    <w:lvl w:ilvl="5">
      <w:start w:val="0"/>
      <w:numFmt w:val="bullet"/>
      <w:lvlText w:val="•"/>
      <w:lvlJc w:val="left"/>
      <w:pPr>
        <w:ind w:left="8759" w:hanging="164"/>
      </w:pPr>
      <w:rPr>
        <w:rFonts w:hint="default"/>
      </w:rPr>
    </w:lvl>
    <w:lvl w:ilvl="6">
      <w:start w:val="0"/>
      <w:numFmt w:val="bullet"/>
      <w:lvlText w:val="•"/>
      <w:lvlJc w:val="left"/>
      <w:pPr>
        <w:ind w:left="8935" w:hanging="164"/>
      </w:pPr>
      <w:rPr>
        <w:rFonts w:hint="default"/>
      </w:rPr>
    </w:lvl>
    <w:lvl w:ilvl="7">
      <w:start w:val="0"/>
      <w:numFmt w:val="bullet"/>
      <w:lvlText w:val="•"/>
      <w:lvlJc w:val="left"/>
      <w:pPr>
        <w:ind w:left="9111" w:hanging="164"/>
      </w:pPr>
      <w:rPr>
        <w:rFonts w:hint="default"/>
      </w:rPr>
    </w:lvl>
    <w:lvl w:ilvl="8">
      <w:start w:val="0"/>
      <w:numFmt w:val="bullet"/>
      <w:lvlText w:val="•"/>
      <w:lvlJc w:val="left"/>
      <w:pPr>
        <w:ind w:left="9287" w:hanging="164"/>
      </w:pPr>
      <w:rPr>
        <w:rFonts w:hint="default"/>
      </w:rPr>
    </w:lvl>
  </w:abstractNum>
  <w:abstractNum w:abstractNumId="26">
    <w:multiLevelType w:val="hybridMultilevel"/>
    <w:lvl w:ilvl="0">
      <w:start w:val="4"/>
      <w:numFmt w:val="decimal"/>
      <w:lvlText w:val="%1"/>
      <w:lvlJc w:val="left"/>
      <w:pPr>
        <w:ind w:left="2797" w:hanging="493"/>
        <w:jc w:val="left"/>
      </w:pPr>
      <w:rPr>
        <w:rFonts w:hint="default"/>
      </w:rPr>
    </w:lvl>
    <w:lvl w:ilvl="1">
      <w:start w:val="2"/>
      <w:numFmt w:val="decimal"/>
      <w:lvlText w:val="%1.%2."/>
      <w:lvlJc w:val="left"/>
      <w:pPr>
        <w:ind w:left="2797" w:hanging="493"/>
        <w:jc w:val="left"/>
      </w:pPr>
      <w:rPr>
        <w:rFonts w:hint="default" w:ascii="Times New Roman" w:hAnsi="Times New Roman" w:eastAsia="Times New Roman" w:cs="Times New Roman"/>
        <w:b/>
        <w:bCs/>
        <w:w w:val="100"/>
        <w:sz w:val="28"/>
        <w:szCs w:val="28"/>
      </w:rPr>
    </w:lvl>
    <w:lvl w:ilvl="2">
      <w:start w:val="1"/>
      <w:numFmt w:val="decimal"/>
      <w:lvlText w:val="%1.%2.%3."/>
      <w:lvlJc w:val="left"/>
      <w:pPr>
        <w:ind w:left="414" w:hanging="701"/>
        <w:jc w:val="right"/>
      </w:pPr>
      <w:rPr>
        <w:rFonts w:hint="default" w:ascii="Times New Roman" w:hAnsi="Times New Roman" w:eastAsia="Times New Roman" w:cs="Times New Roman"/>
        <w:b/>
        <w:bCs/>
        <w:spacing w:val="-3"/>
        <w:w w:val="100"/>
        <w:sz w:val="28"/>
        <w:szCs w:val="28"/>
      </w:rPr>
    </w:lvl>
    <w:lvl w:ilvl="3">
      <w:start w:val="0"/>
      <w:numFmt w:val="bullet"/>
      <w:lvlText w:val="•"/>
      <w:lvlJc w:val="left"/>
      <w:pPr>
        <w:ind w:left="4239" w:hanging="701"/>
      </w:pPr>
      <w:rPr>
        <w:rFonts w:hint="default"/>
      </w:rPr>
    </w:lvl>
    <w:lvl w:ilvl="4">
      <w:start w:val="0"/>
      <w:numFmt w:val="bullet"/>
      <w:lvlText w:val="•"/>
      <w:lvlJc w:val="left"/>
      <w:pPr>
        <w:ind w:left="4959" w:hanging="701"/>
      </w:pPr>
      <w:rPr>
        <w:rFonts w:hint="default"/>
      </w:rPr>
    </w:lvl>
    <w:lvl w:ilvl="5">
      <w:start w:val="0"/>
      <w:numFmt w:val="bullet"/>
      <w:lvlText w:val="•"/>
      <w:lvlJc w:val="left"/>
      <w:pPr>
        <w:ind w:left="5679" w:hanging="701"/>
      </w:pPr>
      <w:rPr>
        <w:rFonts w:hint="default"/>
      </w:rPr>
    </w:lvl>
    <w:lvl w:ilvl="6">
      <w:start w:val="0"/>
      <w:numFmt w:val="bullet"/>
      <w:lvlText w:val="•"/>
      <w:lvlJc w:val="left"/>
      <w:pPr>
        <w:ind w:left="6399" w:hanging="701"/>
      </w:pPr>
      <w:rPr>
        <w:rFonts w:hint="default"/>
      </w:rPr>
    </w:lvl>
    <w:lvl w:ilvl="7">
      <w:start w:val="0"/>
      <w:numFmt w:val="bullet"/>
      <w:lvlText w:val="•"/>
      <w:lvlJc w:val="left"/>
      <w:pPr>
        <w:ind w:left="7119" w:hanging="701"/>
      </w:pPr>
      <w:rPr>
        <w:rFonts w:hint="default"/>
      </w:rPr>
    </w:lvl>
    <w:lvl w:ilvl="8">
      <w:start w:val="0"/>
      <w:numFmt w:val="bullet"/>
      <w:lvlText w:val="•"/>
      <w:lvlJc w:val="left"/>
      <w:pPr>
        <w:ind w:left="7839" w:hanging="701"/>
      </w:pPr>
      <w:rPr>
        <w:rFonts w:hint="default"/>
      </w:rPr>
    </w:lvl>
  </w:abstractNum>
  <w:abstractNum w:abstractNumId="25">
    <w:multiLevelType w:val="hybridMultilevel"/>
    <w:lvl w:ilvl="0">
      <w:start w:val="1"/>
      <w:numFmt w:val="decimal"/>
      <w:lvlText w:val="(%1)"/>
      <w:lvlJc w:val="left"/>
      <w:pPr>
        <w:ind w:left="266" w:hanging="399"/>
        <w:jc w:val="right"/>
      </w:pPr>
      <w:rPr>
        <w:rFonts w:hint="default"/>
        <w:w w:val="100"/>
      </w:rPr>
    </w:lvl>
    <w:lvl w:ilvl="1">
      <w:start w:val="0"/>
      <w:numFmt w:val="bullet"/>
      <w:lvlText w:val="•"/>
      <w:lvlJc w:val="left"/>
      <w:pPr>
        <w:ind w:left="681" w:hanging="399"/>
      </w:pPr>
      <w:rPr>
        <w:rFonts w:hint="default"/>
      </w:rPr>
    </w:lvl>
    <w:lvl w:ilvl="2">
      <w:start w:val="0"/>
      <w:numFmt w:val="bullet"/>
      <w:lvlText w:val="•"/>
      <w:lvlJc w:val="left"/>
      <w:pPr>
        <w:ind w:left="1103" w:hanging="399"/>
      </w:pPr>
      <w:rPr>
        <w:rFonts w:hint="default"/>
      </w:rPr>
    </w:lvl>
    <w:lvl w:ilvl="3">
      <w:start w:val="0"/>
      <w:numFmt w:val="bullet"/>
      <w:lvlText w:val="•"/>
      <w:lvlJc w:val="left"/>
      <w:pPr>
        <w:ind w:left="1525" w:hanging="399"/>
      </w:pPr>
      <w:rPr>
        <w:rFonts w:hint="default"/>
      </w:rPr>
    </w:lvl>
    <w:lvl w:ilvl="4">
      <w:start w:val="0"/>
      <w:numFmt w:val="bullet"/>
      <w:lvlText w:val="•"/>
      <w:lvlJc w:val="left"/>
      <w:pPr>
        <w:ind w:left="1946" w:hanging="399"/>
      </w:pPr>
      <w:rPr>
        <w:rFonts w:hint="default"/>
      </w:rPr>
    </w:lvl>
    <w:lvl w:ilvl="5">
      <w:start w:val="0"/>
      <w:numFmt w:val="bullet"/>
      <w:lvlText w:val="•"/>
      <w:lvlJc w:val="left"/>
      <w:pPr>
        <w:ind w:left="2368" w:hanging="399"/>
      </w:pPr>
      <w:rPr>
        <w:rFonts w:hint="default"/>
      </w:rPr>
    </w:lvl>
    <w:lvl w:ilvl="6">
      <w:start w:val="0"/>
      <w:numFmt w:val="bullet"/>
      <w:lvlText w:val="•"/>
      <w:lvlJc w:val="left"/>
      <w:pPr>
        <w:ind w:left="2790" w:hanging="399"/>
      </w:pPr>
      <w:rPr>
        <w:rFonts w:hint="default"/>
      </w:rPr>
    </w:lvl>
    <w:lvl w:ilvl="7">
      <w:start w:val="0"/>
      <w:numFmt w:val="bullet"/>
      <w:lvlText w:val="•"/>
      <w:lvlJc w:val="left"/>
      <w:pPr>
        <w:ind w:left="3211" w:hanging="399"/>
      </w:pPr>
      <w:rPr>
        <w:rFonts w:hint="default"/>
      </w:rPr>
    </w:lvl>
    <w:lvl w:ilvl="8">
      <w:start w:val="0"/>
      <w:numFmt w:val="bullet"/>
      <w:lvlText w:val="•"/>
      <w:lvlJc w:val="left"/>
      <w:pPr>
        <w:ind w:left="3633" w:hanging="399"/>
      </w:pPr>
      <w:rPr>
        <w:rFonts w:hint="default"/>
      </w:rPr>
    </w:lvl>
  </w:abstractNum>
  <w:abstractNum w:abstractNumId="24">
    <w:multiLevelType w:val="hybridMultilevel"/>
    <w:lvl w:ilvl="0">
      <w:start w:val="4"/>
      <w:numFmt w:val="decimal"/>
      <w:lvlText w:val="%1"/>
      <w:lvlJc w:val="left"/>
      <w:pPr>
        <w:ind w:left="4225" w:hanging="701"/>
        <w:jc w:val="left"/>
      </w:pPr>
      <w:rPr>
        <w:rFonts w:hint="default"/>
      </w:rPr>
    </w:lvl>
    <w:lvl w:ilvl="1">
      <w:start w:val="1"/>
      <w:numFmt w:val="decimal"/>
      <w:lvlText w:val="%1.%2"/>
      <w:lvlJc w:val="left"/>
      <w:pPr>
        <w:ind w:left="4225" w:hanging="701"/>
        <w:jc w:val="left"/>
      </w:pPr>
      <w:rPr>
        <w:rFonts w:hint="default"/>
      </w:rPr>
    </w:lvl>
    <w:lvl w:ilvl="2">
      <w:start w:val="1"/>
      <w:numFmt w:val="decimal"/>
      <w:lvlText w:val="%1.%2.%3."/>
      <w:lvlJc w:val="left"/>
      <w:pPr>
        <w:ind w:left="4225" w:hanging="701"/>
        <w:jc w:val="right"/>
      </w:pPr>
      <w:rPr>
        <w:rFonts w:hint="default" w:ascii="Times New Roman" w:hAnsi="Times New Roman" w:eastAsia="Times New Roman" w:cs="Times New Roman"/>
        <w:b/>
        <w:bCs/>
        <w:spacing w:val="-3"/>
        <w:w w:val="100"/>
        <w:sz w:val="28"/>
        <w:szCs w:val="28"/>
      </w:rPr>
    </w:lvl>
    <w:lvl w:ilvl="3">
      <w:start w:val="0"/>
      <w:numFmt w:val="bullet"/>
      <w:lvlText w:val="•"/>
      <w:lvlJc w:val="left"/>
      <w:pPr>
        <w:ind w:left="5737" w:hanging="701"/>
      </w:pPr>
      <w:rPr>
        <w:rFonts w:hint="default"/>
      </w:rPr>
    </w:lvl>
    <w:lvl w:ilvl="4">
      <w:start w:val="0"/>
      <w:numFmt w:val="bullet"/>
      <w:lvlText w:val="•"/>
      <w:lvlJc w:val="left"/>
      <w:pPr>
        <w:ind w:left="6243" w:hanging="701"/>
      </w:pPr>
      <w:rPr>
        <w:rFonts w:hint="default"/>
      </w:rPr>
    </w:lvl>
    <w:lvl w:ilvl="5">
      <w:start w:val="0"/>
      <w:numFmt w:val="bullet"/>
      <w:lvlText w:val="•"/>
      <w:lvlJc w:val="left"/>
      <w:pPr>
        <w:ind w:left="6749" w:hanging="701"/>
      </w:pPr>
      <w:rPr>
        <w:rFonts w:hint="default"/>
      </w:rPr>
    </w:lvl>
    <w:lvl w:ilvl="6">
      <w:start w:val="0"/>
      <w:numFmt w:val="bullet"/>
      <w:lvlText w:val="•"/>
      <w:lvlJc w:val="left"/>
      <w:pPr>
        <w:ind w:left="7255" w:hanging="701"/>
      </w:pPr>
      <w:rPr>
        <w:rFonts w:hint="default"/>
      </w:rPr>
    </w:lvl>
    <w:lvl w:ilvl="7">
      <w:start w:val="0"/>
      <w:numFmt w:val="bullet"/>
      <w:lvlText w:val="•"/>
      <w:lvlJc w:val="left"/>
      <w:pPr>
        <w:ind w:left="7761" w:hanging="701"/>
      </w:pPr>
      <w:rPr>
        <w:rFonts w:hint="default"/>
      </w:rPr>
    </w:lvl>
    <w:lvl w:ilvl="8">
      <w:start w:val="0"/>
      <w:numFmt w:val="bullet"/>
      <w:lvlText w:val="•"/>
      <w:lvlJc w:val="left"/>
      <w:pPr>
        <w:ind w:left="8267" w:hanging="701"/>
      </w:pPr>
      <w:rPr>
        <w:rFonts w:hint="default"/>
      </w:rPr>
    </w:lvl>
  </w:abstractNum>
  <w:abstractNum w:abstractNumId="22">
    <w:multiLevelType w:val="hybridMultilevel"/>
    <w:lvl w:ilvl="0">
      <w:start w:val="0"/>
      <w:numFmt w:val="bullet"/>
      <w:lvlText w:val="-"/>
      <w:lvlJc w:val="left"/>
      <w:pPr>
        <w:ind w:left="265" w:hanging="164"/>
      </w:pPr>
      <w:rPr>
        <w:rFonts w:hint="default" w:ascii="Times New Roman" w:hAnsi="Times New Roman" w:eastAsia="Times New Roman" w:cs="Times New Roman"/>
        <w:w w:val="100"/>
        <w:sz w:val="28"/>
        <w:szCs w:val="28"/>
      </w:rPr>
    </w:lvl>
    <w:lvl w:ilvl="1">
      <w:start w:val="0"/>
      <w:numFmt w:val="bullet"/>
      <w:lvlText w:val="•"/>
      <w:lvlJc w:val="left"/>
      <w:pPr>
        <w:ind w:left="1161" w:hanging="164"/>
      </w:pPr>
      <w:rPr>
        <w:rFonts w:hint="default"/>
      </w:rPr>
    </w:lvl>
    <w:lvl w:ilvl="2">
      <w:start w:val="0"/>
      <w:numFmt w:val="bullet"/>
      <w:lvlText w:val="•"/>
      <w:lvlJc w:val="left"/>
      <w:pPr>
        <w:ind w:left="2063" w:hanging="164"/>
      </w:pPr>
      <w:rPr>
        <w:rFonts w:hint="default"/>
      </w:rPr>
    </w:lvl>
    <w:lvl w:ilvl="3">
      <w:start w:val="0"/>
      <w:numFmt w:val="bullet"/>
      <w:lvlText w:val="•"/>
      <w:lvlJc w:val="left"/>
      <w:pPr>
        <w:ind w:left="2965" w:hanging="164"/>
      </w:pPr>
      <w:rPr>
        <w:rFonts w:hint="default"/>
      </w:rPr>
    </w:lvl>
    <w:lvl w:ilvl="4">
      <w:start w:val="0"/>
      <w:numFmt w:val="bullet"/>
      <w:lvlText w:val="•"/>
      <w:lvlJc w:val="left"/>
      <w:pPr>
        <w:ind w:left="3867" w:hanging="164"/>
      </w:pPr>
      <w:rPr>
        <w:rFonts w:hint="default"/>
      </w:rPr>
    </w:lvl>
    <w:lvl w:ilvl="5">
      <w:start w:val="0"/>
      <w:numFmt w:val="bullet"/>
      <w:lvlText w:val="•"/>
      <w:lvlJc w:val="left"/>
      <w:pPr>
        <w:ind w:left="4769" w:hanging="164"/>
      </w:pPr>
      <w:rPr>
        <w:rFonts w:hint="default"/>
      </w:rPr>
    </w:lvl>
    <w:lvl w:ilvl="6">
      <w:start w:val="0"/>
      <w:numFmt w:val="bullet"/>
      <w:lvlText w:val="•"/>
      <w:lvlJc w:val="left"/>
      <w:pPr>
        <w:ind w:left="5671" w:hanging="164"/>
      </w:pPr>
      <w:rPr>
        <w:rFonts w:hint="default"/>
      </w:rPr>
    </w:lvl>
    <w:lvl w:ilvl="7">
      <w:start w:val="0"/>
      <w:numFmt w:val="bullet"/>
      <w:lvlText w:val="•"/>
      <w:lvlJc w:val="left"/>
      <w:pPr>
        <w:ind w:left="6573" w:hanging="164"/>
      </w:pPr>
      <w:rPr>
        <w:rFonts w:hint="default"/>
      </w:rPr>
    </w:lvl>
    <w:lvl w:ilvl="8">
      <w:start w:val="0"/>
      <w:numFmt w:val="bullet"/>
      <w:lvlText w:val="•"/>
      <w:lvlJc w:val="left"/>
      <w:pPr>
        <w:ind w:left="7475" w:hanging="164"/>
      </w:pPr>
      <w:rPr>
        <w:rFonts w:hint="default"/>
      </w:rPr>
    </w:lvl>
  </w:abstractNum>
  <w:abstractNum w:abstractNumId="21">
    <w:multiLevelType w:val="hybridMultilevel"/>
    <w:lvl w:ilvl="0">
      <w:start w:val="1"/>
      <w:numFmt w:val="decimal"/>
      <w:lvlText w:val="%1."/>
      <w:lvlJc w:val="left"/>
      <w:pPr>
        <w:ind w:left="382" w:hanging="281"/>
        <w:jc w:val="left"/>
      </w:pPr>
      <w:rPr>
        <w:rFonts w:hint="default" w:ascii="Times New Roman" w:hAnsi="Times New Roman" w:eastAsia="Times New Roman" w:cs="Times New Roman"/>
        <w:w w:val="100"/>
        <w:sz w:val="28"/>
        <w:szCs w:val="28"/>
      </w:rPr>
    </w:lvl>
    <w:lvl w:ilvl="1">
      <w:start w:val="0"/>
      <w:numFmt w:val="bullet"/>
      <w:lvlText w:val="•"/>
      <w:lvlJc w:val="left"/>
      <w:pPr>
        <w:ind w:left="1269" w:hanging="281"/>
      </w:pPr>
      <w:rPr>
        <w:rFonts w:hint="default"/>
      </w:rPr>
    </w:lvl>
    <w:lvl w:ilvl="2">
      <w:start w:val="0"/>
      <w:numFmt w:val="bullet"/>
      <w:lvlText w:val="•"/>
      <w:lvlJc w:val="left"/>
      <w:pPr>
        <w:ind w:left="2159" w:hanging="281"/>
      </w:pPr>
      <w:rPr>
        <w:rFonts w:hint="default"/>
      </w:rPr>
    </w:lvl>
    <w:lvl w:ilvl="3">
      <w:start w:val="0"/>
      <w:numFmt w:val="bullet"/>
      <w:lvlText w:val="•"/>
      <w:lvlJc w:val="left"/>
      <w:pPr>
        <w:ind w:left="3049" w:hanging="281"/>
      </w:pPr>
      <w:rPr>
        <w:rFonts w:hint="default"/>
      </w:rPr>
    </w:lvl>
    <w:lvl w:ilvl="4">
      <w:start w:val="0"/>
      <w:numFmt w:val="bullet"/>
      <w:lvlText w:val="•"/>
      <w:lvlJc w:val="left"/>
      <w:pPr>
        <w:ind w:left="3939" w:hanging="281"/>
      </w:pPr>
      <w:rPr>
        <w:rFonts w:hint="default"/>
      </w:rPr>
    </w:lvl>
    <w:lvl w:ilvl="5">
      <w:start w:val="0"/>
      <w:numFmt w:val="bullet"/>
      <w:lvlText w:val="•"/>
      <w:lvlJc w:val="left"/>
      <w:pPr>
        <w:ind w:left="4829" w:hanging="281"/>
      </w:pPr>
      <w:rPr>
        <w:rFonts w:hint="default"/>
      </w:rPr>
    </w:lvl>
    <w:lvl w:ilvl="6">
      <w:start w:val="0"/>
      <w:numFmt w:val="bullet"/>
      <w:lvlText w:val="•"/>
      <w:lvlJc w:val="left"/>
      <w:pPr>
        <w:ind w:left="5719" w:hanging="281"/>
      </w:pPr>
      <w:rPr>
        <w:rFonts w:hint="default"/>
      </w:rPr>
    </w:lvl>
    <w:lvl w:ilvl="7">
      <w:start w:val="0"/>
      <w:numFmt w:val="bullet"/>
      <w:lvlText w:val="•"/>
      <w:lvlJc w:val="left"/>
      <w:pPr>
        <w:ind w:left="6609" w:hanging="281"/>
      </w:pPr>
      <w:rPr>
        <w:rFonts w:hint="default"/>
      </w:rPr>
    </w:lvl>
    <w:lvl w:ilvl="8">
      <w:start w:val="0"/>
      <w:numFmt w:val="bullet"/>
      <w:lvlText w:val="•"/>
      <w:lvlJc w:val="left"/>
      <w:pPr>
        <w:ind w:left="7499" w:hanging="281"/>
      </w:pPr>
      <w:rPr>
        <w:rFonts w:hint="default"/>
      </w:rPr>
    </w:lvl>
  </w:abstractNum>
  <w:abstractNum w:abstractNumId="20">
    <w:multiLevelType w:val="hybridMultilevel"/>
    <w:lvl w:ilvl="0">
      <w:start w:val="3"/>
      <w:numFmt w:val="decimal"/>
      <w:lvlText w:val="%1"/>
      <w:lvlJc w:val="left"/>
      <w:pPr>
        <w:ind w:left="2218" w:hanging="701"/>
        <w:jc w:val="left"/>
      </w:pPr>
      <w:rPr>
        <w:rFonts w:hint="default"/>
      </w:rPr>
    </w:lvl>
    <w:lvl w:ilvl="1">
      <w:start w:val="3"/>
      <w:numFmt w:val="decimal"/>
      <w:lvlText w:val="%1.%2"/>
      <w:lvlJc w:val="left"/>
      <w:pPr>
        <w:ind w:left="2218" w:hanging="701"/>
        <w:jc w:val="left"/>
      </w:pPr>
      <w:rPr>
        <w:rFonts w:hint="default"/>
      </w:rPr>
    </w:lvl>
    <w:lvl w:ilvl="2">
      <w:start w:val="1"/>
      <w:numFmt w:val="decimal"/>
      <w:lvlText w:val="%1.%2.%3."/>
      <w:lvlJc w:val="left"/>
      <w:pPr>
        <w:ind w:left="2218" w:hanging="701"/>
        <w:jc w:val="right"/>
      </w:pPr>
      <w:rPr>
        <w:rFonts w:hint="default" w:ascii="Times New Roman" w:hAnsi="Times New Roman" w:eastAsia="Times New Roman" w:cs="Times New Roman"/>
        <w:b/>
        <w:bCs/>
        <w:spacing w:val="-3"/>
        <w:w w:val="100"/>
        <w:sz w:val="28"/>
        <w:szCs w:val="28"/>
      </w:rPr>
    </w:lvl>
    <w:lvl w:ilvl="3">
      <w:start w:val="0"/>
      <w:numFmt w:val="bullet"/>
      <w:lvlText w:val="•"/>
      <w:lvlJc w:val="left"/>
      <w:pPr>
        <w:ind w:left="4337" w:hanging="701"/>
      </w:pPr>
      <w:rPr>
        <w:rFonts w:hint="default"/>
      </w:rPr>
    </w:lvl>
    <w:lvl w:ilvl="4">
      <w:start w:val="0"/>
      <w:numFmt w:val="bullet"/>
      <w:lvlText w:val="•"/>
      <w:lvlJc w:val="left"/>
      <w:pPr>
        <w:ind w:left="5043" w:hanging="701"/>
      </w:pPr>
      <w:rPr>
        <w:rFonts w:hint="default"/>
      </w:rPr>
    </w:lvl>
    <w:lvl w:ilvl="5">
      <w:start w:val="0"/>
      <w:numFmt w:val="bullet"/>
      <w:lvlText w:val="•"/>
      <w:lvlJc w:val="left"/>
      <w:pPr>
        <w:ind w:left="5749" w:hanging="701"/>
      </w:pPr>
      <w:rPr>
        <w:rFonts w:hint="default"/>
      </w:rPr>
    </w:lvl>
    <w:lvl w:ilvl="6">
      <w:start w:val="0"/>
      <w:numFmt w:val="bullet"/>
      <w:lvlText w:val="•"/>
      <w:lvlJc w:val="left"/>
      <w:pPr>
        <w:ind w:left="6455" w:hanging="701"/>
      </w:pPr>
      <w:rPr>
        <w:rFonts w:hint="default"/>
      </w:rPr>
    </w:lvl>
    <w:lvl w:ilvl="7">
      <w:start w:val="0"/>
      <w:numFmt w:val="bullet"/>
      <w:lvlText w:val="•"/>
      <w:lvlJc w:val="left"/>
      <w:pPr>
        <w:ind w:left="7161" w:hanging="701"/>
      </w:pPr>
      <w:rPr>
        <w:rFonts w:hint="default"/>
      </w:rPr>
    </w:lvl>
    <w:lvl w:ilvl="8">
      <w:start w:val="0"/>
      <w:numFmt w:val="bullet"/>
      <w:lvlText w:val="•"/>
      <w:lvlJc w:val="left"/>
      <w:pPr>
        <w:ind w:left="7867" w:hanging="701"/>
      </w:pPr>
      <w:rPr>
        <w:rFonts w:hint="default"/>
      </w:rPr>
    </w:lvl>
  </w:abstractNum>
  <w:abstractNum w:abstractNumId="19">
    <w:multiLevelType w:val="hybridMultilevel"/>
    <w:lvl w:ilvl="0">
      <w:start w:val="3"/>
      <w:numFmt w:val="decimal"/>
      <w:lvlText w:val="%1"/>
      <w:lvlJc w:val="left"/>
      <w:pPr>
        <w:ind w:left="1184" w:hanging="493"/>
        <w:jc w:val="left"/>
      </w:pPr>
      <w:rPr>
        <w:rFonts w:hint="default"/>
      </w:rPr>
    </w:lvl>
    <w:lvl w:ilvl="1">
      <w:start w:val="1"/>
      <w:numFmt w:val="decimal"/>
      <w:lvlText w:val="%1.%2."/>
      <w:lvlJc w:val="left"/>
      <w:pPr>
        <w:ind w:left="2843" w:hanging="493"/>
        <w:jc w:val="right"/>
      </w:pPr>
      <w:rPr>
        <w:rFonts w:hint="default" w:ascii="Times New Roman" w:hAnsi="Times New Roman" w:eastAsia="Times New Roman" w:cs="Times New Roman"/>
        <w:b/>
        <w:bCs/>
        <w:w w:val="100"/>
        <w:sz w:val="28"/>
        <w:szCs w:val="28"/>
      </w:rPr>
    </w:lvl>
    <w:lvl w:ilvl="2">
      <w:start w:val="0"/>
      <w:numFmt w:val="bullet"/>
      <w:lvlText w:val="•"/>
      <w:lvlJc w:val="left"/>
      <w:pPr>
        <w:ind w:left="3555" w:hanging="493"/>
      </w:pPr>
      <w:rPr>
        <w:rFonts w:hint="default"/>
      </w:rPr>
    </w:lvl>
    <w:lvl w:ilvl="3">
      <w:start w:val="0"/>
      <w:numFmt w:val="bullet"/>
      <w:lvlText w:val="•"/>
      <w:lvlJc w:val="left"/>
      <w:pPr>
        <w:ind w:left="4270" w:hanging="493"/>
      </w:pPr>
      <w:rPr>
        <w:rFonts w:hint="default"/>
      </w:rPr>
    </w:lvl>
    <w:lvl w:ilvl="4">
      <w:start w:val="0"/>
      <w:numFmt w:val="bullet"/>
      <w:lvlText w:val="•"/>
      <w:lvlJc w:val="left"/>
      <w:pPr>
        <w:ind w:left="4986" w:hanging="493"/>
      </w:pPr>
      <w:rPr>
        <w:rFonts w:hint="default"/>
      </w:rPr>
    </w:lvl>
    <w:lvl w:ilvl="5">
      <w:start w:val="0"/>
      <w:numFmt w:val="bullet"/>
      <w:lvlText w:val="•"/>
      <w:lvlJc w:val="left"/>
      <w:pPr>
        <w:ind w:left="5701" w:hanging="493"/>
      </w:pPr>
      <w:rPr>
        <w:rFonts w:hint="default"/>
      </w:rPr>
    </w:lvl>
    <w:lvl w:ilvl="6">
      <w:start w:val="0"/>
      <w:numFmt w:val="bullet"/>
      <w:lvlText w:val="•"/>
      <w:lvlJc w:val="left"/>
      <w:pPr>
        <w:ind w:left="6417" w:hanging="493"/>
      </w:pPr>
      <w:rPr>
        <w:rFonts w:hint="default"/>
      </w:rPr>
    </w:lvl>
    <w:lvl w:ilvl="7">
      <w:start w:val="0"/>
      <w:numFmt w:val="bullet"/>
      <w:lvlText w:val="•"/>
      <w:lvlJc w:val="left"/>
      <w:pPr>
        <w:ind w:left="7132" w:hanging="493"/>
      </w:pPr>
      <w:rPr>
        <w:rFonts w:hint="default"/>
      </w:rPr>
    </w:lvl>
    <w:lvl w:ilvl="8">
      <w:start w:val="0"/>
      <w:numFmt w:val="bullet"/>
      <w:lvlText w:val="•"/>
      <w:lvlJc w:val="left"/>
      <w:pPr>
        <w:ind w:left="7848" w:hanging="493"/>
      </w:pPr>
      <w:rPr>
        <w:rFonts w:hint="default"/>
      </w:rPr>
    </w:lvl>
  </w:abstractNum>
  <w:abstractNum w:abstractNumId="18">
    <w:multiLevelType w:val="hybridMultilevel"/>
    <w:lvl w:ilvl="0">
      <w:start w:val="1"/>
      <w:numFmt w:val="decimal"/>
      <w:lvlText w:val="%1)"/>
      <w:lvlJc w:val="left"/>
      <w:pPr>
        <w:ind w:left="102" w:hanging="489"/>
        <w:jc w:val="left"/>
      </w:pPr>
      <w:rPr>
        <w:rFonts w:hint="default" w:ascii="Times New Roman" w:hAnsi="Times New Roman" w:eastAsia="Times New Roman" w:cs="Times New Roman"/>
        <w:w w:val="100"/>
        <w:sz w:val="28"/>
        <w:szCs w:val="28"/>
      </w:rPr>
    </w:lvl>
    <w:lvl w:ilvl="1">
      <w:start w:val="0"/>
      <w:numFmt w:val="bullet"/>
      <w:lvlText w:val="•"/>
      <w:lvlJc w:val="left"/>
      <w:pPr>
        <w:ind w:left="160" w:hanging="489"/>
      </w:pPr>
      <w:rPr>
        <w:rFonts w:hint="default"/>
      </w:rPr>
    </w:lvl>
    <w:lvl w:ilvl="2">
      <w:start w:val="0"/>
      <w:numFmt w:val="bullet"/>
      <w:lvlText w:val="•"/>
      <w:lvlJc w:val="left"/>
      <w:pPr>
        <w:ind w:left="1173" w:hanging="489"/>
      </w:pPr>
      <w:rPr>
        <w:rFonts w:hint="default"/>
      </w:rPr>
    </w:lvl>
    <w:lvl w:ilvl="3">
      <w:start w:val="0"/>
      <w:numFmt w:val="bullet"/>
      <w:lvlText w:val="•"/>
      <w:lvlJc w:val="left"/>
      <w:pPr>
        <w:ind w:left="2186" w:hanging="489"/>
      </w:pPr>
      <w:rPr>
        <w:rFonts w:hint="default"/>
      </w:rPr>
    </w:lvl>
    <w:lvl w:ilvl="4">
      <w:start w:val="0"/>
      <w:numFmt w:val="bullet"/>
      <w:lvlText w:val="•"/>
      <w:lvlJc w:val="left"/>
      <w:pPr>
        <w:ind w:left="3199" w:hanging="489"/>
      </w:pPr>
      <w:rPr>
        <w:rFonts w:hint="default"/>
      </w:rPr>
    </w:lvl>
    <w:lvl w:ilvl="5">
      <w:start w:val="0"/>
      <w:numFmt w:val="bullet"/>
      <w:lvlText w:val="•"/>
      <w:lvlJc w:val="left"/>
      <w:pPr>
        <w:ind w:left="4212" w:hanging="489"/>
      </w:pPr>
      <w:rPr>
        <w:rFonts w:hint="default"/>
      </w:rPr>
    </w:lvl>
    <w:lvl w:ilvl="6">
      <w:start w:val="0"/>
      <w:numFmt w:val="bullet"/>
      <w:lvlText w:val="•"/>
      <w:lvlJc w:val="left"/>
      <w:pPr>
        <w:ind w:left="5226" w:hanging="489"/>
      </w:pPr>
      <w:rPr>
        <w:rFonts w:hint="default"/>
      </w:rPr>
    </w:lvl>
    <w:lvl w:ilvl="7">
      <w:start w:val="0"/>
      <w:numFmt w:val="bullet"/>
      <w:lvlText w:val="•"/>
      <w:lvlJc w:val="left"/>
      <w:pPr>
        <w:ind w:left="6239" w:hanging="489"/>
      </w:pPr>
      <w:rPr>
        <w:rFonts w:hint="default"/>
      </w:rPr>
    </w:lvl>
    <w:lvl w:ilvl="8">
      <w:start w:val="0"/>
      <w:numFmt w:val="bullet"/>
      <w:lvlText w:val="•"/>
      <w:lvlJc w:val="left"/>
      <w:pPr>
        <w:ind w:left="7252" w:hanging="489"/>
      </w:pPr>
      <w:rPr>
        <w:rFonts w:hint="default"/>
      </w:rPr>
    </w:lvl>
  </w:abstractNum>
  <w:abstractNum w:abstractNumId="17">
    <w:multiLevelType w:val="hybridMultilevel"/>
    <w:lvl w:ilvl="0">
      <w:start w:val="2"/>
      <w:numFmt w:val="decimal"/>
      <w:lvlText w:val="%1"/>
      <w:lvlJc w:val="left"/>
      <w:pPr>
        <w:ind w:left="2641" w:hanging="702"/>
        <w:jc w:val="left"/>
      </w:pPr>
      <w:rPr>
        <w:rFonts w:hint="default"/>
      </w:rPr>
    </w:lvl>
    <w:lvl w:ilvl="1">
      <w:start w:val="2"/>
      <w:numFmt w:val="decimal"/>
      <w:lvlText w:val="%1.%2"/>
      <w:lvlJc w:val="left"/>
      <w:pPr>
        <w:ind w:left="2641" w:hanging="702"/>
        <w:jc w:val="left"/>
      </w:pPr>
      <w:rPr>
        <w:rFonts w:hint="default"/>
      </w:rPr>
    </w:lvl>
    <w:lvl w:ilvl="2">
      <w:start w:val="1"/>
      <w:numFmt w:val="decimal"/>
      <w:lvlText w:val="%1.%2.%3."/>
      <w:lvlJc w:val="left"/>
      <w:pPr>
        <w:ind w:left="2641" w:hanging="702"/>
        <w:jc w:val="right"/>
      </w:pPr>
      <w:rPr>
        <w:rFonts w:hint="default" w:ascii="Times New Roman" w:hAnsi="Times New Roman" w:eastAsia="Times New Roman" w:cs="Times New Roman"/>
        <w:b/>
        <w:bCs/>
        <w:spacing w:val="-3"/>
        <w:w w:val="100"/>
        <w:sz w:val="28"/>
        <w:szCs w:val="28"/>
      </w:rPr>
    </w:lvl>
    <w:lvl w:ilvl="3">
      <w:start w:val="0"/>
      <w:numFmt w:val="bullet"/>
      <w:lvlText w:val="•"/>
      <w:lvlJc w:val="left"/>
      <w:pPr>
        <w:ind w:left="4631" w:hanging="702"/>
      </w:pPr>
      <w:rPr>
        <w:rFonts w:hint="default"/>
      </w:rPr>
    </w:lvl>
    <w:lvl w:ilvl="4">
      <w:start w:val="0"/>
      <w:numFmt w:val="bullet"/>
      <w:lvlText w:val="•"/>
      <w:lvlJc w:val="left"/>
      <w:pPr>
        <w:ind w:left="5295" w:hanging="702"/>
      </w:pPr>
      <w:rPr>
        <w:rFonts w:hint="default"/>
      </w:rPr>
    </w:lvl>
    <w:lvl w:ilvl="5">
      <w:start w:val="0"/>
      <w:numFmt w:val="bullet"/>
      <w:lvlText w:val="•"/>
      <w:lvlJc w:val="left"/>
      <w:pPr>
        <w:ind w:left="5959" w:hanging="702"/>
      </w:pPr>
      <w:rPr>
        <w:rFonts w:hint="default"/>
      </w:rPr>
    </w:lvl>
    <w:lvl w:ilvl="6">
      <w:start w:val="0"/>
      <w:numFmt w:val="bullet"/>
      <w:lvlText w:val="•"/>
      <w:lvlJc w:val="left"/>
      <w:pPr>
        <w:ind w:left="6623" w:hanging="702"/>
      </w:pPr>
      <w:rPr>
        <w:rFonts w:hint="default"/>
      </w:rPr>
    </w:lvl>
    <w:lvl w:ilvl="7">
      <w:start w:val="0"/>
      <w:numFmt w:val="bullet"/>
      <w:lvlText w:val="•"/>
      <w:lvlJc w:val="left"/>
      <w:pPr>
        <w:ind w:left="7287" w:hanging="702"/>
      </w:pPr>
      <w:rPr>
        <w:rFonts w:hint="default"/>
      </w:rPr>
    </w:lvl>
    <w:lvl w:ilvl="8">
      <w:start w:val="0"/>
      <w:numFmt w:val="bullet"/>
      <w:lvlText w:val="•"/>
      <w:lvlJc w:val="left"/>
      <w:pPr>
        <w:ind w:left="7951" w:hanging="702"/>
      </w:pPr>
      <w:rPr>
        <w:rFonts w:hint="default"/>
      </w:rPr>
    </w:lvl>
  </w:abstractNum>
  <w:abstractNum w:abstractNumId="16">
    <w:multiLevelType w:val="hybridMultilevel"/>
    <w:lvl w:ilvl="0">
      <w:start w:val="0"/>
      <w:numFmt w:val="bullet"/>
      <w:lvlText w:val="–"/>
      <w:lvlJc w:val="left"/>
      <w:pPr>
        <w:ind w:left="822" w:hanging="360"/>
      </w:pPr>
      <w:rPr>
        <w:rFonts w:hint="default" w:ascii="Times New Roman" w:hAnsi="Times New Roman" w:eastAsia="Times New Roman" w:cs="Times New Roman"/>
        <w:w w:val="100"/>
        <w:sz w:val="28"/>
        <w:szCs w:val="28"/>
      </w:rPr>
    </w:lvl>
    <w:lvl w:ilvl="1">
      <w:start w:val="0"/>
      <w:numFmt w:val="bullet"/>
      <w:lvlText w:val="•"/>
      <w:lvlJc w:val="left"/>
      <w:pPr>
        <w:ind w:left="1665" w:hanging="360"/>
      </w:pPr>
      <w:rPr>
        <w:rFonts w:hint="default"/>
      </w:rPr>
    </w:lvl>
    <w:lvl w:ilvl="2">
      <w:start w:val="0"/>
      <w:numFmt w:val="bullet"/>
      <w:lvlText w:val="•"/>
      <w:lvlJc w:val="left"/>
      <w:pPr>
        <w:ind w:left="2511" w:hanging="360"/>
      </w:pPr>
      <w:rPr>
        <w:rFonts w:hint="default"/>
      </w:rPr>
    </w:lvl>
    <w:lvl w:ilvl="3">
      <w:start w:val="0"/>
      <w:numFmt w:val="bullet"/>
      <w:lvlText w:val="•"/>
      <w:lvlJc w:val="left"/>
      <w:pPr>
        <w:ind w:left="3357" w:hanging="360"/>
      </w:pPr>
      <w:rPr>
        <w:rFonts w:hint="default"/>
      </w:rPr>
    </w:lvl>
    <w:lvl w:ilvl="4">
      <w:start w:val="0"/>
      <w:numFmt w:val="bullet"/>
      <w:lvlText w:val="•"/>
      <w:lvlJc w:val="left"/>
      <w:pPr>
        <w:ind w:left="4203" w:hanging="360"/>
      </w:pPr>
      <w:rPr>
        <w:rFonts w:hint="default"/>
      </w:rPr>
    </w:lvl>
    <w:lvl w:ilvl="5">
      <w:start w:val="0"/>
      <w:numFmt w:val="bullet"/>
      <w:lvlText w:val="•"/>
      <w:lvlJc w:val="left"/>
      <w:pPr>
        <w:ind w:left="5049" w:hanging="360"/>
      </w:pPr>
      <w:rPr>
        <w:rFonts w:hint="default"/>
      </w:rPr>
    </w:lvl>
    <w:lvl w:ilvl="6">
      <w:start w:val="0"/>
      <w:numFmt w:val="bullet"/>
      <w:lvlText w:val="•"/>
      <w:lvlJc w:val="left"/>
      <w:pPr>
        <w:ind w:left="5895" w:hanging="360"/>
      </w:pPr>
      <w:rPr>
        <w:rFonts w:hint="default"/>
      </w:rPr>
    </w:lvl>
    <w:lvl w:ilvl="7">
      <w:start w:val="0"/>
      <w:numFmt w:val="bullet"/>
      <w:lvlText w:val="•"/>
      <w:lvlJc w:val="left"/>
      <w:pPr>
        <w:ind w:left="6741" w:hanging="360"/>
      </w:pPr>
      <w:rPr>
        <w:rFonts w:hint="default"/>
      </w:rPr>
    </w:lvl>
    <w:lvl w:ilvl="8">
      <w:start w:val="0"/>
      <w:numFmt w:val="bullet"/>
      <w:lvlText w:val="•"/>
      <w:lvlJc w:val="left"/>
      <w:pPr>
        <w:ind w:left="7587" w:hanging="360"/>
      </w:pPr>
      <w:rPr>
        <w:rFonts w:hint="default"/>
      </w:rPr>
    </w:lvl>
  </w:abstractNum>
  <w:abstractNum w:abstractNumId="14">
    <w:multiLevelType w:val="hybridMultilevel"/>
    <w:lvl w:ilvl="0">
      <w:start w:val="1"/>
      <w:numFmt w:val="decimal"/>
      <w:lvlText w:val="%1)"/>
      <w:lvlJc w:val="left"/>
      <w:pPr>
        <w:ind w:left="145" w:hanging="260"/>
        <w:jc w:val="left"/>
      </w:pPr>
      <w:rPr>
        <w:rFonts w:hint="default"/>
        <w:spacing w:val="-8"/>
        <w:w w:val="99"/>
      </w:rPr>
    </w:lvl>
    <w:lvl w:ilvl="1">
      <w:start w:val="0"/>
      <w:numFmt w:val="bullet"/>
      <w:lvlText w:val="•"/>
      <w:lvlJc w:val="left"/>
      <w:pPr>
        <w:ind w:left="467" w:hanging="260"/>
      </w:pPr>
      <w:rPr>
        <w:rFonts w:hint="default"/>
      </w:rPr>
    </w:lvl>
    <w:lvl w:ilvl="2">
      <w:start w:val="0"/>
      <w:numFmt w:val="bullet"/>
      <w:lvlText w:val="•"/>
      <w:lvlJc w:val="left"/>
      <w:pPr>
        <w:ind w:left="794" w:hanging="260"/>
      </w:pPr>
      <w:rPr>
        <w:rFonts w:hint="default"/>
      </w:rPr>
    </w:lvl>
    <w:lvl w:ilvl="3">
      <w:start w:val="0"/>
      <w:numFmt w:val="bullet"/>
      <w:lvlText w:val="•"/>
      <w:lvlJc w:val="left"/>
      <w:pPr>
        <w:ind w:left="1121" w:hanging="260"/>
      </w:pPr>
      <w:rPr>
        <w:rFonts w:hint="default"/>
      </w:rPr>
    </w:lvl>
    <w:lvl w:ilvl="4">
      <w:start w:val="0"/>
      <w:numFmt w:val="bullet"/>
      <w:lvlText w:val="•"/>
      <w:lvlJc w:val="left"/>
      <w:pPr>
        <w:ind w:left="1448" w:hanging="260"/>
      </w:pPr>
      <w:rPr>
        <w:rFonts w:hint="default"/>
      </w:rPr>
    </w:lvl>
    <w:lvl w:ilvl="5">
      <w:start w:val="0"/>
      <w:numFmt w:val="bullet"/>
      <w:lvlText w:val="•"/>
      <w:lvlJc w:val="left"/>
      <w:pPr>
        <w:ind w:left="1775" w:hanging="260"/>
      </w:pPr>
      <w:rPr>
        <w:rFonts w:hint="default"/>
      </w:rPr>
    </w:lvl>
    <w:lvl w:ilvl="6">
      <w:start w:val="0"/>
      <w:numFmt w:val="bullet"/>
      <w:lvlText w:val="•"/>
      <w:lvlJc w:val="left"/>
      <w:pPr>
        <w:ind w:left="2102" w:hanging="260"/>
      </w:pPr>
      <w:rPr>
        <w:rFonts w:hint="default"/>
      </w:rPr>
    </w:lvl>
    <w:lvl w:ilvl="7">
      <w:start w:val="0"/>
      <w:numFmt w:val="bullet"/>
      <w:lvlText w:val="•"/>
      <w:lvlJc w:val="left"/>
      <w:pPr>
        <w:ind w:left="2429" w:hanging="260"/>
      </w:pPr>
      <w:rPr>
        <w:rFonts w:hint="default"/>
      </w:rPr>
    </w:lvl>
    <w:lvl w:ilvl="8">
      <w:start w:val="0"/>
      <w:numFmt w:val="bullet"/>
      <w:lvlText w:val="•"/>
      <w:lvlJc w:val="left"/>
      <w:pPr>
        <w:ind w:left="2756" w:hanging="260"/>
      </w:pPr>
      <w:rPr>
        <w:rFonts w:hint="default"/>
      </w:rPr>
    </w:lvl>
  </w:abstractNum>
  <w:abstractNum w:abstractNumId="13">
    <w:multiLevelType w:val="hybridMultilevel"/>
    <w:lvl w:ilvl="0">
      <w:start w:val="2"/>
      <w:numFmt w:val="decimal"/>
      <w:lvlText w:val="%1"/>
      <w:lvlJc w:val="left"/>
      <w:pPr>
        <w:ind w:left="978" w:hanging="493"/>
        <w:jc w:val="left"/>
      </w:pPr>
      <w:rPr>
        <w:rFonts w:hint="default"/>
      </w:rPr>
    </w:lvl>
    <w:lvl w:ilvl="1">
      <w:start w:val="1"/>
      <w:numFmt w:val="decimal"/>
      <w:lvlText w:val="%1.%2."/>
      <w:lvlJc w:val="left"/>
      <w:pPr>
        <w:ind w:left="978" w:hanging="493"/>
        <w:jc w:val="right"/>
      </w:pPr>
      <w:rPr>
        <w:rFonts w:hint="default" w:ascii="Times New Roman" w:hAnsi="Times New Roman" w:eastAsia="Times New Roman" w:cs="Times New Roman"/>
        <w:b/>
        <w:bCs/>
        <w:w w:val="100"/>
        <w:sz w:val="28"/>
        <w:szCs w:val="28"/>
      </w:rPr>
    </w:lvl>
    <w:lvl w:ilvl="2">
      <w:start w:val="0"/>
      <w:numFmt w:val="bullet"/>
      <w:lvlText w:val="•"/>
      <w:lvlJc w:val="left"/>
      <w:pPr>
        <w:ind w:left="2639" w:hanging="493"/>
      </w:pPr>
      <w:rPr>
        <w:rFonts w:hint="default"/>
      </w:rPr>
    </w:lvl>
    <w:lvl w:ilvl="3">
      <w:start w:val="0"/>
      <w:numFmt w:val="bullet"/>
      <w:lvlText w:val="•"/>
      <w:lvlJc w:val="left"/>
      <w:pPr>
        <w:ind w:left="3469" w:hanging="493"/>
      </w:pPr>
      <w:rPr>
        <w:rFonts w:hint="default"/>
      </w:rPr>
    </w:lvl>
    <w:lvl w:ilvl="4">
      <w:start w:val="0"/>
      <w:numFmt w:val="bullet"/>
      <w:lvlText w:val="•"/>
      <w:lvlJc w:val="left"/>
      <w:pPr>
        <w:ind w:left="4299" w:hanging="493"/>
      </w:pPr>
      <w:rPr>
        <w:rFonts w:hint="default"/>
      </w:rPr>
    </w:lvl>
    <w:lvl w:ilvl="5">
      <w:start w:val="0"/>
      <w:numFmt w:val="bullet"/>
      <w:lvlText w:val="•"/>
      <w:lvlJc w:val="left"/>
      <w:pPr>
        <w:ind w:left="5129" w:hanging="493"/>
      </w:pPr>
      <w:rPr>
        <w:rFonts w:hint="default"/>
      </w:rPr>
    </w:lvl>
    <w:lvl w:ilvl="6">
      <w:start w:val="0"/>
      <w:numFmt w:val="bullet"/>
      <w:lvlText w:val="•"/>
      <w:lvlJc w:val="left"/>
      <w:pPr>
        <w:ind w:left="5959" w:hanging="493"/>
      </w:pPr>
      <w:rPr>
        <w:rFonts w:hint="default"/>
      </w:rPr>
    </w:lvl>
    <w:lvl w:ilvl="7">
      <w:start w:val="0"/>
      <w:numFmt w:val="bullet"/>
      <w:lvlText w:val="•"/>
      <w:lvlJc w:val="left"/>
      <w:pPr>
        <w:ind w:left="6789" w:hanging="493"/>
      </w:pPr>
      <w:rPr>
        <w:rFonts w:hint="default"/>
      </w:rPr>
    </w:lvl>
    <w:lvl w:ilvl="8">
      <w:start w:val="0"/>
      <w:numFmt w:val="bullet"/>
      <w:lvlText w:val="•"/>
      <w:lvlJc w:val="left"/>
      <w:pPr>
        <w:ind w:left="7619" w:hanging="493"/>
      </w:pPr>
      <w:rPr>
        <w:rFonts w:hint="default"/>
      </w:rPr>
    </w:lvl>
  </w:abstractNum>
  <w:abstractNum w:abstractNumId="12">
    <w:multiLevelType w:val="hybridMultilevel"/>
    <w:lvl w:ilvl="0">
      <w:start w:val="0"/>
      <w:numFmt w:val="bullet"/>
      <w:lvlText w:val="–"/>
      <w:lvlJc w:val="left"/>
      <w:pPr>
        <w:ind w:left="102" w:hanging="521"/>
      </w:pPr>
      <w:rPr>
        <w:rFonts w:hint="default" w:ascii="Times New Roman" w:hAnsi="Times New Roman" w:eastAsia="Times New Roman" w:cs="Times New Roman"/>
        <w:w w:val="100"/>
        <w:sz w:val="28"/>
        <w:szCs w:val="28"/>
      </w:rPr>
    </w:lvl>
    <w:lvl w:ilvl="1">
      <w:start w:val="0"/>
      <w:numFmt w:val="bullet"/>
      <w:lvlText w:val="•"/>
      <w:lvlJc w:val="left"/>
      <w:pPr>
        <w:ind w:left="1017" w:hanging="521"/>
      </w:pPr>
      <w:rPr>
        <w:rFonts w:hint="default"/>
      </w:rPr>
    </w:lvl>
    <w:lvl w:ilvl="2">
      <w:start w:val="0"/>
      <w:numFmt w:val="bullet"/>
      <w:lvlText w:val="•"/>
      <w:lvlJc w:val="left"/>
      <w:pPr>
        <w:ind w:left="1935" w:hanging="521"/>
      </w:pPr>
      <w:rPr>
        <w:rFonts w:hint="default"/>
      </w:rPr>
    </w:lvl>
    <w:lvl w:ilvl="3">
      <w:start w:val="0"/>
      <w:numFmt w:val="bullet"/>
      <w:lvlText w:val="•"/>
      <w:lvlJc w:val="left"/>
      <w:pPr>
        <w:ind w:left="2853" w:hanging="521"/>
      </w:pPr>
      <w:rPr>
        <w:rFonts w:hint="default"/>
      </w:rPr>
    </w:lvl>
    <w:lvl w:ilvl="4">
      <w:start w:val="0"/>
      <w:numFmt w:val="bullet"/>
      <w:lvlText w:val="•"/>
      <w:lvlJc w:val="left"/>
      <w:pPr>
        <w:ind w:left="3771" w:hanging="521"/>
      </w:pPr>
      <w:rPr>
        <w:rFonts w:hint="default"/>
      </w:rPr>
    </w:lvl>
    <w:lvl w:ilvl="5">
      <w:start w:val="0"/>
      <w:numFmt w:val="bullet"/>
      <w:lvlText w:val="•"/>
      <w:lvlJc w:val="left"/>
      <w:pPr>
        <w:ind w:left="4689" w:hanging="521"/>
      </w:pPr>
      <w:rPr>
        <w:rFonts w:hint="default"/>
      </w:rPr>
    </w:lvl>
    <w:lvl w:ilvl="6">
      <w:start w:val="0"/>
      <w:numFmt w:val="bullet"/>
      <w:lvlText w:val="•"/>
      <w:lvlJc w:val="left"/>
      <w:pPr>
        <w:ind w:left="5607" w:hanging="521"/>
      </w:pPr>
      <w:rPr>
        <w:rFonts w:hint="default"/>
      </w:rPr>
    </w:lvl>
    <w:lvl w:ilvl="7">
      <w:start w:val="0"/>
      <w:numFmt w:val="bullet"/>
      <w:lvlText w:val="•"/>
      <w:lvlJc w:val="left"/>
      <w:pPr>
        <w:ind w:left="6525" w:hanging="521"/>
      </w:pPr>
      <w:rPr>
        <w:rFonts w:hint="default"/>
      </w:rPr>
    </w:lvl>
    <w:lvl w:ilvl="8">
      <w:start w:val="0"/>
      <w:numFmt w:val="bullet"/>
      <w:lvlText w:val="•"/>
      <w:lvlJc w:val="left"/>
      <w:pPr>
        <w:ind w:left="7443" w:hanging="521"/>
      </w:pPr>
      <w:rPr>
        <w:rFonts w:hint="default"/>
      </w:rPr>
    </w:lvl>
  </w:abstractNum>
  <w:abstractNum w:abstractNumId="11">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665" w:hanging="360"/>
      </w:pPr>
      <w:rPr>
        <w:rFonts w:hint="default"/>
      </w:rPr>
    </w:lvl>
    <w:lvl w:ilvl="2">
      <w:start w:val="0"/>
      <w:numFmt w:val="bullet"/>
      <w:lvlText w:val="•"/>
      <w:lvlJc w:val="left"/>
      <w:pPr>
        <w:ind w:left="2511" w:hanging="360"/>
      </w:pPr>
      <w:rPr>
        <w:rFonts w:hint="default"/>
      </w:rPr>
    </w:lvl>
    <w:lvl w:ilvl="3">
      <w:start w:val="0"/>
      <w:numFmt w:val="bullet"/>
      <w:lvlText w:val="•"/>
      <w:lvlJc w:val="left"/>
      <w:pPr>
        <w:ind w:left="3357" w:hanging="360"/>
      </w:pPr>
      <w:rPr>
        <w:rFonts w:hint="default"/>
      </w:rPr>
    </w:lvl>
    <w:lvl w:ilvl="4">
      <w:start w:val="0"/>
      <w:numFmt w:val="bullet"/>
      <w:lvlText w:val="•"/>
      <w:lvlJc w:val="left"/>
      <w:pPr>
        <w:ind w:left="4203" w:hanging="360"/>
      </w:pPr>
      <w:rPr>
        <w:rFonts w:hint="default"/>
      </w:rPr>
    </w:lvl>
    <w:lvl w:ilvl="5">
      <w:start w:val="0"/>
      <w:numFmt w:val="bullet"/>
      <w:lvlText w:val="•"/>
      <w:lvlJc w:val="left"/>
      <w:pPr>
        <w:ind w:left="5049" w:hanging="360"/>
      </w:pPr>
      <w:rPr>
        <w:rFonts w:hint="default"/>
      </w:rPr>
    </w:lvl>
    <w:lvl w:ilvl="6">
      <w:start w:val="0"/>
      <w:numFmt w:val="bullet"/>
      <w:lvlText w:val="•"/>
      <w:lvlJc w:val="left"/>
      <w:pPr>
        <w:ind w:left="5895" w:hanging="360"/>
      </w:pPr>
      <w:rPr>
        <w:rFonts w:hint="default"/>
      </w:rPr>
    </w:lvl>
    <w:lvl w:ilvl="7">
      <w:start w:val="0"/>
      <w:numFmt w:val="bullet"/>
      <w:lvlText w:val="•"/>
      <w:lvlJc w:val="left"/>
      <w:pPr>
        <w:ind w:left="6741" w:hanging="360"/>
      </w:pPr>
      <w:rPr>
        <w:rFonts w:hint="default"/>
      </w:rPr>
    </w:lvl>
    <w:lvl w:ilvl="8">
      <w:start w:val="0"/>
      <w:numFmt w:val="bullet"/>
      <w:lvlText w:val="•"/>
      <w:lvlJc w:val="left"/>
      <w:pPr>
        <w:ind w:left="7587" w:hanging="360"/>
      </w:pPr>
      <w:rPr>
        <w:rFonts w:hint="default"/>
      </w:rPr>
    </w:lvl>
  </w:abstractNum>
  <w:abstractNum w:abstractNumId="10">
    <w:multiLevelType w:val="hybridMultilevel"/>
    <w:lvl w:ilvl="0">
      <w:start w:val="0"/>
      <w:numFmt w:val="bullet"/>
      <w:lvlText w:val="•"/>
      <w:lvlJc w:val="left"/>
      <w:pPr>
        <w:ind w:left="822" w:hanging="360"/>
      </w:pPr>
      <w:rPr>
        <w:rFonts w:hint="default" w:ascii="Times New Roman" w:hAnsi="Times New Roman" w:eastAsia="Times New Roman" w:cs="Times New Roman"/>
        <w:w w:val="100"/>
        <w:sz w:val="28"/>
        <w:szCs w:val="28"/>
      </w:rPr>
    </w:lvl>
    <w:lvl w:ilvl="1">
      <w:start w:val="0"/>
      <w:numFmt w:val="bullet"/>
      <w:lvlText w:val="•"/>
      <w:lvlJc w:val="left"/>
      <w:pPr>
        <w:ind w:left="1665" w:hanging="360"/>
      </w:pPr>
      <w:rPr>
        <w:rFonts w:hint="default"/>
      </w:rPr>
    </w:lvl>
    <w:lvl w:ilvl="2">
      <w:start w:val="0"/>
      <w:numFmt w:val="bullet"/>
      <w:lvlText w:val="•"/>
      <w:lvlJc w:val="left"/>
      <w:pPr>
        <w:ind w:left="2511" w:hanging="360"/>
      </w:pPr>
      <w:rPr>
        <w:rFonts w:hint="default"/>
      </w:rPr>
    </w:lvl>
    <w:lvl w:ilvl="3">
      <w:start w:val="0"/>
      <w:numFmt w:val="bullet"/>
      <w:lvlText w:val="•"/>
      <w:lvlJc w:val="left"/>
      <w:pPr>
        <w:ind w:left="3357" w:hanging="360"/>
      </w:pPr>
      <w:rPr>
        <w:rFonts w:hint="default"/>
      </w:rPr>
    </w:lvl>
    <w:lvl w:ilvl="4">
      <w:start w:val="0"/>
      <w:numFmt w:val="bullet"/>
      <w:lvlText w:val="•"/>
      <w:lvlJc w:val="left"/>
      <w:pPr>
        <w:ind w:left="4203" w:hanging="360"/>
      </w:pPr>
      <w:rPr>
        <w:rFonts w:hint="default"/>
      </w:rPr>
    </w:lvl>
    <w:lvl w:ilvl="5">
      <w:start w:val="0"/>
      <w:numFmt w:val="bullet"/>
      <w:lvlText w:val="•"/>
      <w:lvlJc w:val="left"/>
      <w:pPr>
        <w:ind w:left="5049" w:hanging="360"/>
      </w:pPr>
      <w:rPr>
        <w:rFonts w:hint="default"/>
      </w:rPr>
    </w:lvl>
    <w:lvl w:ilvl="6">
      <w:start w:val="0"/>
      <w:numFmt w:val="bullet"/>
      <w:lvlText w:val="•"/>
      <w:lvlJc w:val="left"/>
      <w:pPr>
        <w:ind w:left="5895" w:hanging="360"/>
      </w:pPr>
      <w:rPr>
        <w:rFonts w:hint="default"/>
      </w:rPr>
    </w:lvl>
    <w:lvl w:ilvl="7">
      <w:start w:val="0"/>
      <w:numFmt w:val="bullet"/>
      <w:lvlText w:val="•"/>
      <w:lvlJc w:val="left"/>
      <w:pPr>
        <w:ind w:left="6741" w:hanging="360"/>
      </w:pPr>
      <w:rPr>
        <w:rFonts w:hint="default"/>
      </w:rPr>
    </w:lvl>
    <w:lvl w:ilvl="8">
      <w:start w:val="0"/>
      <w:numFmt w:val="bullet"/>
      <w:lvlText w:val="•"/>
      <w:lvlJc w:val="left"/>
      <w:pPr>
        <w:ind w:left="7587" w:hanging="360"/>
      </w:pPr>
      <w:rPr>
        <w:rFonts w:hint="default"/>
      </w:rPr>
    </w:lvl>
  </w:abstractNum>
  <w:abstractNum w:abstractNumId="8">
    <w:multiLevelType w:val="hybridMultilevel"/>
    <w:lvl w:ilvl="0">
      <w:start w:val="0"/>
      <w:numFmt w:val="bullet"/>
      <w:lvlText w:val="-"/>
      <w:lvlJc w:val="left"/>
      <w:pPr>
        <w:ind w:left="822" w:hanging="360"/>
      </w:pPr>
      <w:rPr>
        <w:rFonts w:hint="default" w:ascii="Times New Roman" w:hAnsi="Times New Roman" w:eastAsia="Times New Roman" w:cs="Times New Roman"/>
        <w:w w:val="100"/>
        <w:sz w:val="28"/>
        <w:szCs w:val="28"/>
      </w:rPr>
    </w:lvl>
    <w:lvl w:ilvl="1">
      <w:start w:val="0"/>
      <w:numFmt w:val="bullet"/>
      <w:lvlText w:val="•"/>
      <w:lvlJc w:val="left"/>
      <w:pPr>
        <w:ind w:left="1665" w:hanging="360"/>
      </w:pPr>
      <w:rPr>
        <w:rFonts w:hint="default"/>
      </w:rPr>
    </w:lvl>
    <w:lvl w:ilvl="2">
      <w:start w:val="0"/>
      <w:numFmt w:val="bullet"/>
      <w:lvlText w:val="•"/>
      <w:lvlJc w:val="left"/>
      <w:pPr>
        <w:ind w:left="2511" w:hanging="360"/>
      </w:pPr>
      <w:rPr>
        <w:rFonts w:hint="default"/>
      </w:rPr>
    </w:lvl>
    <w:lvl w:ilvl="3">
      <w:start w:val="0"/>
      <w:numFmt w:val="bullet"/>
      <w:lvlText w:val="•"/>
      <w:lvlJc w:val="left"/>
      <w:pPr>
        <w:ind w:left="3357" w:hanging="360"/>
      </w:pPr>
      <w:rPr>
        <w:rFonts w:hint="default"/>
      </w:rPr>
    </w:lvl>
    <w:lvl w:ilvl="4">
      <w:start w:val="0"/>
      <w:numFmt w:val="bullet"/>
      <w:lvlText w:val="•"/>
      <w:lvlJc w:val="left"/>
      <w:pPr>
        <w:ind w:left="4203" w:hanging="360"/>
      </w:pPr>
      <w:rPr>
        <w:rFonts w:hint="default"/>
      </w:rPr>
    </w:lvl>
    <w:lvl w:ilvl="5">
      <w:start w:val="0"/>
      <w:numFmt w:val="bullet"/>
      <w:lvlText w:val="•"/>
      <w:lvlJc w:val="left"/>
      <w:pPr>
        <w:ind w:left="5049" w:hanging="360"/>
      </w:pPr>
      <w:rPr>
        <w:rFonts w:hint="default"/>
      </w:rPr>
    </w:lvl>
    <w:lvl w:ilvl="6">
      <w:start w:val="0"/>
      <w:numFmt w:val="bullet"/>
      <w:lvlText w:val="•"/>
      <w:lvlJc w:val="left"/>
      <w:pPr>
        <w:ind w:left="5895" w:hanging="360"/>
      </w:pPr>
      <w:rPr>
        <w:rFonts w:hint="default"/>
      </w:rPr>
    </w:lvl>
    <w:lvl w:ilvl="7">
      <w:start w:val="0"/>
      <w:numFmt w:val="bullet"/>
      <w:lvlText w:val="•"/>
      <w:lvlJc w:val="left"/>
      <w:pPr>
        <w:ind w:left="6741" w:hanging="360"/>
      </w:pPr>
      <w:rPr>
        <w:rFonts w:hint="default"/>
      </w:rPr>
    </w:lvl>
    <w:lvl w:ilvl="8">
      <w:start w:val="0"/>
      <w:numFmt w:val="bullet"/>
      <w:lvlText w:val="•"/>
      <w:lvlJc w:val="left"/>
      <w:pPr>
        <w:ind w:left="7587" w:hanging="360"/>
      </w:pPr>
      <w:rPr>
        <w:rFonts w:hint="default"/>
      </w:rPr>
    </w:lvl>
  </w:abstractNum>
  <w:abstractNum w:abstractNumId="6">
    <w:multiLevelType w:val="hybridMultilevel"/>
    <w:lvl w:ilvl="0">
      <w:start w:val="1"/>
      <w:numFmt w:val="decimal"/>
      <w:lvlText w:val="%1"/>
      <w:lvlJc w:val="left"/>
      <w:pPr>
        <w:ind w:left="3016" w:hanging="493"/>
        <w:jc w:val="left"/>
      </w:pPr>
      <w:rPr>
        <w:rFonts w:hint="default"/>
      </w:rPr>
    </w:lvl>
    <w:lvl w:ilvl="1">
      <w:start w:val="1"/>
      <w:numFmt w:val="decimal"/>
      <w:lvlText w:val="%1.%2."/>
      <w:lvlJc w:val="left"/>
      <w:pPr>
        <w:ind w:left="3016" w:hanging="493"/>
        <w:jc w:val="right"/>
      </w:pPr>
      <w:rPr>
        <w:rFonts w:hint="default" w:ascii="Times New Roman" w:hAnsi="Times New Roman" w:eastAsia="Times New Roman" w:cs="Times New Roman"/>
        <w:b/>
        <w:bCs/>
        <w:w w:val="100"/>
        <w:sz w:val="28"/>
        <w:szCs w:val="28"/>
      </w:rPr>
    </w:lvl>
    <w:lvl w:ilvl="2">
      <w:start w:val="0"/>
      <w:numFmt w:val="bullet"/>
      <w:lvlText w:val="•"/>
      <w:lvlJc w:val="left"/>
      <w:pPr>
        <w:ind w:left="4271" w:hanging="493"/>
      </w:pPr>
      <w:rPr>
        <w:rFonts w:hint="default"/>
      </w:rPr>
    </w:lvl>
    <w:lvl w:ilvl="3">
      <w:start w:val="0"/>
      <w:numFmt w:val="bullet"/>
      <w:lvlText w:val="•"/>
      <w:lvlJc w:val="left"/>
      <w:pPr>
        <w:ind w:left="4897" w:hanging="493"/>
      </w:pPr>
      <w:rPr>
        <w:rFonts w:hint="default"/>
      </w:rPr>
    </w:lvl>
    <w:lvl w:ilvl="4">
      <w:start w:val="0"/>
      <w:numFmt w:val="bullet"/>
      <w:lvlText w:val="•"/>
      <w:lvlJc w:val="left"/>
      <w:pPr>
        <w:ind w:left="5523" w:hanging="493"/>
      </w:pPr>
      <w:rPr>
        <w:rFonts w:hint="default"/>
      </w:rPr>
    </w:lvl>
    <w:lvl w:ilvl="5">
      <w:start w:val="0"/>
      <w:numFmt w:val="bullet"/>
      <w:lvlText w:val="•"/>
      <w:lvlJc w:val="left"/>
      <w:pPr>
        <w:ind w:left="6149" w:hanging="493"/>
      </w:pPr>
      <w:rPr>
        <w:rFonts w:hint="default"/>
      </w:rPr>
    </w:lvl>
    <w:lvl w:ilvl="6">
      <w:start w:val="0"/>
      <w:numFmt w:val="bullet"/>
      <w:lvlText w:val="•"/>
      <w:lvlJc w:val="left"/>
      <w:pPr>
        <w:ind w:left="6775" w:hanging="493"/>
      </w:pPr>
      <w:rPr>
        <w:rFonts w:hint="default"/>
      </w:rPr>
    </w:lvl>
    <w:lvl w:ilvl="7">
      <w:start w:val="0"/>
      <w:numFmt w:val="bullet"/>
      <w:lvlText w:val="•"/>
      <w:lvlJc w:val="left"/>
      <w:pPr>
        <w:ind w:left="7401" w:hanging="493"/>
      </w:pPr>
      <w:rPr>
        <w:rFonts w:hint="default"/>
      </w:rPr>
    </w:lvl>
    <w:lvl w:ilvl="8">
      <w:start w:val="0"/>
      <w:numFmt w:val="bullet"/>
      <w:lvlText w:val="•"/>
      <w:lvlJc w:val="left"/>
      <w:pPr>
        <w:ind w:left="8027" w:hanging="493"/>
      </w:pPr>
      <w:rPr>
        <w:rFonts w:hint="default"/>
      </w:rPr>
    </w:lvl>
  </w:abstractNum>
  <w:abstractNum w:abstractNumId="5">
    <w:multiLevelType w:val="hybridMultilevel"/>
    <w:lvl w:ilvl="0">
      <w:start w:val="1"/>
      <w:numFmt w:val="decimal"/>
      <w:lvlText w:val="%1."/>
      <w:lvlJc w:val="left"/>
      <w:pPr>
        <w:ind w:left="102" w:hanging="526"/>
        <w:jc w:val="right"/>
      </w:pPr>
      <w:rPr>
        <w:rFonts w:hint="default" w:ascii="Times New Roman" w:hAnsi="Times New Roman" w:eastAsia="Times New Roman" w:cs="Times New Roman"/>
        <w:w w:val="100"/>
        <w:sz w:val="28"/>
        <w:szCs w:val="28"/>
      </w:rPr>
    </w:lvl>
    <w:lvl w:ilvl="1">
      <w:start w:val="1"/>
      <w:numFmt w:val="decimal"/>
      <w:lvlText w:val="%2."/>
      <w:lvlJc w:val="left"/>
      <w:pPr>
        <w:ind w:left="822" w:hanging="360"/>
        <w:jc w:val="left"/>
      </w:pPr>
      <w:rPr>
        <w:rFonts w:hint="default" w:ascii="Times New Roman" w:hAnsi="Times New Roman" w:eastAsia="Times New Roman" w:cs="Times New Roman"/>
        <w:spacing w:val="0"/>
        <w:w w:val="100"/>
        <w:sz w:val="28"/>
        <w:szCs w:val="28"/>
      </w:rPr>
    </w:lvl>
    <w:lvl w:ilvl="2">
      <w:start w:val="0"/>
      <w:numFmt w:val="bullet"/>
      <w:lvlText w:val="•"/>
      <w:lvlJc w:val="left"/>
      <w:pPr>
        <w:ind w:left="1759" w:hanging="360"/>
      </w:pPr>
      <w:rPr>
        <w:rFonts w:hint="default"/>
      </w:rPr>
    </w:lvl>
    <w:lvl w:ilvl="3">
      <w:start w:val="0"/>
      <w:numFmt w:val="bullet"/>
      <w:lvlText w:val="•"/>
      <w:lvlJc w:val="left"/>
      <w:pPr>
        <w:ind w:left="2699" w:hanging="360"/>
      </w:pPr>
      <w:rPr>
        <w:rFonts w:hint="default"/>
      </w:rPr>
    </w:lvl>
    <w:lvl w:ilvl="4">
      <w:start w:val="0"/>
      <w:numFmt w:val="bullet"/>
      <w:lvlText w:val="•"/>
      <w:lvlJc w:val="left"/>
      <w:pPr>
        <w:ind w:left="3639" w:hanging="360"/>
      </w:pPr>
      <w:rPr>
        <w:rFonts w:hint="default"/>
      </w:rPr>
    </w:lvl>
    <w:lvl w:ilvl="5">
      <w:start w:val="0"/>
      <w:numFmt w:val="bullet"/>
      <w:lvlText w:val="•"/>
      <w:lvlJc w:val="left"/>
      <w:pPr>
        <w:ind w:left="4579" w:hanging="360"/>
      </w:pPr>
      <w:rPr>
        <w:rFonts w:hint="default"/>
      </w:rPr>
    </w:lvl>
    <w:lvl w:ilvl="6">
      <w:start w:val="0"/>
      <w:numFmt w:val="bullet"/>
      <w:lvlText w:val="•"/>
      <w:lvlJc w:val="left"/>
      <w:pPr>
        <w:ind w:left="5519" w:hanging="360"/>
      </w:pPr>
      <w:rPr>
        <w:rFonts w:hint="default"/>
      </w:rPr>
    </w:lvl>
    <w:lvl w:ilvl="7">
      <w:start w:val="0"/>
      <w:numFmt w:val="bullet"/>
      <w:lvlText w:val="•"/>
      <w:lvlJc w:val="left"/>
      <w:pPr>
        <w:ind w:left="6459" w:hanging="360"/>
      </w:pPr>
      <w:rPr>
        <w:rFonts w:hint="default"/>
      </w:rPr>
    </w:lvl>
    <w:lvl w:ilvl="8">
      <w:start w:val="0"/>
      <w:numFmt w:val="bullet"/>
      <w:lvlText w:val="•"/>
      <w:lvlJc w:val="left"/>
      <w:pPr>
        <w:ind w:left="7399" w:hanging="360"/>
      </w:pPr>
      <w:rPr>
        <w:rFonts w:hint="default"/>
      </w:rPr>
    </w:lvl>
  </w:abstractNum>
  <w:abstractNum w:abstractNumId="4">
    <w:multiLevelType w:val="hybridMultilevel"/>
    <w:lvl w:ilvl="0">
      <w:start w:val="5"/>
      <w:numFmt w:val="decimal"/>
      <w:lvlText w:val="%1"/>
      <w:lvlJc w:val="left"/>
      <w:pPr>
        <w:ind w:left="730" w:hanging="632"/>
        <w:jc w:val="left"/>
      </w:pPr>
      <w:rPr>
        <w:rFonts w:hint="default"/>
      </w:rPr>
    </w:lvl>
    <w:lvl w:ilvl="1">
      <w:start w:val="1"/>
      <w:numFmt w:val="decimal"/>
      <w:lvlText w:val="%1.%2."/>
      <w:lvlJc w:val="left"/>
      <w:pPr>
        <w:ind w:left="730" w:hanging="632"/>
        <w:jc w:val="left"/>
      </w:pPr>
      <w:rPr>
        <w:rFonts w:hint="default" w:ascii="Times New Roman" w:hAnsi="Times New Roman" w:eastAsia="Times New Roman" w:cs="Times New Roman"/>
        <w:w w:val="100"/>
        <w:sz w:val="28"/>
        <w:szCs w:val="28"/>
      </w:rPr>
    </w:lvl>
    <w:lvl w:ilvl="2">
      <w:start w:val="1"/>
      <w:numFmt w:val="decimal"/>
      <w:lvlText w:val="%1.%2.%3."/>
      <w:lvlJc w:val="left"/>
      <w:pPr>
        <w:ind w:left="802" w:hanging="701"/>
        <w:jc w:val="left"/>
      </w:pPr>
      <w:rPr>
        <w:rFonts w:hint="default" w:ascii="Times New Roman" w:hAnsi="Times New Roman" w:eastAsia="Times New Roman" w:cs="Times New Roman"/>
        <w:spacing w:val="-3"/>
        <w:w w:val="100"/>
        <w:sz w:val="28"/>
        <w:szCs w:val="28"/>
      </w:rPr>
    </w:lvl>
    <w:lvl w:ilvl="3">
      <w:start w:val="1"/>
      <w:numFmt w:val="decimal"/>
      <w:lvlText w:val="%4."/>
      <w:lvlJc w:val="left"/>
      <w:pPr>
        <w:ind w:left="822" w:hanging="360"/>
        <w:jc w:val="left"/>
      </w:pPr>
      <w:rPr>
        <w:rFonts w:hint="default" w:ascii="Times New Roman" w:hAnsi="Times New Roman" w:eastAsia="Times New Roman" w:cs="Times New Roman"/>
        <w:spacing w:val="0"/>
        <w:w w:val="100"/>
        <w:sz w:val="28"/>
        <w:szCs w:val="28"/>
      </w:rPr>
    </w:lvl>
    <w:lvl w:ilvl="4">
      <w:start w:val="0"/>
      <w:numFmt w:val="bullet"/>
      <w:lvlText w:val="•"/>
      <w:lvlJc w:val="left"/>
      <w:pPr>
        <w:ind w:left="880" w:hanging="360"/>
      </w:pPr>
      <w:rPr>
        <w:rFonts w:hint="default"/>
      </w:rPr>
    </w:lvl>
    <w:lvl w:ilvl="5">
      <w:start w:val="0"/>
      <w:numFmt w:val="bullet"/>
      <w:lvlText w:val="•"/>
      <w:lvlJc w:val="left"/>
      <w:pPr>
        <w:ind w:left="2246" w:hanging="360"/>
      </w:pPr>
      <w:rPr>
        <w:rFonts w:hint="default"/>
      </w:rPr>
    </w:lvl>
    <w:lvl w:ilvl="6">
      <w:start w:val="0"/>
      <w:numFmt w:val="bullet"/>
      <w:lvlText w:val="•"/>
      <w:lvlJc w:val="left"/>
      <w:pPr>
        <w:ind w:left="3613" w:hanging="360"/>
      </w:pPr>
      <w:rPr>
        <w:rFonts w:hint="default"/>
      </w:rPr>
    </w:lvl>
    <w:lvl w:ilvl="7">
      <w:start w:val="0"/>
      <w:numFmt w:val="bullet"/>
      <w:lvlText w:val="•"/>
      <w:lvlJc w:val="left"/>
      <w:pPr>
        <w:ind w:left="4979" w:hanging="360"/>
      </w:pPr>
      <w:rPr>
        <w:rFonts w:hint="default"/>
      </w:rPr>
    </w:lvl>
    <w:lvl w:ilvl="8">
      <w:start w:val="0"/>
      <w:numFmt w:val="bullet"/>
      <w:lvlText w:val="•"/>
      <w:lvlJc w:val="left"/>
      <w:pPr>
        <w:ind w:left="6346" w:hanging="360"/>
      </w:pPr>
      <w:rPr>
        <w:rFonts w:hint="default"/>
      </w:rPr>
    </w:lvl>
  </w:abstractNum>
  <w:abstractNum w:abstractNumId="3">
    <w:multiLevelType w:val="hybridMultilevel"/>
    <w:lvl w:ilvl="0">
      <w:start w:val="4"/>
      <w:numFmt w:val="decimal"/>
      <w:lvlText w:val="%1"/>
      <w:lvlJc w:val="left"/>
      <w:pPr>
        <w:ind w:left="663" w:hanging="562"/>
        <w:jc w:val="left"/>
      </w:pPr>
      <w:rPr>
        <w:rFonts w:hint="default"/>
      </w:rPr>
    </w:lvl>
    <w:lvl w:ilvl="1">
      <w:start w:val="2"/>
      <w:numFmt w:val="decimal"/>
      <w:lvlText w:val="%1.%2."/>
      <w:lvlJc w:val="left"/>
      <w:pPr>
        <w:ind w:left="663" w:hanging="562"/>
        <w:jc w:val="left"/>
      </w:pPr>
      <w:rPr>
        <w:rFonts w:hint="default" w:ascii="Times New Roman" w:hAnsi="Times New Roman" w:eastAsia="Times New Roman" w:cs="Times New Roman"/>
        <w:w w:val="100"/>
        <w:sz w:val="28"/>
        <w:szCs w:val="28"/>
      </w:rPr>
    </w:lvl>
    <w:lvl w:ilvl="2">
      <w:start w:val="1"/>
      <w:numFmt w:val="decimal"/>
      <w:lvlText w:val="%1.%2.%3."/>
      <w:lvlJc w:val="left"/>
      <w:pPr>
        <w:ind w:left="800" w:hanging="701"/>
        <w:jc w:val="left"/>
      </w:pPr>
      <w:rPr>
        <w:rFonts w:hint="default" w:ascii="Times New Roman" w:hAnsi="Times New Roman" w:eastAsia="Times New Roman" w:cs="Times New Roman"/>
        <w:spacing w:val="-3"/>
        <w:w w:val="100"/>
        <w:sz w:val="28"/>
        <w:szCs w:val="28"/>
      </w:rPr>
    </w:lvl>
    <w:lvl w:ilvl="3">
      <w:start w:val="0"/>
      <w:numFmt w:val="bullet"/>
      <w:lvlText w:val="•"/>
      <w:lvlJc w:val="left"/>
      <w:pPr>
        <w:ind w:left="2639" w:hanging="701"/>
      </w:pPr>
      <w:rPr>
        <w:rFonts w:hint="default"/>
      </w:rPr>
    </w:lvl>
    <w:lvl w:ilvl="4">
      <w:start w:val="0"/>
      <w:numFmt w:val="bullet"/>
      <w:lvlText w:val="•"/>
      <w:lvlJc w:val="left"/>
      <w:pPr>
        <w:ind w:left="3559" w:hanging="701"/>
      </w:pPr>
      <w:rPr>
        <w:rFonts w:hint="default"/>
      </w:rPr>
    </w:lvl>
    <w:lvl w:ilvl="5">
      <w:start w:val="0"/>
      <w:numFmt w:val="bullet"/>
      <w:lvlText w:val="•"/>
      <w:lvlJc w:val="left"/>
      <w:pPr>
        <w:ind w:left="4479" w:hanging="701"/>
      </w:pPr>
      <w:rPr>
        <w:rFonts w:hint="default"/>
      </w:rPr>
    </w:lvl>
    <w:lvl w:ilvl="6">
      <w:start w:val="0"/>
      <w:numFmt w:val="bullet"/>
      <w:lvlText w:val="•"/>
      <w:lvlJc w:val="left"/>
      <w:pPr>
        <w:ind w:left="5399" w:hanging="701"/>
      </w:pPr>
      <w:rPr>
        <w:rFonts w:hint="default"/>
      </w:rPr>
    </w:lvl>
    <w:lvl w:ilvl="7">
      <w:start w:val="0"/>
      <w:numFmt w:val="bullet"/>
      <w:lvlText w:val="•"/>
      <w:lvlJc w:val="left"/>
      <w:pPr>
        <w:ind w:left="6319" w:hanging="701"/>
      </w:pPr>
      <w:rPr>
        <w:rFonts w:hint="default"/>
      </w:rPr>
    </w:lvl>
    <w:lvl w:ilvl="8">
      <w:start w:val="0"/>
      <w:numFmt w:val="bullet"/>
      <w:lvlText w:val="•"/>
      <w:lvlJc w:val="left"/>
      <w:pPr>
        <w:ind w:left="7239" w:hanging="701"/>
      </w:pPr>
      <w:rPr>
        <w:rFonts w:hint="default"/>
      </w:rPr>
    </w:lvl>
  </w:abstractNum>
  <w:abstractNum w:abstractNumId="2">
    <w:multiLevelType w:val="hybridMultilevel"/>
    <w:lvl w:ilvl="0">
      <w:start w:val="4"/>
      <w:numFmt w:val="decimal"/>
      <w:lvlText w:val="%1"/>
      <w:lvlJc w:val="left"/>
      <w:pPr>
        <w:ind w:left="733" w:hanging="632"/>
        <w:jc w:val="left"/>
      </w:pPr>
      <w:rPr>
        <w:rFonts w:hint="default"/>
      </w:rPr>
    </w:lvl>
    <w:lvl w:ilvl="1">
      <w:start w:val="1"/>
      <w:numFmt w:val="decimal"/>
      <w:lvlText w:val="%1.%2."/>
      <w:lvlJc w:val="left"/>
      <w:pPr>
        <w:ind w:left="733" w:hanging="632"/>
        <w:jc w:val="left"/>
      </w:pPr>
      <w:rPr>
        <w:rFonts w:hint="default" w:ascii="Times New Roman" w:hAnsi="Times New Roman" w:eastAsia="Times New Roman" w:cs="Times New Roman"/>
        <w:w w:val="100"/>
        <w:sz w:val="28"/>
        <w:szCs w:val="28"/>
      </w:rPr>
    </w:lvl>
    <w:lvl w:ilvl="2">
      <w:start w:val="1"/>
      <w:numFmt w:val="decimal"/>
      <w:lvlText w:val="%1.%2.%3."/>
      <w:lvlJc w:val="left"/>
      <w:pPr>
        <w:ind w:left="800" w:hanging="701"/>
        <w:jc w:val="left"/>
      </w:pPr>
      <w:rPr>
        <w:rFonts w:hint="default" w:ascii="Times New Roman" w:hAnsi="Times New Roman" w:eastAsia="Times New Roman" w:cs="Times New Roman"/>
        <w:spacing w:val="-3"/>
        <w:w w:val="100"/>
        <w:sz w:val="28"/>
        <w:szCs w:val="28"/>
      </w:rPr>
    </w:lvl>
    <w:lvl w:ilvl="3">
      <w:start w:val="0"/>
      <w:numFmt w:val="bullet"/>
      <w:lvlText w:val="•"/>
      <w:lvlJc w:val="left"/>
      <w:pPr>
        <w:ind w:left="2644" w:hanging="701"/>
      </w:pPr>
      <w:rPr>
        <w:rFonts w:hint="default"/>
      </w:rPr>
    </w:lvl>
    <w:lvl w:ilvl="4">
      <w:start w:val="0"/>
      <w:numFmt w:val="bullet"/>
      <w:lvlText w:val="•"/>
      <w:lvlJc w:val="left"/>
      <w:pPr>
        <w:ind w:left="3566" w:hanging="701"/>
      </w:pPr>
      <w:rPr>
        <w:rFonts w:hint="default"/>
      </w:rPr>
    </w:lvl>
    <w:lvl w:ilvl="5">
      <w:start w:val="0"/>
      <w:numFmt w:val="bullet"/>
      <w:lvlText w:val="•"/>
      <w:lvlJc w:val="left"/>
      <w:pPr>
        <w:ind w:left="4488" w:hanging="701"/>
      </w:pPr>
      <w:rPr>
        <w:rFonts w:hint="default"/>
      </w:rPr>
    </w:lvl>
    <w:lvl w:ilvl="6">
      <w:start w:val="0"/>
      <w:numFmt w:val="bullet"/>
      <w:lvlText w:val="•"/>
      <w:lvlJc w:val="left"/>
      <w:pPr>
        <w:ind w:left="5410" w:hanging="701"/>
      </w:pPr>
      <w:rPr>
        <w:rFonts w:hint="default"/>
      </w:rPr>
    </w:lvl>
    <w:lvl w:ilvl="7">
      <w:start w:val="0"/>
      <w:numFmt w:val="bullet"/>
      <w:lvlText w:val="•"/>
      <w:lvlJc w:val="left"/>
      <w:pPr>
        <w:ind w:left="6332" w:hanging="701"/>
      </w:pPr>
      <w:rPr>
        <w:rFonts w:hint="default"/>
      </w:rPr>
    </w:lvl>
    <w:lvl w:ilvl="8">
      <w:start w:val="0"/>
      <w:numFmt w:val="bullet"/>
      <w:lvlText w:val="•"/>
      <w:lvlJc w:val="left"/>
      <w:pPr>
        <w:ind w:left="7254" w:hanging="701"/>
      </w:pPr>
      <w:rPr>
        <w:rFonts w:hint="default"/>
      </w:rPr>
    </w:lvl>
  </w:abstractNum>
  <w:abstractNum w:abstractNumId="1">
    <w:multiLevelType w:val="hybridMultilevel"/>
    <w:lvl w:ilvl="0">
      <w:start w:val="3"/>
      <w:numFmt w:val="decimal"/>
      <w:lvlText w:val="%1"/>
      <w:lvlJc w:val="left"/>
      <w:pPr>
        <w:ind w:left="802" w:hanging="701"/>
        <w:jc w:val="left"/>
      </w:pPr>
      <w:rPr>
        <w:rFonts w:hint="default"/>
      </w:rPr>
    </w:lvl>
    <w:lvl w:ilvl="1">
      <w:start w:val="1"/>
      <w:numFmt w:val="decimal"/>
      <w:lvlText w:val="%1.%2."/>
      <w:lvlJc w:val="left"/>
      <w:pPr>
        <w:ind w:left="802" w:hanging="701"/>
        <w:jc w:val="left"/>
      </w:pPr>
      <w:rPr>
        <w:rFonts w:hint="default" w:ascii="Times New Roman" w:hAnsi="Times New Roman" w:eastAsia="Times New Roman" w:cs="Times New Roman"/>
        <w:w w:val="100"/>
        <w:sz w:val="28"/>
        <w:szCs w:val="28"/>
      </w:rPr>
    </w:lvl>
    <w:lvl w:ilvl="2">
      <w:start w:val="1"/>
      <w:numFmt w:val="decimal"/>
      <w:lvlText w:val="%1.%2.%3."/>
      <w:lvlJc w:val="left"/>
      <w:pPr>
        <w:ind w:left="102" w:hanging="771"/>
        <w:jc w:val="left"/>
      </w:pPr>
      <w:rPr>
        <w:rFonts w:hint="default" w:ascii="Times New Roman" w:hAnsi="Times New Roman" w:eastAsia="Times New Roman" w:cs="Times New Roman"/>
        <w:spacing w:val="-3"/>
        <w:w w:val="100"/>
        <w:sz w:val="28"/>
        <w:szCs w:val="28"/>
      </w:rPr>
    </w:lvl>
    <w:lvl w:ilvl="3">
      <w:start w:val="0"/>
      <w:numFmt w:val="bullet"/>
      <w:lvlText w:val="•"/>
      <w:lvlJc w:val="left"/>
      <w:pPr>
        <w:ind w:left="2644" w:hanging="771"/>
      </w:pPr>
      <w:rPr>
        <w:rFonts w:hint="default"/>
      </w:rPr>
    </w:lvl>
    <w:lvl w:ilvl="4">
      <w:start w:val="0"/>
      <w:numFmt w:val="bullet"/>
      <w:lvlText w:val="•"/>
      <w:lvlJc w:val="left"/>
      <w:pPr>
        <w:ind w:left="3566" w:hanging="771"/>
      </w:pPr>
      <w:rPr>
        <w:rFonts w:hint="default"/>
      </w:rPr>
    </w:lvl>
    <w:lvl w:ilvl="5">
      <w:start w:val="0"/>
      <w:numFmt w:val="bullet"/>
      <w:lvlText w:val="•"/>
      <w:lvlJc w:val="left"/>
      <w:pPr>
        <w:ind w:left="4488" w:hanging="771"/>
      </w:pPr>
      <w:rPr>
        <w:rFonts w:hint="default"/>
      </w:rPr>
    </w:lvl>
    <w:lvl w:ilvl="6">
      <w:start w:val="0"/>
      <w:numFmt w:val="bullet"/>
      <w:lvlText w:val="•"/>
      <w:lvlJc w:val="left"/>
      <w:pPr>
        <w:ind w:left="5410" w:hanging="771"/>
      </w:pPr>
      <w:rPr>
        <w:rFonts w:hint="default"/>
      </w:rPr>
    </w:lvl>
    <w:lvl w:ilvl="7">
      <w:start w:val="0"/>
      <w:numFmt w:val="bullet"/>
      <w:lvlText w:val="•"/>
      <w:lvlJc w:val="left"/>
      <w:pPr>
        <w:ind w:left="6332" w:hanging="771"/>
      </w:pPr>
      <w:rPr>
        <w:rFonts w:hint="default"/>
      </w:rPr>
    </w:lvl>
    <w:lvl w:ilvl="8">
      <w:start w:val="0"/>
      <w:numFmt w:val="bullet"/>
      <w:lvlText w:val="•"/>
      <w:lvlJc w:val="left"/>
      <w:pPr>
        <w:ind w:left="7254" w:hanging="771"/>
      </w:pPr>
      <w:rPr>
        <w:rFonts w:hint="default"/>
      </w:rPr>
    </w:lvl>
  </w:abstractNum>
  <w:abstractNum w:abstractNumId="0">
    <w:multiLevelType w:val="hybridMultilevel"/>
    <w:lvl w:ilvl="0">
      <w:start w:val="2"/>
      <w:numFmt w:val="decimal"/>
      <w:lvlText w:val="%1"/>
      <w:lvlJc w:val="left"/>
      <w:pPr>
        <w:ind w:left="872" w:hanging="771"/>
        <w:jc w:val="left"/>
      </w:pPr>
      <w:rPr>
        <w:rFonts w:hint="default"/>
      </w:rPr>
    </w:lvl>
    <w:lvl w:ilvl="1">
      <w:start w:val="1"/>
      <w:numFmt w:val="decimal"/>
      <w:lvlText w:val="%1.%2."/>
      <w:lvlJc w:val="left"/>
      <w:pPr>
        <w:ind w:left="872" w:hanging="771"/>
        <w:jc w:val="left"/>
      </w:pPr>
      <w:rPr>
        <w:rFonts w:hint="default" w:ascii="Times New Roman" w:hAnsi="Times New Roman" w:eastAsia="Times New Roman" w:cs="Times New Roman"/>
        <w:w w:val="100"/>
        <w:sz w:val="28"/>
        <w:szCs w:val="28"/>
      </w:rPr>
    </w:lvl>
    <w:lvl w:ilvl="2">
      <w:start w:val="1"/>
      <w:numFmt w:val="decimal"/>
      <w:lvlText w:val="%1.%2.%3."/>
      <w:lvlJc w:val="left"/>
      <w:pPr>
        <w:ind w:left="872" w:hanging="771"/>
        <w:jc w:val="left"/>
      </w:pPr>
      <w:rPr>
        <w:rFonts w:hint="default" w:ascii="Times New Roman" w:hAnsi="Times New Roman" w:eastAsia="Times New Roman" w:cs="Times New Roman"/>
        <w:spacing w:val="-3"/>
        <w:w w:val="100"/>
        <w:sz w:val="28"/>
        <w:szCs w:val="28"/>
      </w:rPr>
    </w:lvl>
    <w:lvl w:ilvl="3">
      <w:start w:val="0"/>
      <w:numFmt w:val="bullet"/>
      <w:lvlText w:val="•"/>
      <w:lvlJc w:val="left"/>
      <w:pPr>
        <w:ind w:left="3345" w:hanging="771"/>
      </w:pPr>
      <w:rPr>
        <w:rFonts w:hint="default"/>
      </w:rPr>
    </w:lvl>
    <w:lvl w:ilvl="4">
      <w:start w:val="0"/>
      <w:numFmt w:val="bullet"/>
      <w:lvlText w:val="•"/>
      <w:lvlJc w:val="left"/>
      <w:pPr>
        <w:ind w:left="4167" w:hanging="771"/>
      </w:pPr>
      <w:rPr>
        <w:rFonts w:hint="default"/>
      </w:rPr>
    </w:lvl>
    <w:lvl w:ilvl="5">
      <w:start w:val="0"/>
      <w:numFmt w:val="bullet"/>
      <w:lvlText w:val="•"/>
      <w:lvlJc w:val="left"/>
      <w:pPr>
        <w:ind w:left="4989" w:hanging="771"/>
      </w:pPr>
      <w:rPr>
        <w:rFonts w:hint="default"/>
      </w:rPr>
    </w:lvl>
    <w:lvl w:ilvl="6">
      <w:start w:val="0"/>
      <w:numFmt w:val="bullet"/>
      <w:lvlText w:val="•"/>
      <w:lvlJc w:val="left"/>
      <w:pPr>
        <w:ind w:left="5811" w:hanging="771"/>
      </w:pPr>
      <w:rPr>
        <w:rFonts w:hint="default"/>
      </w:rPr>
    </w:lvl>
    <w:lvl w:ilvl="7">
      <w:start w:val="0"/>
      <w:numFmt w:val="bullet"/>
      <w:lvlText w:val="•"/>
      <w:lvlJc w:val="left"/>
      <w:pPr>
        <w:ind w:left="6633" w:hanging="771"/>
      </w:pPr>
      <w:rPr>
        <w:rFonts w:hint="default"/>
      </w:rPr>
    </w:lvl>
    <w:lvl w:ilvl="8">
      <w:start w:val="0"/>
      <w:numFmt w:val="bullet"/>
      <w:lvlText w:val="•"/>
      <w:lvlJc w:val="left"/>
      <w:pPr>
        <w:ind w:left="7455" w:hanging="771"/>
      </w:pPr>
      <w:rPr>
        <w:rFonts w:hint="default"/>
      </w:rPr>
    </w:lvl>
  </w:abstractNum>
  <w:num w:numId="51">
    <w:abstractNumId w:val="50"/>
  </w:num>
  <w:num w:numId="43">
    <w:abstractNumId w:val="42"/>
  </w:num>
  <w:num w:numId="40">
    <w:abstractNumId w:val="39"/>
  </w:num>
  <w:num w:numId="32">
    <w:abstractNumId w:val="31"/>
  </w:num>
  <w:num w:numId="31">
    <w:abstractNumId w:val="30"/>
  </w:num>
  <w:num w:numId="24">
    <w:abstractNumId w:val="23"/>
  </w:num>
  <w:num w:numId="16">
    <w:abstractNumId w:val="15"/>
  </w:num>
  <w:num w:numId="10">
    <w:abstractNumId w:val="9"/>
  </w:num>
  <w:num w:numId="8">
    <w:abstractNumId w:val="7"/>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2">
    <w:abstractNumId w:val="41"/>
  </w:num>
  <w:num w:numId="41">
    <w:abstractNumId w:val="40"/>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0">
    <w:abstractNumId w:val="29"/>
  </w:num>
  <w:num w:numId="29">
    <w:abstractNumId w:val="28"/>
  </w:num>
  <w:num w:numId="28">
    <w:abstractNumId w:val="27"/>
  </w:num>
  <w:num w:numId="27">
    <w:abstractNumId w:val="26"/>
  </w:num>
  <w:num w:numId="26">
    <w:abstractNumId w:val="25"/>
  </w:num>
  <w:num w:numId="25">
    <w:abstractNumId w:val="2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5">
    <w:abstractNumId w:val="14"/>
  </w:num>
  <w:num w:numId="14">
    <w:abstractNumId w:val="13"/>
  </w:num>
  <w:num w:numId="13">
    <w:abstractNumId w:val="12"/>
  </w:num>
  <w:num w:numId="12">
    <w:abstractNumId w:val="11"/>
  </w:num>
  <w:num w:numId="11">
    <w:abstractNumId w:val="10"/>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8"/>
      <w:szCs w:val="28"/>
    </w:rPr>
  </w:style>
  <w:style w:styleId="Heading1" w:type="paragraph">
    <w:name w:val="Heading 1"/>
    <w:basedOn w:val="Normal"/>
    <w:uiPriority w:val="1"/>
    <w:qFormat/>
    <w:pPr>
      <w:ind w:left="380"/>
      <w:outlineLvl w:val="1"/>
    </w:pPr>
    <w:rPr>
      <w:rFonts w:ascii="Times New Roman" w:hAnsi="Times New Roman" w:eastAsia="Times New Roman" w:cs="Times New Roman"/>
      <w:b/>
      <w:bCs/>
      <w:sz w:val="28"/>
      <w:szCs w:val="28"/>
    </w:rPr>
  </w:style>
  <w:style w:styleId="ListParagraph" w:type="paragraph">
    <w:name w:val="List Paragraph"/>
    <w:basedOn w:val="Normal"/>
    <w:uiPriority w:val="1"/>
    <w:qFormat/>
    <w:pPr>
      <w:ind w:left="742" w:hanging="360"/>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header" Target="header2.xml"/><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header" Target="header3.xml"/><Relationship Id="rId58" Type="http://schemas.openxmlformats.org/officeDocument/2006/relationships/header" Target="header4.xml"/><Relationship Id="rId59" Type="http://schemas.openxmlformats.org/officeDocument/2006/relationships/header" Target="header5.xml"/><Relationship Id="rId60" Type="http://schemas.openxmlformats.org/officeDocument/2006/relationships/image" Target="media/image51.jpeg"/><Relationship Id="rId61" Type="http://schemas.openxmlformats.org/officeDocument/2006/relationships/header" Target="header6.xml"/><Relationship Id="rId62" Type="http://schemas.openxmlformats.org/officeDocument/2006/relationships/image" Target="media/image52.jpeg"/><Relationship Id="rId63" Type="http://schemas.openxmlformats.org/officeDocument/2006/relationships/image" Target="media/image53.jpeg"/><Relationship Id="rId64" Type="http://schemas.openxmlformats.org/officeDocument/2006/relationships/image" Target="media/image54.jpeg"/><Relationship Id="rId65" Type="http://schemas.openxmlformats.org/officeDocument/2006/relationships/image" Target="media/image55.png"/><Relationship Id="rId66" Type="http://schemas.openxmlformats.org/officeDocument/2006/relationships/header" Target="header7.xml"/><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header" Target="header8.xml"/><Relationship Id="rId88" Type="http://schemas.openxmlformats.org/officeDocument/2006/relationships/image" Target="media/image76.png"/><Relationship Id="rId89" Type="http://schemas.openxmlformats.org/officeDocument/2006/relationships/image" Target="media/image77.png"/><Relationship Id="rId90" Type="http://schemas.openxmlformats.org/officeDocument/2006/relationships/image" Target="media/image78.png"/><Relationship Id="rId91" Type="http://schemas.openxmlformats.org/officeDocument/2006/relationships/image" Target="media/image79.jpeg"/><Relationship Id="rId92" Type="http://schemas.openxmlformats.org/officeDocument/2006/relationships/image" Target="media/image80.jpeg"/><Relationship Id="rId93" Type="http://schemas.openxmlformats.org/officeDocument/2006/relationships/image" Target="media/image81.jpeg"/><Relationship Id="rId94" Type="http://schemas.openxmlformats.org/officeDocument/2006/relationships/image" Target="media/image82.jpeg"/><Relationship Id="rId95" Type="http://schemas.openxmlformats.org/officeDocument/2006/relationships/image" Target="media/image83.jpeg"/><Relationship Id="rId96" Type="http://schemas.openxmlformats.org/officeDocument/2006/relationships/image" Target="media/image84.jpeg"/><Relationship Id="rId97" Type="http://schemas.openxmlformats.org/officeDocument/2006/relationships/image" Target="media/image85.jpeg"/><Relationship Id="rId98" Type="http://schemas.openxmlformats.org/officeDocument/2006/relationships/image" Target="media/image86.jpeg"/><Relationship Id="rId99" Type="http://schemas.openxmlformats.org/officeDocument/2006/relationships/image" Target="media/image87.jpeg"/><Relationship Id="rId100" Type="http://schemas.openxmlformats.org/officeDocument/2006/relationships/image" Target="media/image88.jpe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jpe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jpeg"/><Relationship Id="rId118" Type="http://schemas.openxmlformats.org/officeDocument/2006/relationships/image" Target="media/image106.jpeg"/><Relationship Id="rId119" Type="http://schemas.openxmlformats.org/officeDocument/2006/relationships/image" Target="media/image107.jpeg"/><Relationship Id="rId120" Type="http://schemas.openxmlformats.org/officeDocument/2006/relationships/image" Target="media/image108.jpeg"/><Relationship Id="rId121" Type="http://schemas.openxmlformats.org/officeDocument/2006/relationships/image" Target="media/image109.jpeg"/><Relationship Id="rId122" Type="http://schemas.openxmlformats.org/officeDocument/2006/relationships/header" Target="header9.xml"/><Relationship Id="rId123" Type="http://schemas.openxmlformats.org/officeDocument/2006/relationships/image" Target="media/image110.jpeg"/><Relationship Id="rId124" Type="http://schemas.openxmlformats.org/officeDocument/2006/relationships/image" Target="media/image111.jpeg"/><Relationship Id="rId125" Type="http://schemas.openxmlformats.org/officeDocument/2006/relationships/image" Target="media/image112.jpeg"/><Relationship Id="rId126" Type="http://schemas.openxmlformats.org/officeDocument/2006/relationships/image" Target="media/image113.jpeg"/><Relationship Id="rId127" Type="http://schemas.openxmlformats.org/officeDocument/2006/relationships/image" Target="media/image114.png"/><Relationship Id="rId128" Type="http://schemas.openxmlformats.org/officeDocument/2006/relationships/image" Target="media/image115.png"/><Relationship Id="rId129" Type="http://schemas.openxmlformats.org/officeDocument/2006/relationships/header" Target="header10.xml"/><Relationship Id="rId130" Type="http://schemas.openxmlformats.org/officeDocument/2006/relationships/header" Target="header11.xml"/><Relationship Id="rId131" Type="http://schemas.openxmlformats.org/officeDocument/2006/relationships/image" Target="media/image116.png"/><Relationship Id="rId132" Type="http://schemas.openxmlformats.org/officeDocument/2006/relationships/image" Target="media/image117.png"/><Relationship Id="rId133" Type="http://schemas.openxmlformats.org/officeDocument/2006/relationships/image" Target="media/image118.png"/><Relationship Id="rId134" Type="http://schemas.openxmlformats.org/officeDocument/2006/relationships/image" Target="media/image119.png"/><Relationship Id="rId135" Type="http://schemas.openxmlformats.org/officeDocument/2006/relationships/image" Target="media/image120.png"/><Relationship Id="rId136" Type="http://schemas.openxmlformats.org/officeDocument/2006/relationships/image" Target="media/image121.png"/><Relationship Id="rId137" Type="http://schemas.openxmlformats.org/officeDocument/2006/relationships/image" Target="media/image122.png"/><Relationship Id="rId138" Type="http://schemas.openxmlformats.org/officeDocument/2006/relationships/image" Target="media/image123.png"/><Relationship Id="rId139" Type="http://schemas.openxmlformats.org/officeDocument/2006/relationships/image" Target="media/image124.jpeg"/><Relationship Id="rId140" Type="http://schemas.openxmlformats.org/officeDocument/2006/relationships/image" Target="media/image125.jpeg"/><Relationship Id="rId141" Type="http://schemas.openxmlformats.org/officeDocument/2006/relationships/image" Target="media/image126.jpeg"/><Relationship Id="rId142" Type="http://schemas.openxmlformats.org/officeDocument/2006/relationships/image" Target="media/image127.jpeg"/><Relationship Id="rId143" Type="http://schemas.openxmlformats.org/officeDocument/2006/relationships/image" Target="media/image128.jpeg"/><Relationship Id="rId144" Type="http://schemas.openxmlformats.org/officeDocument/2006/relationships/image" Target="media/image129.png"/><Relationship Id="rId145" Type="http://schemas.openxmlformats.org/officeDocument/2006/relationships/header" Target="header12.xml"/><Relationship Id="rId146" Type="http://schemas.openxmlformats.org/officeDocument/2006/relationships/image" Target="media/image130.png"/><Relationship Id="rId147" Type="http://schemas.openxmlformats.org/officeDocument/2006/relationships/image" Target="media/image131.png"/><Relationship Id="rId148" Type="http://schemas.openxmlformats.org/officeDocument/2006/relationships/image" Target="media/image132.png"/><Relationship Id="rId149" Type="http://schemas.openxmlformats.org/officeDocument/2006/relationships/image" Target="media/image133.png"/><Relationship Id="rId150" Type="http://schemas.openxmlformats.org/officeDocument/2006/relationships/image" Target="media/image134.png"/><Relationship Id="rId151" Type="http://schemas.openxmlformats.org/officeDocument/2006/relationships/image" Target="media/image135.png"/><Relationship Id="rId152" Type="http://schemas.openxmlformats.org/officeDocument/2006/relationships/image" Target="media/image136.png"/><Relationship Id="rId153" Type="http://schemas.openxmlformats.org/officeDocument/2006/relationships/image" Target="media/image137.png"/><Relationship Id="rId154" Type="http://schemas.openxmlformats.org/officeDocument/2006/relationships/header" Target="header13.xml"/><Relationship Id="rId155" Type="http://schemas.openxmlformats.org/officeDocument/2006/relationships/header" Target="header14.xml"/><Relationship Id="rId156" Type="http://schemas.openxmlformats.org/officeDocument/2006/relationships/image" Target="media/image138.png"/><Relationship Id="rId157" Type="http://schemas.openxmlformats.org/officeDocument/2006/relationships/image" Target="media/image139.jpeg"/><Relationship Id="rId158" Type="http://schemas.openxmlformats.org/officeDocument/2006/relationships/image" Target="media/image140.png"/><Relationship Id="rId159" Type="http://schemas.openxmlformats.org/officeDocument/2006/relationships/image" Target="media/image141.png"/><Relationship Id="rId160" Type="http://schemas.openxmlformats.org/officeDocument/2006/relationships/image" Target="media/image142.png"/><Relationship Id="rId161" Type="http://schemas.openxmlformats.org/officeDocument/2006/relationships/header" Target="header15.xml"/><Relationship Id="rId162" Type="http://schemas.openxmlformats.org/officeDocument/2006/relationships/header" Target="header16.xml"/><Relationship Id="rId163" Type="http://schemas.openxmlformats.org/officeDocument/2006/relationships/image" Target="media/image143.jpeg"/><Relationship Id="rId164" Type="http://schemas.openxmlformats.org/officeDocument/2006/relationships/image" Target="media/image144.jpeg"/><Relationship Id="rId165" Type="http://schemas.openxmlformats.org/officeDocument/2006/relationships/image" Target="media/image145.jpeg"/><Relationship Id="rId166" Type="http://schemas.openxmlformats.org/officeDocument/2006/relationships/image" Target="media/image146.jpeg"/><Relationship Id="rId167" Type="http://schemas.openxmlformats.org/officeDocument/2006/relationships/image" Target="media/image147.png"/><Relationship Id="rId168" Type="http://schemas.openxmlformats.org/officeDocument/2006/relationships/image" Target="media/image148.png"/><Relationship Id="rId169" Type="http://schemas.openxmlformats.org/officeDocument/2006/relationships/image" Target="media/image149.png"/><Relationship Id="rId170" Type="http://schemas.openxmlformats.org/officeDocument/2006/relationships/image" Target="media/image150.png"/><Relationship Id="rId171" Type="http://schemas.openxmlformats.org/officeDocument/2006/relationships/image" Target="media/image151.png"/><Relationship Id="rId172" Type="http://schemas.openxmlformats.org/officeDocument/2006/relationships/image" Target="media/image152.png"/><Relationship Id="rId173" Type="http://schemas.openxmlformats.org/officeDocument/2006/relationships/image" Target="media/image153.png"/><Relationship Id="rId174" Type="http://schemas.openxmlformats.org/officeDocument/2006/relationships/image" Target="media/image154.png"/><Relationship Id="rId175" Type="http://schemas.openxmlformats.org/officeDocument/2006/relationships/header" Target="header17.xml"/><Relationship Id="rId176" Type="http://schemas.openxmlformats.org/officeDocument/2006/relationships/image" Target="media/image155.png"/><Relationship Id="rId177" Type="http://schemas.openxmlformats.org/officeDocument/2006/relationships/image" Target="media/image156.png"/><Relationship Id="rId178" Type="http://schemas.openxmlformats.org/officeDocument/2006/relationships/image" Target="media/image157.png"/><Relationship Id="rId179" Type="http://schemas.openxmlformats.org/officeDocument/2006/relationships/image" Target="media/image158.png"/><Relationship Id="rId180" Type="http://schemas.openxmlformats.org/officeDocument/2006/relationships/header" Target="header18.xml"/><Relationship Id="rId181" Type="http://schemas.openxmlformats.org/officeDocument/2006/relationships/header" Target="header19.xml"/><Relationship Id="rId182" Type="http://schemas.openxmlformats.org/officeDocument/2006/relationships/header" Target="header20.xml"/><Relationship Id="rId183" Type="http://schemas.openxmlformats.org/officeDocument/2006/relationships/header" Target="header21.xml"/><Relationship Id="rId184" Type="http://schemas.openxmlformats.org/officeDocument/2006/relationships/header" Target="header22.xml"/><Relationship Id="rId185" Type="http://schemas.openxmlformats.org/officeDocument/2006/relationships/header" Target="header23.xml"/><Relationship Id="rId186" Type="http://schemas.openxmlformats.org/officeDocument/2006/relationships/hyperlink" Target="http://www.medline.ru/" TargetMode="External"/><Relationship Id="rId187" Type="http://schemas.openxmlformats.org/officeDocument/2006/relationships/hyperlink" Target="http://www.medline.ru/public/art/tom13/art83.html" TargetMode="External"/><Relationship Id="rId188" Type="http://schemas.openxmlformats.org/officeDocument/2006/relationships/hyperlink" Target="http://osors.com/Journal/j_01_2012.htm" TargetMode="External"/><Relationship Id="rId189" Type="http://schemas.openxmlformats.org/officeDocument/2006/relationships/hyperlink" Target="http://www.rejr.ru/" TargetMode="External"/><Relationship Id="rId190" Type="http://schemas.openxmlformats.org/officeDocument/2006/relationships/hyperlink" Target="http://rejr.ru/volume/7/REJR_%E2%84%967.pdf" TargetMode="External"/><Relationship Id="rId191" Type="http://schemas.openxmlformats.org/officeDocument/2006/relationships/header" Target="header24.xml"/><Relationship Id="rId192" Type="http://schemas.openxmlformats.org/officeDocument/2006/relationships/header" Target="header25.xml"/><Relationship Id="rId193" Type="http://schemas.openxmlformats.org/officeDocument/2006/relationships/hyperlink" Target="http://www.ncbi.nlm.nih.gov/sites/entrez?Db=pubmed&amp;amp;Cmd=Search&amp;amp;Term=%22Choi%20M%22%5BAuthor%5D&amp;amp;itool=EntrezSystem2.PEntrez.Pubmed.Pubmed_ResultsPanel.Pubmed_DiscoveryPanel.Pubmed_RVAbstractPlus" TargetMode="External"/><Relationship Id="rId194" Type="http://schemas.openxmlformats.org/officeDocument/2006/relationships/hyperlink" Target="http://www.ncbi.nlm.nih.gov/sites/entrez?Db=pubmed&amp;amp;Cmd=Search&amp;amp;Term=%22Fuller%20CD%22%5BAuthor%5D&amp;amp;itool=EntrezSystem2.PEntrez.Pubmed.Pubmed_ResultsPanel.Pubmed_DiscoveryPanel.Pubmed_RVAbstractPlus" TargetMode="External"/><Relationship Id="rId195" Type="http://schemas.openxmlformats.org/officeDocument/2006/relationships/hyperlink" Target="http://www.ncbi.nlm.nih.gov/sites/entrez?Db=pubmed&amp;amp;Cmd=Search&amp;amp;Term=%22Thomas%20CR%20Jr%22%5BAuthor%5D&amp;amp;itool=EntrezSystem2.PEntrez.Pubmed.Pubmed_ResultsPanel.Pubmed_DiscoveryPanel.Pubmed_RVAbstractPlus" TargetMode="External"/><Relationship Id="rId196" Type="http://schemas.openxmlformats.org/officeDocument/2006/relationships/hyperlink" Target="http://www.ncbi.nlm.nih.gov/sites/entrez?Db=pubmed&amp;amp;Cmd=Search&amp;amp;Term=%22Wang%20SJ%22%5BAuthor%5D&amp;amp;itool=EntrezSystem2.PEntrez.Pubmed.Pubmed_ResultsPanel.Pubmed_DiscoveryPanel.Pubmed_RVAbstractPlus" TargetMode="External"/><Relationship Id="rId197" Type="http://schemas.openxmlformats.org/officeDocument/2006/relationships/header" Target="header26.xml"/><Relationship Id="rId198" Type="http://schemas.openxmlformats.org/officeDocument/2006/relationships/hyperlink" Target="http://pubget.com/paper/12525361/Extended_trachelectomy_relapse__plea_for_patient_involvement_in_the_medical_decision_" TargetMode="External"/><Relationship Id="rId199" Type="http://schemas.openxmlformats.org/officeDocument/2006/relationships/hyperlink" Target="http://www.sciencedirect.com/science/article/pii/S0090825899955853" TargetMode="External"/><Relationship Id="rId200" Type="http://schemas.openxmlformats.org/officeDocument/2006/relationships/hyperlink" Target="http://www.ncbi.nlm.nih.gov/pubmed?term=Devaja%20O%5BAuthor%5D&amp;amp;cauthor=true&amp;amp;cauthor_uid=20686375" TargetMode="External"/><Relationship Id="rId201" Type="http://schemas.openxmlformats.org/officeDocument/2006/relationships/header" Target="header27.xml"/><Relationship Id="rId202" Type="http://schemas.openxmlformats.org/officeDocument/2006/relationships/header" Target="header28.xml"/><Relationship Id="rId203" Type="http://schemas.openxmlformats.org/officeDocument/2006/relationships/hyperlink" Target="http://www.ncbi.nlm.nih.gov/pubmed/8276292" TargetMode="External"/><Relationship Id="rId204" Type="http://schemas.openxmlformats.org/officeDocument/2006/relationships/hyperlink" Target="http://www.ncbi.nlm.nih.gov/sites/entrez?Db=pubmed&amp;amp;Cmd=Search&amp;amp;Term=%22Godard%20B%22%5BAuthor%5D&amp;amp;itool=EntrezSystem2.PEntrez.Pubmed.Pubmed_ResultsPanel.Pubmed_DiscoveryPanel.Pubmed_RVAbstractPlus" TargetMode="External"/><Relationship Id="rId205" Type="http://schemas.openxmlformats.org/officeDocument/2006/relationships/hyperlink" Target="http://www.ncbi.nlm.nih.gov/sites/entrez?Db=pubmed&amp;amp;Cmd=Search&amp;amp;Term=%22Foulkes%20WD%22%5BAuthor%5D&amp;amp;itool=EntrezSystem2.PEntrez.Pubmed.Pubmed_ResultsPanel.Pubmed_DiscoveryPanel.Pubmed_RVAbstractPlus" TargetMode="External"/><Relationship Id="rId206" Type="http://schemas.openxmlformats.org/officeDocument/2006/relationships/hyperlink" Target="http://www.ncbi.nlm.nih.gov/sites/entrez?Db=pubmed&amp;amp;Cmd=Search&amp;amp;Term=%22Provencher%20D%22%5BAuthor%5D&amp;amp;itool=EntrezSystem2.PEntrez.Pubmed.Pubmed_ResultsPanel.Pubmed_DiscoveryPanel.Pubmed_RVAbstractPlus" TargetMode="External"/><Relationship Id="rId207" Type="http://schemas.openxmlformats.org/officeDocument/2006/relationships/hyperlink" Target="http://www.ncbi.nlm.nih.gov/pubmed?term=Tian%20C%5BAuthor%5D&amp;amp;cauthor=true&amp;amp;cauthor_uid=18338811" TargetMode="External"/><Relationship Id="rId208" Type="http://schemas.openxmlformats.org/officeDocument/2006/relationships/hyperlink" Target="http://www.ncbi.nlm.nih.gov/pubmed?term=Whitney%20CW%5BAuthor%5D&amp;amp;cauthor=true&amp;amp;cauthor_uid=18338811" TargetMode="External"/><Relationship Id="rId209" Type="http://schemas.openxmlformats.org/officeDocument/2006/relationships/hyperlink" Target="http://www.ncbi.nlm.nih.gov/pubmed?term=Rose%20PG%5BAuthor%5D&amp;amp;cauthor=true&amp;amp;cauthor_uid=18338811" TargetMode="External"/><Relationship Id="rId210" Type="http://schemas.openxmlformats.org/officeDocument/2006/relationships/hyperlink" Target="http://www.ncbi.nlm.nih.gov/pubmed/8635009" TargetMode="External"/><Relationship Id="rId211" Type="http://schemas.openxmlformats.org/officeDocument/2006/relationships/hyperlink" Target="http://www.ncbi.nlm.nih.gov/pubmed?term=Maletano%20JH%5BAuthor%5D&amp;amp;cauthor=true&amp;amp;cauthor_uid=2227556" TargetMode="External"/><Relationship Id="rId212" Type="http://schemas.openxmlformats.org/officeDocument/2006/relationships/hyperlink" Target="http://www.ncbi.nlm.nih.gov/pubmed?term=Bundy%20BN%5BAuthor%5D&amp;amp;cauthor=true&amp;amp;cauthor_uid=2227556" TargetMode="External"/><Relationship Id="rId213" Type="http://schemas.openxmlformats.org/officeDocument/2006/relationships/hyperlink" Target="http://www.ncbi.nlm.nih.gov/pubmed?term=Barnhill%20DR%5BAuthor%5D&amp;amp;cauthor=true&amp;amp;cauthor_uid=2227556" TargetMode="External"/><Relationship Id="rId214" Type="http://schemas.openxmlformats.org/officeDocument/2006/relationships/hyperlink" Target="http://www.ncbi.nlm.nih.gov/pubmed/2227556" TargetMode="External"/><Relationship Id="rId215" Type="http://schemas.openxmlformats.org/officeDocument/2006/relationships/hyperlink" Target="http://www.ncbi.nlm.nih.gov/pubmed/" TargetMode="External"/><Relationship Id="rId216" Type="http://schemas.openxmlformats.org/officeDocument/2006/relationships/header" Target="header29.xml"/><Relationship Id="rId217" Type="http://schemas.openxmlformats.org/officeDocument/2006/relationships/hyperlink" Target="http://www.ncbi.nlm.nih.gov/pubmed?term=Klemm%20P%5BAuthor%5D&amp;amp;cauthor=true&amp;amp;cauthor_uid=15385110" TargetMode="External"/><Relationship Id="rId218" Type="http://schemas.openxmlformats.org/officeDocument/2006/relationships/hyperlink" Target="http://www.ncbi.nlm.nih.gov/pubmed?term=Schau%20A%5BAuthor%5D&amp;amp;cauthor=true&amp;amp;cauthor_uid=15385110" TargetMode="External"/><Relationship Id="rId219" Type="http://schemas.openxmlformats.org/officeDocument/2006/relationships/hyperlink" Target="http://www.ncbi.nlm.nih.gov/pubmed/15385110" TargetMode="External"/><Relationship Id="rId220" Type="http://schemas.openxmlformats.org/officeDocument/2006/relationships/hyperlink" Target="http://www.sciencedirect.com/science/article/pii/S0090825804005190" TargetMode="External"/><Relationship Id="rId221" Type="http://schemas.openxmlformats.org/officeDocument/2006/relationships/header" Target="header30.xml"/><Relationship Id="rId222" Type="http://schemas.openxmlformats.org/officeDocument/2006/relationships/hyperlink" Target="http://www.ncbi.nlm.nih.gov/pubmed?term=Leiserowitz%20GS%5BAuthor%5D&amp;amp;cauthor=true&amp;amp;cauthor_uid=20009892" TargetMode="External"/><Relationship Id="rId223" Type="http://schemas.openxmlformats.org/officeDocument/2006/relationships/hyperlink" Target="http://www.ncbi.nlm.nih.gov/pubmed?term=Xing%20G%5BAuthor%5D&amp;amp;cauthor=true&amp;amp;cauthor_uid=20009892" TargetMode="External"/><Relationship Id="rId224" Type="http://schemas.openxmlformats.org/officeDocument/2006/relationships/hyperlink" Target="http://www.ncbi.nlm.nih.gov/pubmed/?term=Lim%20MC%5Bauth%5D" TargetMode="External"/><Relationship Id="rId225" Type="http://schemas.openxmlformats.org/officeDocument/2006/relationships/hyperlink" Target="http://www.ncbi.nlm.nih.gov/pmc/articles/PMC2676459/" TargetMode="External"/><Relationship Id="rId226" Type="http://schemas.openxmlformats.org/officeDocument/2006/relationships/hyperlink" Target="http://www.ncbi.nlm.nih.gov/pubmed?term=Lim%20S%5BAuthor%5D&amp;amp;cauthor=true&amp;amp;cauthor_uid=18217979" TargetMode="External"/><Relationship Id="rId227" Type="http://schemas.openxmlformats.org/officeDocument/2006/relationships/hyperlink" Target="http://www.ncbi.nlm.nih.gov/pubmed?term=Kim%20HS%5BAuthor%5D&amp;amp;cauthor=true&amp;amp;cauthor_uid=18217979" TargetMode="External"/><Relationship Id="rId228" Type="http://schemas.openxmlformats.org/officeDocument/2006/relationships/hyperlink" Target="http://www.ncbi.nlm.nih.gov/pubmed?term=Lee%20KB%5BAuthor%5D&amp;amp;cauthor=true&amp;amp;cauthor_uid=18217979" TargetMode="External"/><Relationship Id="rId229" Type="http://schemas.openxmlformats.org/officeDocument/2006/relationships/hyperlink" Target="http://www.ncbi.nlm.nih.gov/pubmed/18217979" TargetMode="External"/><Relationship Id="rId230" Type="http://schemas.openxmlformats.org/officeDocument/2006/relationships/header" Target="header31.xml"/><Relationship Id="rId231" Type="http://schemas.openxmlformats.org/officeDocument/2006/relationships/header" Target="header32.xml"/><Relationship Id="rId232" Type="http://schemas.openxmlformats.org/officeDocument/2006/relationships/hyperlink" Target="http://bibnet.org/vufind/Record/careum8554/Details" TargetMode="External"/><Relationship Id="rId233" Type="http://schemas.openxmlformats.org/officeDocument/2006/relationships/header" Target="header33.xml"/><Relationship Id="rId234" Type="http://schemas.openxmlformats.org/officeDocument/2006/relationships/hyperlink" Target="http://www.ncbi.nlm.nih.gov/pubmed/18344211?ordinalpos=1&amp;amp;itool=EntrezSystem2.PEntrez.Pubmed.Pubmed_ResultsPanel.Pubmed_RVDocSum" TargetMode="External"/><Relationship Id="rId235" Type="http://schemas.openxmlformats.org/officeDocument/2006/relationships/header" Target="header34.xml"/><Relationship Id="rId236" Type="http://schemas.openxmlformats.org/officeDocument/2006/relationships/hyperlink" Target="http://www.ncbi.nlm.nih.gov/pubmed?term=Vasilev%20SA%5BAuthor%5D&amp;amp;cauthor=true&amp;amp;cauthor_uid=7612948" TargetMode="External"/><Relationship Id="rId237" Type="http://schemas.openxmlformats.org/officeDocument/2006/relationships/header" Target="header35.xml"/><Relationship Id="rId2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Мвксимов</dc:creator>
  <dcterms:created xsi:type="dcterms:W3CDTF">2017-02-06T13:37:05Z</dcterms:created>
  <dcterms:modified xsi:type="dcterms:W3CDTF">2017-02-06T13:37:05Z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2017-01-30T00:00:00Z</vt:filetime>
  </property>
  <property fmtid="{D5CDD505-2E9C-101B-9397-08002B2CF9AE}" pid="3" name="Creator">
    <vt:lpwstr>Microsoft® Office Word 2007</vt:lpwstr>
  </property>
  <property fmtid="{D5CDD505-2E9C-101B-9397-08002B2CF9AE}" pid="4" name="LastSaved">
    <vt:filetime>2017-02-06T00:00:00Z</vt:filetime>
  </property>
</Properties>
</file>